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line="360" w:lineRule="auto"/>
        <w:rPr>
          <w:rFonts w:ascii="宋体" w:hAnsi="宋体" w:cs="宋体"/>
          <w:kern w:val="0"/>
          <w:sz w:val="24"/>
        </w:rPr>
      </w:pPr>
      <w:r>
        <w:rPr>
          <w:rFonts w:hint="eastAsia" w:ascii="宋体" w:hAnsi="宋体" w:cs="宋体"/>
          <w:sz w:val="24"/>
          <w:lang w:val="en-US" w:eastAsia="zh-CN"/>
        </w:rPr>
        <w:t>一、</w:t>
      </w:r>
      <w:r>
        <w:rPr>
          <w:rFonts w:hint="eastAsia" w:ascii="宋体" w:hAnsi="宋体" w:cs="宋体"/>
          <w:sz w:val="24"/>
        </w:rPr>
        <w:t>项目名称：</w:t>
      </w:r>
      <w:r>
        <w:rPr>
          <w:rFonts w:hint="eastAsia" w:ascii="宋体" w:hAnsi="宋体" w:cs="宋体"/>
          <w:kern w:val="0"/>
          <w:sz w:val="24"/>
        </w:rPr>
        <w:t>无创NIPT和NIPT PLUS检测服务项目</w:t>
      </w:r>
    </w:p>
    <w:p>
      <w:pPr>
        <w:numPr>
          <w:numId w:val="0"/>
        </w:numPr>
        <w:spacing w:line="360" w:lineRule="auto"/>
        <w:rPr>
          <w:rFonts w:hint="default" w:ascii="宋体" w:hAnsi="宋体" w:cs="宋体" w:eastAsiaTheme="minorEastAsia"/>
          <w:sz w:val="24"/>
          <w:lang w:val="en-US" w:eastAsia="zh-CN"/>
        </w:rPr>
      </w:pPr>
      <w:r>
        <w:rPr>
          <w:rFonts w:hint="eastAsia" w:ascii="宋体" w:hAnsi="宋体" w:cs="宋体"/>
          <w:sz w:val="24"/>
          <w:lang w:val="en-US" w:eastAsia="zh-CN"/>
        </w:rPr>
        <w:t>二、</w:t>
      </w:r>
      <w:r>
        <w:rPr>
          <w:rFonts w:hint="eastAsia" w:ascii="宋体" w:hAnsi="宋体" w:cs="宋体"/>
          <w:sz w:val="24"/>
        </w:rPr>
        <w:t>服务地点：</w:t>
      </w:r>
      <w:r>
        <w:rPr>
          <w:rFonts w:hint="eastAsia" w:ascii="宋体" w:hAnsi="宋体" w:cs="宋体"/>
          <w:sz w:val="24"/>
          <w:lang w:val="en-US" w:eastAsia="zh-CN"/>
        </w:rPr>
        <w:t>采购人指定地点</w:t>
      </w:r>
    </w:p>
    <w:p>
      <w:pPr>
        <w:numPr>
          <w:numId w:val="0"/>
        </w:numPr>
        <w:spacing w:line="360" w:lineRule="auto"/>
        <w:rPr>
          <w:rFonts w:ascii="宋体" w:hAnsi="宋体" w:cs="宋体"/>
          <w:sz w:val="24"/>
        </w:rPr>
      </w:pPr>
      <w:r>
        <w:rPr>
          <w:rFonts w:hint="eastAsia" w:ascii="宋体" w:hAnsi="宋体" w:cs="宋体"/>
          <w:sz w:val="24"/>
          <w:lang w:val="en-US" w:eastAsia="zh-CN"/>
        </w:rPr>
        <w:t>三、</w:t>
      </w:r>
      <w:r>
        <w:rPr>
          <w:rFonts w:hint="eastAsia" w:ascii="宋体" w:hAnsi="宋体" w:cs="宋体"/>
          <w:sz w:val="24"/>
        </w:rPr>
        <w:t>服务期限：合同签订后一年</w:t>
      </w:r>
    </w:p>
    <w:p>
      <w:pPr>
        <w:numPr>
          <w:numId w:val="0"/>
        </w:numPr>
        <w:spacing w:line="360" w:lineRule="auto"/>
        <w:rPr>
          <w:rFonts w:hint="eastAsia" w:ascii="宋体" w:hAnsi="宋体" w:cs="宋体"/>
          <w:sz w:val="24"/>
        </w:rPr>
      </w:pPr>
      <w:r>
        <w:rPr>
          <w:rFonts w:hint="eastAsia" w:ascii="宋体" w:hAnsi="宋体" w:cs="宋体"/>
          <w:sz w:val="24"/>
          <w:lang w:val="en-US" w:eastAsia="zh-CN"/>
        </w:rPr>
        <w:t>四、</w:t>
      </w:r>
      <w:r>
        <w:rPr>
          <w:rFonts w:hint="eastAsia" w:ascii="宋体" w:hAnsi="宋体" w:cs="宋体"/>
          <w:sz w:val="24"/>
        </w:rPr>
        <w:t>付款方式： 招标人收到中标人开具的发票后90天内付款。</w:t>
      </w:r>
    </w:p>
    <w:p>
      <w:pPr>
        <w:numPr>
          <w:numId w:val="0"/>
        </w:numPr>
        <w:spacing w:line="360" w:lineRule="auto"/>
        <w:rPr>
          <w:rFonts w:hint="eastAsia" w:ascii="宋体" w:hAnsi="宋体" w:cs="宋体"/>
          <w:sz w:val="24"/>
        </w:rPr>
      </w:pPr>
      <w:r>
        <w:rPr>
          <w:rFonts w:hint="eastAsia" w:ascii="宋体" w:hAnsi="宋体" w:cs="宋体"/>
          <w:sz w:val="24"/>
          <w:lang w:val="en-US" w:eastAsia="zh-CN"/>
        </w:rPr>
        <w:t>五、</w:t>
      </w:r>
      <w:r>
        <w:rPr>
          <w:rFonts w:hint="eastAsia" w:ascii="宋体" w:hAnsi="宋体" w:cs="宋体"/>
          <w:sz w:val="24"/>
        </w:rPr>
        <w:t>本项目主要技术指标</w:t>
      </w:r>
    </w:p>
    <w:p>
      <w:pPr>
        <w:numPr>
          <w:numId w:val="0"/>
        </w:numPr>
        <w:spacing w:line="360" w:lineRule="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一</w:t>
      </w:r>
      <w:r>
        <w:rPr>
          <w:rFonts w:hint="eastAsia" w:ascii="宋体" w:hAnsi="宋体" w:cs="宋体"/>
          <w:sz w:val="24"/>
          <w:lang w:eastAsia="zh-CN"/>
        </w:rPr>
        <w:t>）</w:t>
      </w:r>
      <w:r>
        <w:rPr>
          <w:rFonts w:hint="eastAsia" w:ascii="宋体" w:hAnsi="宋体" w:cs="宋体"/>
          <w:sz w:val="24"/>
        </w:rPr>
        <w:t>检测流程</w:t>
      </w:r>
    </w:p>
    <w:p>
      <w:pPr>
        <w:spacing w:line="360" w:lineRule="auto"/>
        <w:rPr>
          <w:rFonts w:hint="eastAsia" w:ascii="宋体" w:hAnsi="宋体" w:cs="宋体"/>
          <w:sz w:val="24"/>
        </w:rPr>
      </w:pPr>
      <w:r>
        <w:rPr>
          <w:rFonts w:hint="eastAsia" w:ascii="宋体" w:hAnsi="宋体" w:cs="宋体"/>
          <w:sz w:val="24"/>
        </w:rPr>
        <w:t>检测项目遵循国家要求，遵循：</w:t>
      </w:r>
    </w:p>
    <w:p>
      <w:pPr>
        <w:spacing w:line="360" w:lineRule="auto"/>
        <w:rPr>
          <w:rFonts w:hint="eastAsia" w:ascii="宋体" w:hAnsi="宋体" w:cs="宋体"/>
          <w:sz w:val="24"/>
        </w:rPr>
      </w:pPr>
      <w:r>
        <w:rPr>
          <w:rFonts w:hint="eastAsia" w:ascii="宋体" w:hAnsi="宋体" w:cs="宋体"/>
          <w:sz w:val="24"/>
        </w:rPr>
        <w:t>1.检测前咨询及知情同意</w:t>
      </w:r>
    </w:p>
    <w:p>
      <w:pPr>
        <w:spacing w:line="360" w:lineRule="auto"/>
        <w:rPr>
          <w:rFonts w:hint="eastAsia" w:ascii="宋体" w:hAnsi="宋体" w:cs="宋体"/>
          <w:sz w:val="24"/>
        </w:rPr>
      </w:pPr>
      <w:r>
        <w:rPr>
          <w:rFonts w:hint="eastAsia" w:ascii="宋体" w:hAnsi="宋体" w:cs="宋体"/>
          <w:sz w:val="24"/>
        </w:rPr>
        <w:t>1.1对符合适用人群情形并自愿进行检测的，或符合慎用人群情形但在充分告知并知情同意的前提下仍自愿要求进行检测的孕妇，医师对孕妇本人及其家属详细告知该检测的目标疾病、目的、意义、准确率、局限性、风险以及其他筛查与诊断方案，与孕妇本人或其家属签署知情同意书并填写申请单。</w:t>
      </w:r>
    </w:p>
    <w:p>
      <w:pPr>
        <w:spacing w:line="360" w:lineRule="auto"/>
        <w:rPr>
          <w:rFonts w:hint="eastAsia" w:ascii="宋体" w:hAnsi="宋体" w:cs="宋体"/>
          <w:sz w:val="24"/>
        </w:rPr>
      </w:pPr>
      <w:r>
        <w:rPr>
          <w:rFonts w:hint="eastAsia" w:ascii="宋体" w:hAnsi="宋体" w:cs="宋体"/>
          <w:sz w:val="24"/>
        </w:rPr>
        <w:t>1.2对未接受中孕期血清学筛查直接选择NIPT / NIPT Plus产前筛查的孕妇，在中孕期进行胎儿神经管缺陷风险评估。</w:t>
      </w:r>
    </w:p>
    <w:p>
      <w:pPr>
        <w:spacing w:line="360" w:lineRule="auto"/>
        <w:rPr>
          <w:rFonts w:hint="eastAsia" w:ascii="宋体" w:hAnsi="宋体" w:cs="宋体"/>
          <w:sz w:val="24"/>
        </w:rPr>
      </w:pPr>
      <w:r>
        <w:rPr>
          <w:rFonts w:hint="eastAsia" w:ascii="宋体" w:hAnsi="宋体" w:cs="宋体"/>
          <w:sz w:val="24"/>
        </w:rPr>
        <w:t>2.检测信息采集</w:t>
      </w:r>
    </w:p>
    <w:p>
      <w:pPr>
        <w:spacing w:line="360" w:lineRule="auto"/>
        <w:rPr>
          <w:rFonts w:hint="eastAsia" w:ascii="宋体" w:hAnsi="宋体" w:cs="宋体"/>
          <w:sz w:val="24"/>
        </w:rPr>
      </w:pPr>
      <w:r>
        <w:rPr>
          <w:rFonts w:hint="eastAsia" w:ascii="宋体" w:hAnsi="宋体" w:cs="宋体"/>
          <w:sz w:val="24"/>
        </w:rPr>
        <w:t>医师仔细询问孕妇基本情况、孕产史、本次妊娠情况、既往史和家族史等，如实、准确、详细填写检测申请单。临床医生在检测前咨询并知情同意后，开具检测申请单。对超过适宜孕周的孕妇且孕妇本人强烈强求进行NIPT/ NIPT Plus筛查的，签署补充知情同意书。</w:t>
      </w:r>
    </w:p>
    <w:p>
      <w:pPr>
        <w:spacing w:line="360" w:lineRule="auto"/>
        <w:rPr>
          <w:rFonts w:hint="eastAsia" w:ascii="宋体" w:hAnsi="宋体" w:cs="宋体"/>
          <w:sz w:val="24"/>
        </w:rPr>
      </w:pPr>
      <w:r>
        <w:rPr>
          <w:rFonts w:hint="eastAsia" w:ascii="宋体" w:hAnsi="宋体" w:cs="宋体"/>
          <w:sz w:val="24"/>
        </w:rPr>
        <w:t>3.标本采集及运转</w:t>
      </w:r>
    </w:p>
    <w:p>
      <w:pPr>
        <w:spacing w:line="360" w:lineRule="auto"/>
        <w:rPr>
          <w:rFonts w:hint="eastAsia" w:ascii="宋体" w:hAnsi="宋体" w:cs="宋体"/>
          <w:sz w:val="24"/>
        </w:rPr>
      </w:pPr>
      <w:r>
        <w:rPr>
          <w:rFonts w:hint="eastAsia" w:ascii="宋体" w:hAnsi="宋体" w:cs="宋体"/>
          <w:sz w:val="24"/>
        </w:rPr>
        <w:t>3.1对采血管进行唯一编号。该编号应当与知情同意书、检测申请单和临床报告单编号一致。</w:t>
      </w:r>
    </w:p>
    <w:p>
      <w:pPr>
        <w:spacing w:line="360" w:lineRule="auto"/>
        <w:rPr>
          <w:rFonts w:hint="eastAsia" w:ascii="宋体" w:hAnsi="宋体" w:cs="宋体"/>
          <w:sz w:val="24"/>
        </w:rPr>
      </w:pPr>
      <w:r>
        <w:rPr>
          <w:rFonts w:hint="eastAsia" w:ascii="宋体" w:hAnsi="宋体" w:cs="宋体"/>
          <w:sz w:val="24"/>
        </w:rPr>
        <w:t>3.2按照无菌操作要求，采取孕妇外周静脉血。</w:t>
      </w:r>
    </w:p>
    <w:p>
      <w:pPr>
        <w:spacing w:line="360" w:lineRule="auto"/>
        <w:rPr>
          <w:rFonts w:hint="eastAsia" w:ascii="宋体" w:hAnsi="宋体" w:cs="宋体"/>
          <w:sz w:val="24"/>
        </w:rPr>
      </w:pPr>
      <w:r>
        <w:rPr>
          <w:rFonts w:hint="eastAsia" w:ascii="宋体" w:hAnsi="宋体" w:cs="宋体"/>
          <w:sz w:val="24"/>
        </w:rPr>
        <w:t>3.3标本与知情同意书、检测申请单等资料同时运转。运转过程应当符合生物安全和环境要求，同时做好交接记录。</w:t>
      </w:r>
    </w:p>
    <w:p>
      <w:pPr>
        <w:spacing w:line="360" w:lineRule="auto"/>
        <w:rPr>
          <w:rFonts w:hint="eastAsia" w:ascii="宋体" w:hAnsi="宋体" w:cs="宋体"/>
          <w:sz w:val="24"/>
        </w:rPr>
      </w:pPr>
      <w:r>
        <w:rPr>
          <w:rFonts w:hint="eastAsia" w:ascii="宋体" w:hAnsi="宋体" w:cs="宋体"/>
          <w:sz w:val="24"/>
        </w:rPr>
        <w:t>4.实验室检测</w:t>
      </w:r>
    </w:p>
    <w:p>
      <w:pPr>
        <w:spacing w:line="360" w:lineRule="auto"/>
        <w:rPr>
          <w:rFonts w:hint="eastAsia" w:ascii="宋体" w:hAnsi="宋体" w:cs="宋体"/>
          <w:sz w:val="24"/>
        </w:rPr>
      </w:pPr>
      <w:r>
        <w:rPr>
          <w:rFonts w:hint="eastAsia" w:ascii="宋体" w:hAnsi="宋体" w:cs="宋体"/>
          <w:sz w:val="24"/>
        </w:rPr>
        <w:t>检测机构按相关技术标准和质控要求完成实验室检测，出具检测报告。</w:t>
      </w:r>
    </w:p>
    <w:p>
      <w:pPr>
        <w:spacing w:line="360" w:lineRule="auto"/>
        <w:rPr>
          <w:rFonts w:hint="eastAsia" w:ascii="宋体" w:hAnsi="宋体" w:cs="宋体"/>
          <w:sz w:val="24"/>
        </w:rPr>
      </w:pPr>
      <w:r>
        <w:rPr>
          <w:rFonts w:hint="eastAsia" w:ascii="宋体" w:hAnsi="宋体" w:cs="宋体"/>
          <w:sz w:val="24"/>
        </w:rPr>
        <w:t>5.临床报告的出具发放</w:t>
      </w:r>
    </w:p>
    <w:p>
      <w:pPr>
        <w:spacing w:line="360" w:lineRule="auto"/>
        <w:rPr>
          <w:rFonts w:hint="eastAsia" w:ascii="宋体" w:hAnsi="宋体" w:cs="宋体"/>
          <w:sz w:val="24"/>
        </w:rPr>
      </w:pPr>
      <w:r>
        <w:rPr>
          <w:rFonts w:hint="eastAsia" w:ascii="宋体" w:hAnsi="宋体" w:cs="宋体"/>
          <w:sz w:val="24"/>
        </w:rPr>
        <w:t>自采血至发放临床报告时间不超过10个工作日；临床报告由副高以上职称并具备产前诊断资质的临床医师出具发放。</w:t>
      </w:r>
    </w:p>
    <w:p>
      <w:pPr>
        <w:spacing w:line="360" w:lineRule="auto"/>
        <w:rPr>
          <w:rFonts w:hint="eastAsia" w:ascii="宋体" w:hAnsi="宋体" w:cs="宋体"/>
          <w:sz w:val="24"/>
        </w:rPr>
      </w:pPr>
      <w:r>
        <w:rPr>
          <w:rFonts w:hint="eastAsia" w:ascii="宋体" w:hAnsi="宋体" w:cs="宋体"/>
          <w:sz w:val="24"/>
        </w:rPr>
        <w:t>6.检测后咨询及处置</w:t>
      </w:r>
    </w:p>
    <w:p>
      <w:pPr>
        <w:spacing w:line="360" w:lineRule="auto"/>
        <w:rPr>
          <w:rFonts w:hint="eastAsia" w:ascii="宋体" w:hAnsi="宋体" w:cs="宋体"/>
          <w:sz w:val="24"/>
        </w:rPr>
      </w:pPr>
      <w:r>
        <w:rPr>
          <w:rFonts w:hint="eastAsia" w:ascii="宋体" w:hAnsi="宋体" w:cs="宋体"/>
          <w:sz w:val="24"/>
        </w:rPr>
        <w:t>6.1 对检测结果为低风险的孕妇，建议其定期进行常规产前检查；如果同时存在胎儿影像学检查异常，应当对其进行后续咨询及相应产前诊断；</w:t>
      </w:r>
    </w:p>
    <w:p>
      <w:pPr>
        <w:spacing w:line="360" w:lineRule="auto"/>
        <w:rPr>
          <w:rFonts w:hint="eastAsia" w:ascii="宋体" w:hAnsi="宋体" w:cs="宋体"/>
          <w:sz w:val="24"/>
        </w:rPr>
      </w:pPr>
      <w:r>
        <w:rPr>
          <w:rFonts w:hint="eastAsia" w:ascii="宋体" w:hAnsi="宋体" w:cs="宋体"/>
          <w:sz w:val="24"/>
        </w:rPr>
        <w:t>6.2对检测结果为高风险的孕妇，通知其到本机构进行后续咨询及相应产前诊断。</w:t>
      </w:r>
    </w:p>
    <w:p>
      <w:pPr>
        <w:spacing w:line="360" w:lineRule="auto"/>
        <w:rPr>
          <w:rFonts w:hint="eastAsia" w:ascii="宋体" w:hAnsi="宋体" w:cs="宋体"/>
          <w:sz w:val="24"/>
        </w:rPr>
      </w:pPr>
      <w:r>
        <w:rPr>
          <w:rFonts w:hint="eastAsia" w:ascii="宋体" w:hAnsi="宋体" w:cs="宋体"/>
          <w:sz w:val="24"/>
        </w:rPr>
        <w:t>6.3对于目标疾病以外的其他异常高风险结果，告知孕妇本人或其家属进行进一步咨询和诊断。</w:t>
      </w:r>
    </w:p>
    <w:p>
      <w:pPr>
        <w:spacing w:line="360" w:lineRule="auto"/>
        <w:rPr>
          <w:rFonts w:hint="eastAsia" w:ascii="宋体" w:hAnsi="宋体" w:cs="宋体"/>
          <w:sz w:val="24"/>
        </w:rPr>
      </w:pPr>
      <w:r>
        <w:rPr>
          <w:rFonts w:hint="eastAsia" w:ascii="宋体" w:hAnsi="宋体" w:cs="宋体"/>
          <w:sz w:val="24"/>
        </w:rPr>
        <w:t>7. 妊娠结局随访</w:t>
      </w:r>
    </w:p>
    <w:p>
      <w:pPr>
        <w:spacing w:line="360" w:lineRule="auto"/>
        <w:rPr>
          <w:rFonts w:hint="eastAsia" w:ascii="宋体" w:hAnsi="宋体" w:cs="宋体"/>
          <w:sz w:val="24"/>
        </w:rPr>
      </w:pPr>
      <w:r>
        <w:rPr>
          <w:rFonts w:hint="eastAsia" w:ascii="宋体" w:hAnsi="宋体" w:cs="宋体"/>
          <w:sz w:val="24"/>
        </w:rPr>
        <w:t>随访内容应包括：后期流产、引产、早产或足月产、死产、死胎等妊娠结局，是否为目标疾病患儿，有条件的可将后期流产、死胎的遗传学诊断纳入妊娠结局随访内容。</w:t>
      </w:r>
    </w:p>
    <w:p>
      <w:pPr>
        <w:numPr>
          <w:numId w:val="0"/>
        </w:numPr>
        <w:spacing w:line="360" w:lineRule="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二</w:t>
      </w:r>
      <w:r>
        <w:rPr>
          <w:rFonts w:hint="eastAsia" w:ascii="宋体" w:hAnsi="宋体" w:cs="宋体"/>
          <w:sz w:val="24"/>
          <w:lang w:eastAsia="zh-CN"/>
        </w:rPr>
        <w:t>）</w:t>
      </w:r>
      <w:r>
        <w:rPr>
          <w:rFonts w:hint="eastAsia" w:ascii="宋体" w:hAnsi="宋体" w:cs="宋体"/>
          <w:sz w:val="24"/>
        </w:rPr>
        <w:t>NIPT技术要求</w:t>
      </w:r>
    </w:p>
    <w:p>
      <w:pPr>
        <w:spacing w:line="360" w:lineRule="auto"/>
        <w:rPr>
          <w:rFonts w:hint="eastAsia" w:ascii="宋体" w:hAnsi="宋体" w:cs="宋体"/>
          <w:sz w:val="24"/>
        </w:rPr>
      </w:pPr>
      <w:r>
        <w:rPr>
          <w:rFonts w:hint="eastAsia" w:ascii="宋体" w:hAnsi="宋体" w:cs="宋体"/>
          <w:sz w:val="24"/>
        </w:rPr>
        <w:t>1. 检测内容：21-三体综合征、18-三体综合征和13-三体综合征；</w:t>
      </w:r>
    </w:p>
    <w:p>
      <w:pPr>
        <w:spacing w:line="360" w:lineRule="auto"/>
        <w:rPr>
          <w:rFonts w:hint="eastAsia" w:ascii="宋体" w:hAnsi="宋体" w:cs="宋体"/>
          <w:sz w:val="24"/>
        </w:rPr>
      </w:pPr>
      <w:r>
        <w:rPr>
          <w:rFonts w:hint="eastAsia" w:ascii="宋体" w:hAnsi="宋体" w:cs="宋体"/>
          <w:sz w:val="24"/>
        </w:rPr>
        <w:t>2.检测准确性：按卫健委要求，无创产前胎儿染色体非整倍体检测，21-三体综合征检出率不低于95%，18-三体综合征检出率不低于85%，13-三体综合征检出率不低于70%；复合假阳性率不高于0.5%；</w:t>
      </w:r>
    </w:p>
    <w:p>
      <w:pPr>
        <w:spacing w:line="360" w:lineRule="auto"/>
        <w:rPr>
          <w:rFonts w:hint="eastAsia" w:ascii="宋体" w:hAnsi="宋体" w:cs="宋体"/>
          <w:sz w:val="24"/>
        </w:rPr>
      </w:pPr>
      <w:r>
        <w:rPr>
          <w:rFonts w:hint="eastAsia" w:ascii="宋体" w:hAnsi="宋体" w:cs="宋体"/>
          <w:sz w:val="24"/>
        </w:rPr>
        <w:t>3.样本类型：孕妇外周血，5ml</w:t>
      </w:r>
    </w:p>
    <w:p>
      <w:pPr>
        <w:spacing w:line="360" w:lineRule="auto"/>
        <w:rPr>
          <w:rFonts w:hint="eastAsia" w:ascii="宋体" w:hAnsi="宋体" w:cs="宋体"/>
          <w:sz w:val="24"/>
        </w:rPr>
      </w:pPr>
      <w:r>
        <w:rPr>
          <w:rFonts w:hint="eastAsia" w:ascii="宋体" w:hAnsi="宋体" w:cs="宋体"/>
          <w:sz w:val="24"/>
        </w:rPr>
        <w:t>3.检测方法及样本数据量：使用联合探针锚定聚合测序法检测，每个样本UR（Unique Reads）不少于6M；</w:t>
      </w:r>
    </w:p>
    <w:p>
      <w:pPr>
        <w:spacing w:line="360" w:lineRule="auto"/>
        <w:rPr>
          <w:rFonts w:hint="eastAsia" w:ascii="宋体" w:hAnsi="宋体" w:cs="宋体"/>
          <w:sz w:val="24"/>
        </w:rPr>
      </w:pPr>
      <w:r>
        <w:rPr>
          <w:rFonts w:hint="eastAsia" w:ascii="宋体" w:hAnsi="宋体" w:cs="宋体"/>
          <w:sz w:val="24"/>
        </w:rPr>
        <w:t>4. 投标人提供检测流程、检测周期（不大于10个工作日），免费提供检测项目的假阴性、假阳性排查验证流程。</w:t>
      </w:r>
    </w:p>
    <w:p>
      <w:pPr>
        <w:spacing w:line="360" w:lineRule="auto"/>
        <w:rPr>
          <w:rFonts w:hint="eastAsia" w:ascii="宋体" w:hAnsi="宋体" w:cs="宋体"/>
          <w:sz w:val="24"/>
        </w:rPr>
      </w:pPr>
      <w:r>
        <w:rPr>
          <w:rFonts w:hint="eastAsia" w:ascii="宋体" w:hAnsi="宋体" w:cs="宋体"/>
          <w:sz w:val="24"/>
        </w:rPr>
        <w:t>5.投标人必需为受检人群购买保险，阳性报销：标准型21、18、13三体单胎不低于2500元，双胎不低于4000元，假阴报销：21、18、13三体保险金额胎儿出生前不低于2万，胎儿出生后不低于40万。购买此项保险的费用由投标人承担，采购人不另行支付。</w:t>
      </w:r>
    </w:p>
    <w:p>
      <w:pPr>
        <w:spacing w:line="360" w:lineRule="auto"/>
        <w:rPr>
          <w:rFonts w:hint="eastAsia" w:ascii="宋体" w:hAnsi="宋体" w:cs="宋体"/>
          <w:sz w:val="24"/>
        </w:rPr>
      </w:pPr>
      <w:r>
        <w:rPr>
          <w:rFonts w:hint="eastAsia" w:ascii="宋体" w:hAnsi="宋体" w:cs="宋体"/>
          <w:sz w:val="24"/>
        </w:rPr>
        <w:t>7.采用的基因测序仪、检测试剂盒，都需具备中华人民共和国国家食品和药品监督管理局（ NMPA ）批准可用于临床检测。（提供基因测序仪、检测试剂盒的 NMPA 注册证并加盖投标人公章）。</w:t>
      </w:r>
    </w:p>
    <w:p>
      <w:pPr>
        <w:spacing w:line="360" w:lineRule="auto"/>
        <w:rPr>
          <w:rFonts w:hint="eastAsia" w:ascii="宋体" w:hAnsi="宋体" w:cs="宋体"/>
          <w:sz w:val="24"/>
        </w:rPr>
      </w:pPr>
      <w:r>
        <w:rPr>
          <w:rFonts w:hint="eastAsia" w:ascii="宋体" w:hAnsi="宋体" w:cs="宋体"/>
          <w:sz w:val="24"/>
        </w:rPr>
        <w:t>8.室内质量控制：同批次检测样本应有阴性对照、阳性对照，并提供完善的室内质控方案。</w:t>
      </w:r>
    </w:p>
    <w:p>
      <w:pPr>
        <w:numPr>
          <w:numId w:val="0"/>
        </w:numPr>
        <w:spacing w:line="360" w:lineRule="auto"/>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三</w:t>
      </w:r>
      <w:bookmarkStart w:id="0" w:name="_GoBack"/>
      <w:bookmarkEnd w:id="0"/>
      <w:r>
        <w:rPr>
          <w:rFonts w:hint="eastAsia" w:ascii="宋体" w:hAnsi="宋体" w:cs="宋体"/>
          <w:sz w:val="24"/>
          <w:lang w:eastAsia="zh-CN"/>
        </w:rPr>
        <w:t>）</w:t>
      </w:r>
      <w:r>
        <w:rPr>
          <w:rFonts w:hint="eastAsia" w:ascii="宋体" w:hAnsi="宋体" w:cs="宋体"/>
          <w:sz w:val="24"/>
        </w:rPr>
        <w:t>NIPT Plus技术要求</w:t>
      </w:r>
    </w:p>
    <w:p>
      <w:pPr>
        <w:spacing w:line="360" w:lineRule="auto"/>
        <w:rPr>
          <w:rFonts w:hint="eastAsia" w:ascii="宋体" w:hAnsi="宋体" w:cs="宋体"/>
          <w:sz w:val="24"/>
        </w:rPr>
      </w:pPr>
      <w:r>
        <w:rPr>
          <w:rFonts w:hint="eastAsia" w:ascii="宋体" w:hAnsi="宋体" w:cs="宋体"/>
          <w:sz w:val="24"/>
        </w:rPr>
        <w:t>1.检测内容：21-三体综合征、18-三体综合征和13-三体综合征、性染色体异常在内的所有染色体非整倍体异常，不少于92种临床明确的染色体缺失重复综合征。单胎可检测性染色体非整倍体，双胎性染色体数目异常不在检测范围内</w:t>
      </w:r>
    </w:p>
    <w:p>
      <w:pPr>
        <w:spacing w:line="360" w:lineRule="auto"/>
        <w:rPr>
          <w:rFonts w:hint="eastAsia" w:ascii="宋体" w:hAnsi="宋体" w:cs="宋体"/>
          <w:sz w:val="24"/>
        </w:rPr>
      </w:pPr>
      <w:r>
        <w:rPr>
          <w:rFonts w:hint="eastAsia" w:ascii="宋体" w:hAnsi="宋体" w:cs="宋体"/>
          <w:sz w:val="24"/>
        </w:rPr>
        <w:t>2.检测准确性：按卫健委要求，无创产前胎儿染色体非整倍体检测，21-三体综合征检出率不低于95%，18-三体综合征检出率不低于85%，13-三体综合征检出率不低于70%；复合假阳性率不高于0.5%；</w:t>
      </w:r>
    </w:p>
    <w:p>
      <w:pPr>
        <w:spacing w:line="360" w:lineRule="auto"/>
        <w:rPr>
          <w:rFonts w:hint="eastAsia" w:ascii="宋体" w:hAnsi="宋体" w:cs="宋体"/>
          <w:sz w:val="24"/>
        </w:rPr>
      </w:pPr>
      <w:r>
        <w:rPr>
          <w:rFonts w:hint="eastAsia" w:ascii="宋体" w:hAnsi="宋体" w:cs="宋体"/>
          <w:sz w:val="24"/>
        </w:rPr>
        <w:t>3.样本类型：孕妇外周血，5ml</w:t>
      </w:r>
    </w:p>
    <w:p>
      <w:pPr>
        <w:spacing w:line="360" w:lineRule="auto"/>
        <w:rPr>
          <w:rFonts w:hint="eastAsia" w:ascii="宋体" w:hAnsi="宋体" w:cs="宋体"/>
          <w:sz w:val="24"/>
        </w:rPr>
      </w:pPr>
      <w:r>
        <w:rPr>
          <w:rFonts w:hint="eastAsia" w:ascii="宋体" w:hAnsi="宋体" w:cs="宋体"/>
          <w:sz w:val="24"/>
        </w:rPr>
        <w:t>4.检测方法及样本数据量：使用联合探针锚定聚合测序法检测，每个样本UR（Unique Reads）不少于25M；</w:t>
      </w:r>
    </w:p>
    <w:p>
      <w:pPr>
        <w:spacing w:line="360" w:lineRule="auto"/>
        <w:rPr>
          <w:rFonts w:hint="eastAsia" w:ascii="宋体" w:hAnsi="宋体" w:cs="宋体"/>
          <w:sz w:val="24"/>
        </w:rPr>
      </w:pPr>
      <w:r>
        <w:rPr>
          <w:rFonts w:hint="eastAsia" w:ascii="宋体" w:hAnsi="宋体" w:cs="宋体"/>
          <w:sz w:val="24"/>
        </w:rPr>
        <w:t>5. 投标人提供检测流程、检测周期（不大于10个工作日），免费提供检测项目的假阴性、假阳性排查验证流程。</w:t>
      </w:r>
    </w:p>
    <w:p>
      <w:pPr>
        <w:spacing w:line="360" w:lineRule="auto"/>
        <w:rPr>
          <w:rFonts w:hint="eastAsia" w:ascii="宋体" w:hAnsi="宋体" w:cs="宋体"/>
          <w:sz w:val="24"/>
        </w:rPr>
      </w:pPr>
      <w:r>
        <w:rPr>
          <w:rFonts w:hint="eastAsia" w:ascii="宋体" w:hAnsi="宋体" w:cs="宋体"/>
          <w:sz w:val="24"/>
        </w:rPr>
        <w:t>6.投标人必需为受检人群购买保险，阳性报销：标准型21、18、13三体、其他染色体数目异常和检测的缺失重复综合征单胎或双胎不低于5000元，假阴报销：21、18、13三体、其他染色体数目异常和检测的缺失重复综合征保险金额胎儿出生前不低于2万，胎儿出生后不低于40万。购买此项保险的费用由投标人承担，采购人不另行支付。</w:t>
      </w:r>
    </w:p>
    <w:p>
      <w:pPr>
        <w:spacing w:line="360" w:lineRule="auto"/>
        <w:rPr>
          <w:rFonts w:hint="eastAsia" w:ascii="宋体" w:hAnsi="宋体" w:cs="宋体"/>
          <w:sz w:val="24"/>
        </w:rPr>
      </w:pPr>
      <w:r>
        <w:rPr>
          <w:rFonts w:hint="eastAsia" w:ascii="宋体" w:hAnsi="宋体" w:cs="宋体"/>
          <w:sz w:val="24"/>
        </w:rPr>
        <w:t>7.采用的基因测序仪，需具备中华人民共和国国家食品和药品监督管理局（ NMPA ）批准可用于临床检测。（提供基因测序仪的 NMPA 注册证并加盖投标人公章）。</w:t>
      </w:r>
    </w:p>
    <w:p>
      <w:pPr>
        <w:spacing w:line="360" w:lineRule="auto"/>
        <w:rPr>
          <w:rFonts w:ascii="宋体" w:hAnsi="宋体" w:cs="宋体"/>
          <w:sz w:val="24"/>
        </w:rPr>
      </w:pPr>
      <w:r>
        <w:rPr>
          <w:rFonts w:hint="eastAsia" w:ascii="宋体" w:hAnsi="宋体" w:cs="宋体"/>
          <w:sz w:val="24"/>
        </w:rPr>
        <w:t>8.室内质量控制：同批次检测样本应有阴性对照、阳性对照，并提供完善的室内质控方案。</w:t>
      </w:r>
    </w:p>
    <w:p>
      <w:pPr>
        <w:adjustRightInd w:val="0"/>
        <w:snapToGrid w:val="0"/>
        <w:spacing w:line="360" w:lineRule="auto"/>
        <w:rPr>
          <w:rFonts w:ascii="宋体" w:hAnsi="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NGNhYmEwMjk5MTg3ODA3MDc4MDk4NGFjZjY3MWYifQ=="/>
  </w:docVars>
  <w:rsids>
    <w:rsidRoot w:val="6E4F693C"/>
    <w:rsid w:val="00113AB9"/>
    <w:rsid w:val="00907015"/>
    <w:rsid w:val="00FF04D1"/>
    <w:rsid w:val="238969DB"/>
    <w:rsid w:val="30980467"/>
    <w:rsid w:val="6E4F6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rPr>
      <w:rFonts w:ascii="Times New Roman" w:hAnsi="Times New Roman" w:eastAsia="宋体" w:cs="Times New Roman"/>
    </w:rPr>
  </w:style>
  <w:style w:type="paragraph" w:styleId="3">
    <w:name w:val="Balloon Text"/>
    <w:basedOn w:val="1"/>
    <w:link w:val="10"/>
    <w:autoRedefine/>
    <w:qFormat/>
    <w:uiPriority w:val="0"/>
    <w:rPr>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autoRedefine/>
    <w:qFormat/>
    <w:uiPriority w:val="99"/>
    <w:rPr>
      <w:rFonts w:ascii="Times New Roman" w:hAnsi="Times New Roman" w:eastAsia="宋体" w:cs="Times New Roman"/>
      <w:color w:val="FF0000"/>
    </w:rPr>
  </w:style>
  <w:style w:type="character" w:styleId="9">
    <w:name w:val="annotation reference"/>
    <w:basedOn w:val="8"/>
    <w:autoRedefine/>
    <w:qFormat/>
    <w:uiPriority w:val="0"/>
    <w:rPr>
      <w:sz w:val="21"/>
      <w:szCs w:val="21"/>
    </w:rPr>
  </w:style>
  <w:style w:type="character" w:customStyle="1" w:styleId="10">
    <w:name w:val="批注框文本 字符"/>
    <w:basedOn w:val="8"/>
    <w:link w:val="3"/>
    <w:autoRedefine/>
    <w:qFormat/>
    <w:uiPriority w:val="0"/>
    <w:rPr>
      <w:kern w:val="2"/>
      <w:sz w:val="18"/>
      <w:szCs w:val="18"/>
    </w:rPr>
  </w:style>
  <w:style w:type="character" w:customStyle="1" w:styleId="11">
    <w:name w:val="页眉 字符"/>
    <w:basedOn w:val="8"/>
    <w:link w:val="5"/>
    <w:autoRedefine/>
    <w:qFormat/>
    <w:uiPriority w:val="0"/>
    <w:rPr>
      <w:kern w:val="2"/>
      <w:sz w:val="18"/>
      <w:szCs w:val="18"/>
    </w:rPr>
  </w:style>
  <w:style w:type="character" w:customStyle="1" w:styleId="12">
    <w:name w:val="页脚 字符"/>
    <w:basedOn w:val="8"/>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上海交通大学医学院附属新华医院</Company>
  <Pages>5</Pages>
  <Words>312</Words>
  <Characters>1779</Characters>
  <Lines>14</Lines>
  <Paragraphs>4</Paragraphs>
  <TotalTime>9</TotalTime>
  <ScaleCrop>false</ScaleCrop>
  <LinksUpToDate>false</LinksUpToDate>
  <CharactersWithSpaces>2087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2024-03-14T05:57:00Z</dcterms:created>
  <dc:creator>不会起名</dc:creator>
  <cp:lastModifiedBy>杨俐君</cp:lastModifiedBy>
  <dcterms:modified xsi:type="dcterms:W3CDTF">2024-03-19T03:22:18Z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6A5AFBC32C5B4A889DFD420ACCE7E3F0_13</vt:lpwstr>
  </property>
</Properties>
</file>