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rsidR="00097888" w:rsidRPr="001D1C86" w:rsidRDefault="001D1C86" w:rsidP="001D1C86">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上海交通大学医学院附属新华医院</w:t>
      </w:r>
      <w:r w:rsidR="00231E12" w:rsidRPr="00231E12">
        <w:rPr>
          <w:rFonts w:ascii="宋体" w:eastAsia="宋体" w:hAnsi="宋体" w:hint="eastAsia"/>
          <w:sz w:val="24"/>
          <w:szCs w:val="24"/>
        </w:rPr>
        <w:t>消化内镜工作站</w:t>
      </w:r>
      <w:r w:rsidRPr="001D1C86">
        <w:rPr>
          <w:rFonts w:ascii="宋体" w:eastAsia="宋体" w:hAnsi="宋体" w:hint="eastAsia"/>
          <w:sz w:val="24"/>
          <w:szCs w:val="24"/>
        </w:rPr>
        <w:t>项目</w:t>
      </w:r>
    </w:p>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1D1C86" w:rsidRPr="001D1C86" w:rsidTr="001D1C86">
        <w:trPr>
          <w:trHeight w:val="360"/>
        </w:trPr>
        <w:tc>
          <w:tcPr>
            <w:tcW w:w="935"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D1C86" w:rsidRPr="001D1C86" w:rsidTr="001D1C86">
        <w:trPr>
          <w:trHeight w:val="395"/>
        </w:trPr>
        <w:tc>
          <w:tcPr>
            <w:tcW w:w="935" w:type="pct"/>
            <w:shd w:val="clear" w:color="000000" w:fill="FFFFFF"/>
            <w:noWrap/>
            <w:vAlign w:val="center"/>
          </w:tcPr>
          <w:p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w:t>
            </w:r>
          </w:p>
        </w:tc>
        <w:tc>
          <w:tcPr>
            <w:tcW w:w="2503" w:type="pct"/>
            <w:shd w:val="clear" w:color="000000" w:fill="FFFFFF"/>
            <w:noWrap/>
            <w:vAlign w:val="center"/>
          </w:tcPr>
          <w:p w:rsidR="001D1C86" w:rsidRPr="001D1C86" w:rsidRDefault="00231E12" w:rsidP="001D1C86">
            <w:pPr>
              <w:widowControl/>
              <w:adjustRightInd w:val="0"/>
              <w:snapToGrid w:val="0"/>
              <w:spacing w:line="360" w:lineRule="auto"/>
              <w:ind w:hanging="31"/>
              <w:jc w:val="center"/>
              <w:rPr>
                <w:rFonts w:ascii="宋体" w:eastAsia="宋体" w:hAnsi="宋体" w:cs="宋体"/>
                <w:kern w:val="0"/>
                <w:sz w:val="24"/>
                <w:szCs w:val="24"/>
              </w:rPr>
            </w:pPr>
            <w:r w:rsidRPr="00231E12">
              <w:rPr>
                <w:rFonts w:ascii="宋体" w:eastAsia="宋体" w:hAnsi="宋体" w:cs="宋体" w:hint="eastAsia"/>
                <w:kern w:val="0"/>
                <w:sz w:val="24"/>
                <w:szCs w:val="24"/>
              </w:rPr>
              <w:t>消化内镜工作站</w:t>
            </w:r>
          </w:p>
        </w:tc>
        <w:tc>
          <w:tcPr>
            <w:tcW w:w="1562" w:type="pct"/>
            <w:shd w:val="clear" w:color="000000" w:fill="FFFFFF"/>
            <w:noWrap/>
            <w:vAlign w:val="center"/>
          </w:tcPr>
          <w:p w:rsidR="001D1C86" w:rsidRPr="001D1C86" w:rsidRDefault="00231E12" w:rsidP="001D1C86">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kern w:val="0"/>
                <w:sz w:val="24"/>
                <w:szCs w:val="24"/>
              </w:rPr>
              <w:t>2</w:t>
            </w:r>
            <w:r w:rsidR="000B35DF">
              <w:rPr>
                <w:rFonts w:ascii="宋体" w:eastAsia="宋体" w:hAnsi="宋体" w:cs="宋体" w:hint="eastAsia"/>
                <w:kern w:val="0"/>
                <w:sz w:val="24"/>
                <w:szCs w:val="24"/>
              </w:rPr>
              <w:t>台</w:t>
            </w:r>
          </w:p>
        </w:tc>
      </w:tr>
    </w:tbl>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231E12">
        <w:rPr>
          <w:rFonts w:ascii="宋体" w:eastAsia="宋体" w:hAnsi="宋体" w:hint="eastAsia"/>
          <w:sz w:val="24"/>
          <w:szCs w:val="24"/>
        </w:rPr>
        <w:t>1</w:t>
      </w:r>
      <w:r w:rsidR="000B35DF">
        <w:rPr>
          <w:rFonts w:ascii="宋体" w:eastAsia="宋体" w:hAnsi="宋体"/>
          <w:sz w:val="24"/>
          <w:szCs w:val="24"/>
        </w:rPr>
        <w:t>0</w:t>
      </w:r>
      <w:r w:rsidRPr="001D1C86">
        <w:rPr>
          <w:rFonts w:ascii="宋体" w:eastAsia="宋体" w:hAnsi="宋体"/>
          <w:sz w:val="24"/>
          <w:szCs w:val="24"/>
        </w:rPr>
        <w:t>0.00万元</w:t>
      </w:r>
    </w:p>
    <w:p w:rsid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1）在中华人民共和国境内注册，具有独立承担民事责任的能力。</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2）本项目不接受联合体投标；</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3）本项目不接受分包、转包；</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4）单位负责人为同一人或者存在直接控股、管理关系的不同供应商，不得参加同一合同项下的采购活动。</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6）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7）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rsidR="00231E12" w:rsidRPr="00231E12" w:rsidRDefault="00231E12" w:rsidP="00231E12">
      <w:pPr>
        <w:adjustRightInd w:val="0"/>
        <w:snapToGrid w:val="0"/>
        <w:spacing w:line="360" w:lineRule="auto"/>
        <w:rPr>
          <w:rFonts w:ascii="宋体" w:eastAsia="宋体" w:hAnsi="宋体" w:hint="eastAsia"/>
          <w:sz w:val="24"/>
          <w:szCs w:val="24"/>
        </w:rPr>
      </w:pPr>
      <w:r w:rsidRPr="00231E12">
        <w:rPr>
          <w:rFonts w:ascii="宋体" w:eastAsia="宋体" w:hAnsi="宋体"/>
          <w:sz w:val="24"/>
          <w:szCs w:val="24"/>
        </w:rPr>
        <w:t>8）如投标单位是贸易代理商，应提供该设备的制造商出具的本次采购项目唯一</w:t>
      </w:r>
      <w:r w:rsidRPr="00231E12">
        <w:rPr>
          <w:rFonts w:ascii="宋体" w:eastAsia="宋体" w:hAnsi="宋体"/>
          <w:sz w:val="24"/>
          <w:szCs w:val="24"/>
        </w:rPr>
        <w:lastRenderedPageBreak/>
        <w:t>代理的授权函；</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rsidR="00231E12" w:rsidRDefault="00231E12" w:rsidP="001D1C86">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hint="eastAsia"/>
          <w:sz w:val="24"/>
          <w:szCs w:val="24"/>
        </w:rPr>
        <w:t>消化内镜治疗全能设备，适用于任何消化内镜下的治疗</w:t>
      </w:r>
    </w:p>
    <w:p w:rsidR="00231E12" w:rsidRPr="00231E12" w:rsidRDefault="00231E12" w:rsidP="00231E12">
      <w:pPr>
        <w:adjustRightInd w:val="0"/>
        <w:snapToGrid w:val="0"/>
        <w:spacing w:line="360" w:lineRule="auto"/>
        <w:ind w:firstLineChars="200" w:firstLine="482"/>
        <w:rPr>
          <w:rFonts w:ascii="宋体" w:eastAsia="宋体" w:hAnsi="宋体"/>
          <w:b/>
          <w:sz w:val="24"/>
          <w:szCs w:val="24"/>
        </w:rPr>
      </w:pPr>
      <w:r w:rsidRPr="00231E12">
        <w:rPr>
          <w:rFonts w:ascii="宋体" w:eastAsia="宋体" w:hAnsi="宋体" w:hint="eastAsia"/>
          <w:b/>
          <w:sz w:val="24"/>
          <w:szCs w:val="24"/>
        </w:rPr>
        <w:t>二、配置清单：</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w:t>
      </w:r>
      <w:r w:rsidRPr="00231E12">
        <w:rPr>
          <w:rFonts w:ascii="宋体" w:eastAsia="宋体" w:hAnsi="宋体"/>
          <w:sz w:val="24"/>
          <w:szCs w:val="24"/>
        </w:rPr>
        <w:tab/>
        <w:t>高频电外科系统（含脚踏1个）</w:t>
      </w:r>
      <w:r w:rsidRPr="00231E12">
        <w:rPr>
          <w:rFonts w:ascii="宋体" w:eastAsia="宋体" w:hAnsi="宋体"/>
          <w:sz w:val="24"/>
          <w:szCs w:val="24"/>
        </w:rPr>
        <w:tab/>
        <w:t>2套</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w:t>
      </w:r>
      <w:r w:rsidRPr="00231E12">
        <w:rPr>
          <w:rFonts w:ascii="宋体" w:eastAsia="宋体" w:hAnsi="宋体"/>
          <w:sz w:val="24"/>
          <w:szCs w:val="24"/>
        </w:rPr>
        <w:tab/>
        <w:t>氩等离子体凝固器（含减压阀1个，氩气瓶1个）</w:t>
      </w:r>
      <w:r w:rsidRPr="00231E12">
        <w:rPr>
          <w:rFonts w:ascii="宋体" w:eastAsia="宋体" w:hAnsi="宋体"/>
          <w:sz w:val="24"/>
          <w:szCs w:val="24"/>
        </w:rPr>
        <w:tab/>
        <w:t>2套</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3</w:t>
      </w:r>
      <w:r w:rsidRPr="00231E12">
        <w:rPr>
          <w:rFonts w:ascii="宋体" w:eastAsia="宋体" w:hAnsi="宋体"/>
          <w:sz w:val="24"/>
          <w:szCs w:val="24"/>
        </w:rPr>
        <w:tab/>
        <w:t>连接电缆4m</w:t>
      </w:r>
      <w:r w:rsidRPr="00231E12">
        <w:rPr>
          <w:rFonts w:ascii="宋体" w:eastAsia="宋体" w:hAnsi="宋体"/>
          <w:sz w:val="24"/>
          <w:szCs w:val="24"/>
        </w:rPr>
        <w:tab/>
        <w:t>4根</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4</w:t>
      </w:r>
      <w:r w:rsidRPr="00231E12">
        <w:rPr>
          <w:rFonts w:ascii="宋体" w:eastAsia="宋体" w:hAnsi="宋体"/>
          <w:sz w:val="24"/>
          <w:szCs w:val="24"/>
        </w:rPr>
        <w:tab/>
        <w:t>高频连接电缆</w:t>
      </w:r>
      <w:r w:rsidRPr="00231E12">
        <w:rPr>
          <w:rFonts w:ascii="宋体" w:eastAsia="宋体" w:hAnsi="宋体"/>
          <w:sz w:val="24"/>
          <w:szCs w:val="24"/>
        </w:rPr>
        <w:tab/>
        <w:t>4根</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5</w:t>
      </w:r>
      <w:r w:rsidRPr="00231E12">
        <w:rPr>
          <w:rFonts w:ascii="宋体" w:eastAsia="宋体" w:hAnsi="宋体"/>
          <w:sz w:val="24"/>
          <w:szCs w:val="24"/>
        </w:rPr>
        <w:tab/>
        <w:t>中性电极</w:t>
      </w:r>
      <w:r w:rsidRPr="00231E12">
        <w:rPr>
          <w:rFonts w:ascii="宋体" w:eastAsia="宋体" w:hAnsi="宋体"/>
          <w:sz w:val="24"/>
          <w:szCs w:val="24"/>
        </w:rPr>
        <w:tab/>
        <w:t>10片</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6</w:t>
      </w:r>
      <w:r w:rsidRPr="00231E12">
        <w:rPr>
          <w:rFonts w:ascii="宋体" w:eastAsia="宋体" w:hAnsi="宋体"/>
          <w:sz w:val="24"/>
          <w:szCs w:val="24"/>
        </w:rPr>
        <w:tab/>
        <w:t>氩气电极</w:t>
      </w:r>
      <w:r w:rsidRPr="00231E12">
        <w:rPr>
          <w:rFonts w:ascii="宋体" w:eastAsia="宋体" w:hAnsi="宋体"/>
          <w:sz w:val="24"/>
          <w:szCs w:val="24"/>
        </w:rPr>
        <w:tab/>
        <w:t>4根</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7</w:t>
      </w:r>
      <w:r w:rsidRPr="00231E12">
        <w:rPr>
          <w:rFonts w:ascii="宋体" w:eastAsia="宋体" w:hAnsi="宋体"/>
          <w:sz w:val="24"/>
          <w:szCs w:val="24"/>
        </w:rPr>
        <w:tab/>
        <w:t>专用台车</w:t>
      </w:r>
      <w:r w:rsidRPr="00231E12">
        <w:rPr>
          <w:rFonts w:ascii="宋体" w:eastAsia="宋体" w:hAnsi="宋体"/>
          <w:sz w:val="24"/>
          <w:szCs w:val="24"/>
        </w:rPr>
        <w:tab/>
        <w:t>2套</w:t>
      </w:r>
    </w:p>
    <w:p w:rsidR="00231E12" w:rsidRPr="00231E12" w:rsidRDefault="00231E12" w:rsidP="00231E12">
      <w:pPr>
        <w:adjustRightInd w:val="0"/>
        <w:snapToGrid w:val="0"/>
        <w:spacing w:line="360" w:lineRule="auto"/>
        <w:ind w:firstLineChars="200" w:firstLine="482"/>
        <w:rPr>
          <w:rFonts w:ascii="宋体" w:eastAsia="宋体" w:hAnsi="宋体"/>
          <w:b/>
          <w:sz w:val="24"/>
          <w:szCs w:val="24"/>
        </w:rPr>
      </w:pPr>
      <w:r w:rsidRPr="00231E12">
        <w:rPr>
          <w:rFonts w:ascii="宋体" w:eastAsia="宋体" w:hAnsi="宋体" w:hint="eastAsia"/>
          <w:b/>
          <w:sz w:val="24"/>
          <w:szCs w:val="24"/>
        </w:rPr>
        <w:t>三、主要及一般技术参数：</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1、单极功能模块:具备。</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2、单极切割功率：0—200瓦功率可调。</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hint="eastAsia"/>
          <w:sz w:val="24"/>
          <w:szCs w:val="24"/>
        </w:rPr>
        <w:t>★</w:t>
      </w:r>
      <w:r w:rsidRPr="00231E12">
        <w:rPr>
          <w:rFonts w:ascii="宋体" w:eastAsia="宋体" w:hAnsi="宋体"/>
          <w:sz w:val="24"/>
          <w:szCs w:val="24"/>
        </w:rPr>
        <w:t>3、单极切割模式：≥6种，要求有内镜专用切割模式,分别适用于内镜下十二指肠乳头切开和息肉切除。</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hint="eastAsia"/>
          <w:sz w:val="24"/>
          <w:szCs w:val="24"/>
        </w:rPr>
        <w:t>★</w:t>
      </w:r>
      <w:r w:rsidRPr="00231E12">
        <w:rPr>
          <w:rFonts w:ascii="宋体" w:eastAsia="宋体" w:hAnsi="宋体"/>
          <w:sz w:val="24"/>
          <w:szCs w:val="24"/>
        </w:rPr>
        <w:t>4、低电压设计:单极凝血最高电压≤4300V。</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5、单极电凝功率:0—120瓦可调。</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6、单极电凝模式：1．柔和电凝；2．强力电凝；3．快速电凝。</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7、双极功能模块:具备。</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8、双极切割功率：0—120瓦功率可调。</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9、双极凝血控制模式:1．脚踏开关控制；2．自动启动。</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10、氩气系统:具备。</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hint="eastAsia"/>
          <w:sz w:val="24"/>
          <w:szCs w:val="24"/>
        </w:rPr>
        <w:t>★</w:t>
      </w:r>
      <w:r w:rsidRPr="00231E12">
        <w:rPr>
          <w:rFonts w:ascii="宋体" w:eastAsia="宋体" w:hAnsi="宋体"/>
          <w:sz w:val="24"/>
          <w:szCs w:val="24"/>
        </w:rPr>
        <w:t>11、具备四种可控凝血深度的氩等离子电凝模式:1.精细电凝, 电凝深度≤1mm;2.强力电凝,电凝深度≤3mm;3.精细脉冲电凝，电凝深度≤2mm;4.强力脉冲电凝，电凝深度≤4mm。</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12、氩气流量：0.1—8升/分钟，可调。</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13、内镜下低流量：0.1—2.4升/分钟，可调。</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14、器械自动识别功能：能够自动识别出所连接的编码器械，并自动为其适</w:t>
      </w:r>
      <w:r w:rsidRPr="00231E12">
        <w:rPr>
          <w:rFonts w:ascii="宋体" w:eastAsia="宋体" w:hAnsi="宋体"/>
          <w:sz w:val="24"/>
          <w:szCs w:val="24"/>
        </w:rPr>
        <w:lastRenderedPageBreak/>
        <w:t>配安全的流量参数。</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15、具备氩气气路阻塞报警系统及氩气低压力报警系统。</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16、具备器械末端氩气压力的自动恒定系统。</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17、具有错误代码存储功能：便于进行远程诊断。</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18、分体式设计：便于搬运和维修。</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19、氩气软管电极要求：</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19.1. 要求具备≥20种以上各种型号治疗氩气软管电极；</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19.2. 软管要求具备色环标记，重复使用，要求具备不同开口方向的电极，有直喷电极、侧喷电极、环喷电极。</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20、具有开机自检功能。</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21、具有最小功率输出控制系统和功率峰值补偿系统。</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22、具有中性电极安全监测系统。</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23、具有输出错误监测系统。</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24、具有时间限制检测系统。</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25、具备错误代码储存功能；便于远程诊断和维修。</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26、具有程序存储和程序控制功能：可存储多组子程序99组程序（每个程序可设1个子程序）。</w:t>
      </w:r>
    </w:p>
    <w:p w:rsidR="00231E12" w:rsidRPr="00231E12" w:rsidRDefault="00231E12" w:rsidP="00231E12">
      <w:pPr>
        <w:adjustRightInd w:val="0"/>
        <w:snapToGrid w:val="0"/>
        <w:spacing w:line="360" w:lineRule="auto"/>
        <w:ind w:firstLineChars="200" w:firstLine="480"/>
        <w:rPr>
          <w:rFonts w:ascii="宋体" w:eastAsia="宋体" w:hAnsi="宋体"/>
          <w:sz w:val="24"/>
          <w:szCs w:val="24"/>
        </w:rPr>
      </w:pPr>
      <w:r w:rsidRPr="00231E12">
        <w:rPr>
          <w:rFonts w:ascii="宋体" w:eastAsia="宋体" w:hAnsi="宋体"/>
          <w:sz w:val="24"/>
          <w:szCs w:val="24"/>
        </w:rPr>
        <w:t>27、可升级水刀模块。</w:t>
      </w:r>
    </w:p>
    <w:p w:rsidR="00231E12" w:rsidRDefault="00231E12" w:rsidP="001D1C86">
      <w:pPr>
        <w:adjustRightInd w:val="0"/>
        <w:snapToGrid w:val="0"/>
        <w:spacing w:line="360" w:lineRule="auto"/>
        <w:rPr>
          <w:rFonts w:ascii="宋体" w:eastAsia="宋体" w:hAnsi="宋体"/>
          <w:b/>
          <w:sz w:val="24"/>
          <w:szCs w:val="24"/>
        </w:rPr>
      </w:pP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（五）</w:t>
      </w:r>
      <w:r w:rsidR="001D1C86" w:rsidRPr="001D1C86">
        <w:rPr>
          <w:rFonts w:ascii="宋体" w:eastAsia="宋体" w:hAnsi="宋体" w:hint="eastAsia"/>
          <w:b/>
          <w:sz w:val="24"/>
          <w:szCs w:val="24"/>
        </w:rPr>
        <w:t>商务要求</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1、供货价为最终用户价，所有运费、保险均由投标方承担；</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2、 所有设备均由投标方负责安装调试，安装调试过程中一切费用均由投标方承担。安装完成后，对设备主要性能进行检测，并提供检测报告。若仪器安装后发现主要参数与投标文件或仪器说明书严重不符影响工作，应无条件退货，投标方承担全部损失；</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3、保证对所售设备提供专业的24小时原厂技术服务和技术支持，设备如发生故障，在接到招标人通知后，须在4小时内作出响应并到达现场进行维修。</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4、免费提供操作人员现场培训及操作手册，并不限定次数，直到临床医生熟悉掌握为止；</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hint="eastAsia"/>
          <w:sz w:val="24"/>
          <w:szCs w:val="24"/>
        </w:rPr>
        <w:t>★</w:t>
      </w:r>
      <w:r w:rsidRPr="00231E12">
        <w:rPr>
          <w:rFonts w:ascii="宋体" w:eastAsia="宋体" w:hAnsi="宋体"/>
          <w:sz w:val="24"/>
          <w:szCs w:val="24"/>
        </w:rPr>
        <w:t>5、设备保修期≥3年，凡保修期内出现的质量问题，投标方免费给予修理或调</w:t>
      </w:r>
      <w:r w:rsidRPr="00231E12">
        <w:rPr>
          <w:rFonts w:ascii="宋体" w:eastAsia="宋体" w:hAnsi="宋体"/>
          <w:sz w:val="24"/>
          <w:szCs w:val="24"/>
        </w:rPr>
        <w:lastRenderedPageBreak/>
        <w:t>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10%；</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6、提供终身免费的软件升级、安装服务；</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7、免费临床疑难问题的技术支持；每年技术回访不少于2次。</w:t>
      </w:r>
    </w:p>
    <w:p w:rsidR="00231E12" w:rsidRPr="00231E12"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8、投标文件中分别提供随机易损件和易耗件清单（计入投标总价），和质保期结束后的备品备件、易损件和易耗件清单一览表（不计入投标总价）。</w:t>
      </w:r>
    </w:p>
    <w:p w:rsidR="001D1C86" w:rsidRPr="001D1C86" w:rsidRDefault="00231E12" w:rsidP="00231E12">
      <w:pPr>
        <w:adjustRightInd w:val="0"/>
        <w:snapToGrid w:val="0"/>
        <w:spacing w:line="360" w:lineRule="auto"/>
        <w:rPr>
          <w:rFonts w:ascii="宋体" w:eastAsia="宋体" w:hAnsi="宋体"/>
          <w:sz w:val="24"/>
          <w:szCs w:val="24"/>
        </w:rPr>
      </w:pPr>
      <w:r w:rsidRPr="00231E12">
        <w:rPr>
          <w:rFonts w:ascii="宋体" w:eastAsia="宋体" w:hAnsi="宋体"/>
          <w:sz w:val="24"/>
          <w:szCs w:val="24"/>
        </w:rPr>
        <w:t>9、备品备件供货价格：如备件为原厂备件或可替代质量合格其他，备件价格不高于市场价。</w:t>
      </w:r>
      <w:bookmarkStart w:id="0" w:name="_GoBack"/>
      <w:bookmarkEnd w:id="0"/>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1F" w:rsidRDefault="0082041F" w:rsidP="001D1C86">
      <w:r>
        <w:separator/>
      </w:r>
    </w:p>
  </w:endnote>
  <w:endnote w:type="continuationSeparator" w:id="0">
    <w:p w:rsidR="0082041F" w:rsidRDefault="008204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1F" w:rsidRDefault="0082041F" w:rsidP="001D1C86">
      <w:r>
        <w:separator/>
      </w:r>
    </w:p>
  </w:footnote>
  <w:footnote w:type="continuationSeparator" w:id="0">
    <w:p w:rsidR="0082041F" w:rsidRDefault="0082041F"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D6081"/>
    <w:multiLevelType w:val="hybridMultilevel"/>
    <w:tmpl w:val="D5083866"/>
    <w:lvl w:ilvl="0" w:tplc="625CC87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35DF"/>
    <w:rsid w:val="0013594E"/>
    <w:rsid w:val="001B75E0"/>
    <w:rsid w:val="001D1C86"/>
    <w:rsid w:val="00231E12"/>
    <w:rsid w:val="002E581F"/>
    <w:rsid w:val="00802568"/>
    <w:rsid w:val="0082041F"/>
    <w:rsid w:val="0090336E"/>
    <w:rsid w:val="009D50C6"/>
    <w:rsid w:val="00B4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F831"/>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paragraph" w:styleId="a7">
    <w:name w:val="List Paragraph"/>
    <w:basedOn w:val="a"/>
    <w:uiPriority w:val="34"/>
    <w:qFormat/>
    <w:rsid w:val="000B35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340</Words>
  <Characters>1942</Characters>
  <Application>Microsoft Office Word</Application>
  <DocSecurity>0</DocSecurity>
  <Lines>16</Lines>
  <Paragraphs>4</Paragraphs>
  <ScaleCrop>false</ScaleCrop>
  <Company>Organization</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7</cp:revision>
  <dcterms:created xsi:type="dcterms:W3CDTF">2024-03-28T03:06:00Z</dcterms:created>
  <dcterms:modified xsi:type="dcterms:W3CDTF">2024-04-16T05:42:00Z</dcterms:modified>
</cp:coreProperties>
</file>