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FA" w:rsidRPr="003A6D68" w:rsidRDefault="00BA69FA" w:rsidP="00BA69F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 w:rsidRPr="003A6D68"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:rsidR="00BA69FA" w:rsidRPr="003A6D68" w:rsidRDefault="00BA69FA" w:rsidP="00BA69FA">
      <w:pPr>
        <w:spacing w:line="360" w:lineRule="auto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上海交通大学医学院附属新华医院</w:t>
      </w:r>
      <w:r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 w:hint="eastAsia"/>
          <w:sz w:val="24"/>
          <w:szCs w:val="24"/>
        </w:rPr>
        <w:t>年度信息化备品备件项目</w:t>
      </w:r>
    </w:p>
    <w:p w:rsidR="00BA69FA" w:rsidRPr="003A6D68" w:rsidRDefault="00BA69FA" w:rsidP="00BA69F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 w:rsidRPr="003A6D68"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:rsidR="00BA69FA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A6D68"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p w:rsidR="00BA69FA" w:rsidRPr="00B85A96" w:rsidRDefault="00BA69FA" w:rsidP="00BA69FA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85A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备品备机采购清单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50"/>
        <w:gridCol w:w="1275"/>
        <w:gridCol w:w="1134"/>
        <w:gridCol w:w="1862"/>
      </w:tblGrid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62" w:type="dxa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是否核心产品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有线鼠标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有线键盘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无线键盘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无线鼠标键盘套装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USB3.0有线网卡转RJ45网线接口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USB3.0分线器扩展坞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普通卡机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三合一卡机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三合一读卡器(出入院)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SSD固态硬盘（SATA3.0接口 256）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SSD固态硬盘（SATA3.0接口 1TB）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SSD固态硬盘( M.2接口 250GB)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SSD固态硬盘( M.2接口 1TB)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2.5寸机械硬盘（1TB）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2.5寸机械硬盘（2TB）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3.5寸机械硬盘（1TB）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3.5寸机械硬盘（2TB）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台式机内存条8GB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台式机内存条16GB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笔记本内存条8GB 3200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笔记本内存条16GB 3200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笔记本内存条8GB 4800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笔记本内存条16GB 4800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二维码扫码敦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网络跳线2M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网络跳线3M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USB转rs232串口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DP转VGA转换器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HDMI线（3m）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HDMI线（5m）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HDMI线（10m）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身份证读卡器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HDMI转VGA转换器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KVM（VGA接口）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KVM（HDMI接口）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电子签名板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有线二维码扫码枪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无线二维码扫码枪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联想电源（65w）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联想电源（90w）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联想电源（135w）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打印机数据线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电脑音响1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PCIE网卡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打印服务器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USB打印机共享器分线器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HDMI转VGA线转换线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网络集线器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2T移动硬盘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头戴式耳机耳麦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电脑音箱2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蓝牙鼠标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扩展坞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视频采集卡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无线脚踏开关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步态分析系统动力学模块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A69FA" w:rsidRPr="00B85A96" w:rsidTr="009F6DC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862" w:type="dxa"/>
            <w:vAlign w:val="center"/>
          </w:tcPr>
          <w:p w:rsidR="00BA69FA" w:rsidRPr="00B85A96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BA69FA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</w:p>
    <w:p w:rsidR="00BA69FA" w:rsidRPr="003A6D68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 w:rsidRPr="003A6D68"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:rsidR="00BA69FA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>
        <w:rPr>
          <w:rFonts w:ascii="宋体" w:eastAsia="宋体" w:hAnsi="宋体"/>
          <w:color w:val="000000" w:themeColor="text1"/>
          <w:sz w:val="24"/>
          <w:szCs w:val="24"/>
        </w:rPr>
        <w:t>55.00万元</w:t>
      </w:r>
    </w:p>
    <w:p w:rsidR="00BA69FA" w:rsidRPr="003A6D68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 w:rsidRPr="003A6D68"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供应商</w:t>
      </w:r>
      <w:r w:rsidRPr="003A6D68">
        <w:rPr>
          <w:rFonts w:ascii="宋体" w:eastAsia="宋体" w:hAnsi="宋体"/>
          <w:sz w:val="24"/>
          <w:szCs w:val="24"/>
        </w:rPr>
        <w:t>须具有独立承担民事责任的能力；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供应商</w:t>
      </w:r>
      <w:r w:rsidRPr="003A6D68"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3）</w:t>
      </w:r>
      <w:r>
        <w:rPr>
          <w:rFonts w:ascii="宋体" w:eastAsia="宋体" w:hAnsi="宋体" w:hint="eastAsia"/>
          <w:sz w:val="24"/>
          <w:szCs w:val="24"/>
        </w:rPr>
        <w:t>供应商</w:t>
      </w:r>
      <w:r w:rsidRPr="003A6D68"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4）</w:t>
      </w:r>
      <w:r>
        <w:rPr>
          <w:rFonts w:ascii="宋体" w:eastAsia="宋体" w:hAnsi="宋体" w:hint="eastAsia"/>
          <w:sz w:val="24"/>
          <w:szCs w:val="24"/>
        </w:rPr>
        <w:t>供应商</w:t>
      </w:r>
      <w:r w:rsidRPr="003A6D68">
        <w:rPr>
          <w:rFonts w:ascii="宋体" w:eastAsia="宋体" w:hAnsi="宋体"/>
          <w:sz w:val="24"/>
          <w:szCs w:val="24"/>
        </w:rPr>
        <w:t xml:space="preserve">须有依法缴纳税收和社会保障资金的良好记录； 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5）</w:t>
      </w:r>
      <w:r>
        <w:rPr>
          <w:rFonts w:ascii="宋体" w:eastAsia="宋体" w:hAnsi="宋体" w:hint="eastAsia"/>
          <w:sz w:val="24"/>
          <w:szCs w:val="24"/>
        </w:rPr>
        <w:t xml:space="preserve"> 供应商</w:t>
      </w:r>
      <w:r w:rsidRPr="003A6D68"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6）</w:t>
      </w:r>
      <w:r>
        <w:rPr>
          <w:rFonts w:ascii="宋体" w:eastAsia="宋体" w:hAnsi="宋体" w:hint="eastAsia"/>
          <w:sz w:val="24"/>
          <w:szCs w:val="24"/>
        </w:rPr>
        <w:t>供应商</w:t>
      </w:r>
      <w:r w:rsidRPr="003A6D68">
        <w:rPr>
          <w:rFonts w:ascii="宋体" w:eastAsia="宋体" w:hAnsi="宋体"/>
          <w:sz w:val="24"/>
          <w:szCs w:val="24"/>
        </w:rPr>
        <w:t>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8）本项目不接受联合体投标。</w:t>
      </w:r>
    </w:p>
    <w:p w:rsidR="00BA69FA" w:rsidRPr="003A6D68" w:rsidRDefault="00BA69FA" w:rsidP="00BA69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A6D68">
        <w:rPr>
          <w:rFonts w:ascii="宋体" w:eastAsia="宋体" w:hAnsi="宋体" w:hint="eastAsia"/>
          <w:sz w:val="24"/>
          <w:szCs w:val="24"/>
        </w:rPr>
        <w:t>（</w:t>
      </w:r>
      <w:r w:rsidRPr="003A6D68">
        <w:rPr>
          <w:rFonts w:ascii="宋体" w:eastAsia="宋体" w:hAnsi="宋体"/>
          <w:sz w:val="24"/>
          <w:szCs w:val="24"/>
        </w:rPr>
        <w:t>9）法律、行政法规规定的其他条件。</w:t>
      </w:r>
    </w:p>
    <w:p w:rsidR="00BA69FA" w:rsidRPr="003A6D68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 w:rsidRPr="003A6D68"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（四）功能及技术参数：</w:t>
      </w:r>
    </w:p>
    <w:p w:rsidR="00BA69FA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</w:t>
      </w:r>
      <w:r w:rsidRPr="00204CF2">
        <w:rPr>
          <w:rFonts w:ascii="宋体" w:eastAsia="宋体" w:hAnsi="宋体" w:hint="eastAsia"/>
          <w:b/>
          <w:color w:val="000000" w:themeColor="text1"/>
          <w:sz w:val="24"/>
          <w:szCs w:val="24"/>
        </w:rPr>
        <w:t>采购标的需实现的目标（项目概况）：</w:t>
      </w:r>
    </w:p>
    <w:p w:rsidR="00BA69FA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04CF2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由于医院信息化技术日新月异的更新，为保障我院</w:t>
      </w:r>
      <w:r w:rsidRPr="00204CF2">
        <w:rPr>
          <w:rFonts w:ascii="宋体" w:eastAsia="宋体" w:hAnsi="宋体"/>
          <w:color w:val="000000" w:themeColor="text1"/>
          <w:sz w:val="24"/>
          <w:szCs w:val="24"/>
        </w:rPr>
        <w:t>2024年医、教、研工作的顺利开展，需提前采购各种型号计算机及外设备品备件，保障医院计算机系统的正常使用。</w:t>
      </w:r>
    </w:p>
    <w:p w:rsidR="00BA69FA" w:rsidRPr="00204CF2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204CF2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二、备品备机采购清单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230"/>
        <w:gridCol w:w="1365"/>
        <w:gridCol w:w="1214"/>
        <w:gridCol w:w="1843"/>
      </w:tblGrid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是否核心产品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有线鼠标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有线键盘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无线键盘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无线鼠标键盘套装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USB3.0有线网卡转RJ45网线接口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USB3.0分线器扩展坞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普通卡机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三合一卡机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三合一读卡器(出入院)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SSD固态硬盘（SATA3.0接口 256）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SSD固态硬盘（SATA3.0接口 1TB）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SSD固态硬盘( M.2接口 250GB)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SSD固态硬盘( M.2接口 1TB)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2.5寸机械硬盘（1TB）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2.5寸机械硬盘（2TB）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3.5寸机械硬盘（1TB）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3.5寸机械硬盘（2TB）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台式机内存条8GB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台式机内存条16GB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笔记本内存条8GB 3200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笔记本内存条16GB 3200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笔记本内存条8GB 4800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笔记本内存条16GB 4800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二维码扫码敦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网络跳线2M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网络跳线3M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USB转rs232串口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DP转VGA转换器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HDMI线（3m）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HDMI线（5m）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HDMI线（10m）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身份证读卡器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HDMI转VGA转换器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KVM（VGA接口）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KVM（HDMI接口）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电子签名板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有线二维码扫码枪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无线二维码扫码枪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联想电源（65w）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联想电源（90w）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联想电源（135w）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打印机数据线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电脑音响1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PCIE网卡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打印服务器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USB打印机共享器分线器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HDMI转VGA线转换线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DP转HDMI转换线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网络集线器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2T移动硬盘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DP转VGA线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头戴式耳机耳麦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电脑音箱2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蓝牙鼠标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扩展坞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视频采集卡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无线脚踏开关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步态分析系统动力学模块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A69FA" w:rsidRPr="00471481" w:rsidTr="009F6DC1">
        <w:trPr>
          <w:trHeight w:val="219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843" w:type="dxa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BA69FA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204CF2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三、备品备件清单</w:t>
      </w:r>
    </w:p>
    <w:tbl>
      <w:tblPr>
        <w:tblW w:w="101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6556"/>
      </w:tblGrid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471481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714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主要规格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有线鼠标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尺寸：100-120mm，分辨率≧1500DPI ，线长≧1.5m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有线键盘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有线供电，方形按键，键位数≧87，线长≧1.5米m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工作方式：光电，尺寸：100-120mm，有可编程键，连接方式：2.4G+蓝牙，同时连接设备≧3台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无线键盘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薄膜键盘，按键数：88-98键，无线2.4G连接，同时连接设备：≧1台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无线鼠标键盘套装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键鼠套装，按键数：88-98键，支持蓝牙4.0/3.0/无线2.4G连接，同时连接设备≧3台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USB3.0有线网卡转RJ45网线接口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PC+ABS材质，支持10/100/1000Mbps，支持win7 win10/11，线长≧10mm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USB3.0分线器扩展坞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供电接口Type-C，一拖四,免驱兼容windows/MAC OS/linux,线长≧1.5m，提供产品参数截图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普通卡机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支持读取磁条卡，上海社保卡</w:t>
            </w:r>
          </w:p>
        </w:tc>
      </w:tr>
      <w:tr w:rsidR="00BA69FA" w:rsidRPr="00204CF2" w:rsidTr="009F6DC1">
        <w:trPr>
          <w:trHeight w:val="1266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符合GB/T18293-2000“集成电路（IC）卡读写机通用规范”，接触式读写接口符合ISO/IEC7816规范要求。读写器具有4个内置PSAM卡卡座。支持以下卡类：符合ISO/IEC7816规范的CPU卡、逻辑加密卡（SLE4428卡）、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磁卡（通过可选配的磁卡读头），电源：USB口取电，电源适应能力：DC 5V±0.25V。与医院现有系统匹配（除出入院）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三合一卡机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支持读取磁条卡，上海社保卡，身份证</w:t>
            </w:r>
          </w:p>
        </w:tc>
      </w:tr>
      <w:tr w:rsidR="00BA69FA" w:rsidRPr="00204CF2" w:rsidTr="009F6DC1">
        <w:trPr>
          <w:trHeight w:val="1675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18293-2000“集成电路（IC）卡读写机通用规范”。接触式读写接口符合ISO/IEC7816规范要求。读写器具有4个内置PSAM卡卡座。支持以下卡类：符合ISO/IEC7816规范的CPU卡，逻辑加密卡（SLE4428卡），磁卡（通过可选配的磁卡读头），电源：键盘口供电或USB口取电，电源适应能力：DC 5V±0.25V。与医院现有系统匹配（除出入院）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三合一读卡器(出入院)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支持读取磁条卡，上海社保卡，身份证</w:t>
            </w:r>
          </w:p>
        </w:tc>
      </w:tr>
      <w:tr w:rsidR="00BA69FA" w:rsidRPr="00204CF2" w:rsidTr="009F6DC1">
        <w:trPr>
          <w:trHeight w:val="1675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GB/T18293-2000“集成电路（IC）卡读写机通用规范”。接触式读写接口符合ISO/IEC7816规范要求。读写器具有4个内置PSAM卡卡座。支持以下卡类：符合ISO/IEC7816规范的CPU卡，逻辑加密卡（SLE4428卡），磁卡（通过可选配的磁卡读头），电源：键盘口供电或USB口取电，电源适应能力：DC 5V±0.25V。与医院出入院系统匹配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SSD固态硬盘（SATA3.0接口 256）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256GB，SATA接口，缓存≧512M，闪存类型：TLC，顺序写入≧500MB/s，顺序读速≧500MB/s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SSD固态硬盘（SATA3.0接口 1TB）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1TB，SATA接口，缓存≧1GB，闪存类型：TLC，顺序写入≧500MB/s，顺序读速≧500MB/s</w:t>
            </w:r>
          </w:p>
        </w:tc>
      </w:tr>
      <w:tr w:rsidR="00BA69FA" w:rsidRPr="00204CF2" w:rsidTr="009F6DC1">
        <w:trPr>
          <w:trHeight w:val="55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SSD固态硬盘( M.2接口 250GB)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M.2接口(NVMe协议)，250GB，闪存类型：TLC，顺序写入≧1000MB/s，顺序读速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≧2500MB/s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SSD固态硬盘( M.2接口 1TB)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M.2接口(NVMe协议)，1TB，缓存≧1GB，闪存类型：TLC，顺序写入≧4000MB/s，顺序读速≧6000MB/s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2.5寸机械硬盘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1TB 7200转 64MB SATA 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2.5寸机械硬盘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2TB 7200转 64MB SATA 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3.5寸机械硬盘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1TB 7200转 64MB SATA 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3.5寸机械硬盘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2TB 7200转 64MB SATA 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台式机内存条8GB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8G  DDR4 内存频率:2666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台式机内存条16GB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16G  DDR4 内存频率:2666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笔记本内存条8GB 3200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8G DDR4 内存频率:3200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笔记本内存条16GB 3200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16G DDR4 内存频率:3200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笔记本内存条8GB 4800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8G DDR5 内存频率:4800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笔记本内存条16GB 4800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16G DDR5 内存频率:4800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二维码扫码敦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扫描介质：纸质，屏幕传输方式：有线，解码类型：一维，二维，光源：红光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网络跳线2M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六类非屏蔽千兆网络跳线成品网线 蓝色 7英尺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网络跳线3M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六类非屏蔽千兆网络跳线成品网线 蓝色 10英尺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USB转rs232串口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FTDI芯片，USB转串口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DP转VGA转换器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DP转VGA，支持winXP win7 win10 win11，双屏蔽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DP转HDMI，支持winXP win7 win10 win11，双屏蔽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HDMI线（3m）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 3m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HDMI线（5m）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 5m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HDMI线（10m）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HDMI线 10m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身份证读卡器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身份证读卡器 二三代证阅读器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HDMI转VGA转换器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HDMI转VGA，支持winXP win7 win10 win11，双屏蔽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KVM（VGA接口）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GA视频切屏器 二进一出台式机笔记本电脑显示器，VGA接口，提供产品参数截图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KVM（HDMI接口）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GA视频切屏器 二进一出台式机笔记本电脑显示器，HDMI接口，提供产品参数截图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电子签名板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USB接口，压感等级：1024M，感应方式：电磁式，支持手写签名、PDF签名、Office签名、WPS签名、原笔迹、电子签名，支持二次开发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有线二维码扫码枪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支持一维码，二维码纸质屏幕，传输方式：有线，扫描介质：屏幕，解码类型：二维，光源：影像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无线二维码扫码枪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支持一维码，二维码纸质屏幕，无线传输距离：0-40M，无线传输类型：蓝牙传输方式：无线电池容量：1501-2000mAh，扫描介质：纸质，金属，屏幕解码类型：复合码，光源：影像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联想电源（65w）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联想原装电源20V3.25A 65W方口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联想电源（90w）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联想原装电源20V4.5A 90W方口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联想电源（135w）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联想原装电源20V 6.75A 135W方口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打印机数据线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USB2.0AM/BM方口接头高速打印线，线长≧3m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电脑音响1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有源音箱，接口：3.5mm音频，频响范围：30Hz-18KHz：灵敏度：≧85db，信噪比：≧75db，线长：1.5-2m，声道2.0声道，扬声器数量：≧4个，功率：40w-100w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PCIE网卡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PCI-E接口，1个10/100/1000自适应RJ45端口（支持自动翻转）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打印服务器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支持喷墨，针式，热敏打印机，USB A*2,10M/100M自适应LAN*1，电源接口*1，提供产品参数截图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USB打印机共享器分线器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打印机台式机笔记本电脑接鼠标键盘U盘2口转换器一拖二 2进1出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HDMI转VGA线转换线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HDMI转VGA转换线，双屏蔽，线长≧1.8M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DP转HDMI转换线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DP转HDMI转换线，双屏蔽，线长≧1.8M</w:t>
            </w:r>
          </w:p>
        </w:tc>
      </w:tr>
      <w:tr w:rsidR="00BA69FA" w:rsidRPr="00204CF2" w:rsidTr="009F6DC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千兆网口，2个独立FEM，支持IPv6，无线速率：3000M，终端适用面积：≤90㎡，接口无线协议：Wi-Fi 6，支持APP控制，提供产品参数截图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网络集线器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8口千兆，提供产品参数截图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2T移动硬盘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2TB USB3.2 Gen 1 2.5英寸，提供产品参数截图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DP转VGA线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DP转VGA线，，线长≧1M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头戴式耳机耳麦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单边导线，阻抗，32</w:t>
            </w:r>
            <w:r w:rsidRPr="00204CF2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Ω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线长2m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电脑音箱2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木制，有源音箱，3.5mm接口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蓝牙鼠标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3D触控，充电电池，支持蓝牙和2.4G标准，提供产品参数截图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扩展坞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5个扩展口，HDMI，USB3.0接口，PD充电功率：100W及以上，支持刷新率(Hz)：30HZ，提供产品参数截图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32G 专业高清降噪 会议录音转文字 录音笔 实时翻译，提供产品参数截图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视频采集卡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输入接口：1个S-端子接口，1个AV接口、2路模拟双声道音频信号。最大程度的兼容所有标清医疗设备需求。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输出接口：PCI-EX1，非低速PCI接口，支持目前主流工作站主机。</w:t>
            </w:r>
          </w:p>
        </w:tc>
      </w:tr>
      <w:tr w:rsidR="00BA69FA" w:rsidRPr="00204CF2" w:rsidTr="009F6DC1">
        <w:trPr>
          <w:trHeight w:val="555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显示/录像（双码流）视频分辨率：PAL制768x576@25和NTSC制720x480@30，涵盖主流标清医疗设备的分辨率，同时兼容部分医疗器械的非标准分辨率。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音频输入：2xRCA(AudioL/Rthroughcomponentcable)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音频输出：2xRCA(AudioL/Rthroughcomponentcable) </w:t>
            </w:r>
          </w:p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提供产品参数截图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无线脚踏开关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▲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工作模式：2.4G频率USB无线输出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工作电压：4.5-10VDC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工作电流：≤15mA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动作频率：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60次/min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机械耐久：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1000万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防护等级：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不低于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 40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使用环境：-20～+70℃</w:t>
            </w:r>
          </w:p>
        </w:tc>
      </w:tr>
      <w:tr w:rsidR="00BA69FA" w:rsidRPr="00204CF2" w:rsidTr="009F6DC1">
        <w:trPr>
          <w:trHeight w:val="298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接受距离：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空旷80m</w:t>
            </w:r>
          </w:p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提供产品参数截图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步态分析系统动力学模块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动力学模块包含2块三维测力台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测力台表面积：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600mm×500mm，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重量：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12kg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 厚度： 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50mm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内置传感器类型：应变三维力传感器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传感器数量：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4个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测力台最大量程： Fx、Fy 2500N ; Fz 5000N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过载能力：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Fx、Fy 3000N，Fz 8000N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线性度：≤±0.5%FS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迟滞性：≤0.5%FS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固有频率：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fn(x,y) 300Hz，fn(z) 200Hz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最大采样频率：≥1600 Hz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0BE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★</w:t>
            </w:r>
            <w:r w:rsidRPr="00940BE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13.</w:t>
            </w:r>
            <w:r w:rsidRPr="00940BE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测力台需能接入运动捕捉系统，同步采集数据。</w:t>
            </w:r>
            <w:r w:rsidRPr="00940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相关费用均包含在本项目报价中，招标人不再另行支付。（以承诺书为准）</w:t>
            </w:r>
          </w:p>
        </w:tc>
      </w:tr>
      <w:tr w:rsidR="00BA69FA" w:rsidRPr="00204CF2" w:rsidTr="009F6DC1">
        <w:trPr>
          <w:trHeight w:val="287"/>
        </w:trPr>
        <w:tc>
          <w:tcPr>
            <w:tcW w:w="1276" w:type="dxa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BA69FA" w:rsidRPr="00204CF2" w:rsidRDefault="00BA69FA" w:rsidP="009F6DC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八核处理器，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4GB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，存储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128GB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04C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TFT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-LCD材质，对比度：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1500:1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，亮度：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480尼特</w:t>
            </w:r>
            <w:bookmarkStart w:id="0" w:name="_GoBack"/>
            <w:bookmarkEnd w:id="0"/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电池容量</w:t>
            </w:r>
            <w:r>
              <w:rPr>
                <w:rFonts w:hint="eastAsia"/>
              </w:rPr>
              <w:t>≥</w:t>
            </w:r>
            <w:r w:rsidRPr="00204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4100毫安时，支持双卡，支持蓝牙</w:t>
            </w:r>
          </w:p>
        </w:tc>
      </w:tr>
    </w:tbl>
    <w:p w:rsidR="00BA69FA" w:rsidRPr="00A6154D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BA69FA" w:rsidRPr="003A6D68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</w:t>
      </w:r>
      <w:r w:rsidRPr="003A6D68"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商务要求</w:t>
      </w:r>
    </w:p>
    <w:p w:rsidR="00BA69FA" w:rsidRPr="00471481" w:rsidRDefault="00BA69FA" w:rsidP="00BA69F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71481">
        <w:rPr>
          <w:rFonts w:ascii="宋体" w:eastAsia="宋体" w:hAnsi="宋体" w:hint="eastAsia"/>
          <w:b/>
          <w:bCs/>
          <w:sz w:val="24"/>
          <w:szCs w:val="24"/>
        </w:rPr>
        <w:t>以下内容不在需求征询中公示：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1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交货地点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：上海交通大学医学院附属新华医院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交货时间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：接到甲方通知后，供货周期不大于 7 天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71481">
        <w:rPr>
          <w:rFonts w:ascii="宋体" w:eastAsia="宋体" w:hAnsi="宋体"/>
          <w:color w:val="000000" w:themeColor="text1"/>
          <w:sz w:val="24"/>
          <w:szCs w:val="24"/>
        </w:rPr>
        <w:t>3.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付款方式：</w:t>
      </w:r>
    </w:p>
    <w:p w:rsidR="00BA69FA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双方签署合同后，乙方按实际采购数量于甲方指定日期内交付并验收合格，每季度对账结算一次，乙方配合甲方办理验收及入库手续；产品入库后，乙方开具正规发票后，甲方按照医院付款流程一次性支付应付合同款。</w:t>
      </w:r>
    </w:p>
    <w:p w:rsidR="00BA69FA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服务要求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ab/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性能、材料、结构、外观、质量、技术规格、物理特性等要求：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供应商在甲方要求日期内完成送货，并送货至甲方指定场所。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（2）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安全性要求：（特别是等保要求等）：按</w:t>
      </w:r>
      <w:r w:rsidRPr="00CA2BEB">
        <w:rPr>
          <w:rFonts w:ascii="宋体" w:eastAsia="宋体" w:hAnsi="宋体"/>
          <w:color w:val="000000" w:themeColor="text1"/>
          <w:sz w:val="24"/>
          <w:szCs w:val="24"/>
        </w:rPr>
        <w:t>照出厂标准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包装供货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验收要求：甲方通过官网、外包装二维码等渠</w:t>
      </w:r>
      <w:r w:rsidRPr="00CA2BEB">
        <w:rPr>
          <w:rFonts w:ascii="宋体" w:eastAsia="宋体" w:hAnsi="宋体"/>
          <w:color w:val="000000" w:themeColor="text1"/>
          <w:sz w:val="24"/>
          <w:szCs w:val="24"/>
        </w:rPr>
        <w:t>道验明乙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方所供货物真伪。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（4）</w:t>
      </w:r>
      <w:r w:rsidRPr="00471481">
        <w:rPr>
          <w:rFonts w:ascii="宋体" w:eastAsia="宋体" w:hAnsi="宋体" w:hint="eastAsia"/>
          <w:color w:val="000000" w:themeColor="text1"/>
          <w:sz w:val="24"/>
          <w:szCs w:val="24"/>
        </w:rPr>
        <w:t>应急响应要求：如供货的设备有问题，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4小时内提供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备件，48小时内</w:t>
      </w:r>
      <w:r w:rsidRPr="00CA2BEB">
        <w:rPr>
          <w:rFonts w:ascii="宋体" w:eastAsia="宋体" w:hAnsi="宋体" w:hint="eastAsia"/>
          <w:color w:val="000000" w:themeColor="text1"/>
          <w:sz w:val="24"/>
          <w:szCs w:val="24"/>
        </w:rPr>
        <w:t>更换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新设备</w:t>
      </w:r>
      <w:r w:rsidRPr="00CA2BEB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BA69FA" w:rsidRPr="00471481" w:rsidRDefault="00BA69FA" w:rsidP="00BA69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（5）</w:t>
      </w:r>
      <w:r w:rsidRPr="00471481">
        <w:rPr>
          <w:rFonts w:ascii="宋体" w:eastAsia="宋体" w:hAnsi="宋体"/>
          <w:color w:val="000000" w:themeColor="text1"/>
          <w:sz w:val="24"/>
          <w:szCs w:val="24"/>
        </w:rPr>
        <w:t>服务满意度要求：根据业主的要求，完成运维的响应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BA69FA" w:rsidRDefault="00BA69FA" w:rsidP="00BA69FA">
      <w:pPr>
        <w:rPr>
          <w:rFonts w:ascii="宋体" w:eastAsia="宋体" w:hAnsi="宋体"/>
          <w:b/>
          <w:sz w:val="24"/>
          <w:szCs w:val="24"/>
        </w:rPr>
      </w:pPr>
    </w:p>
    <w:p w:rsidR="00BA69FA" w:rsidRPr="008D1316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D1316">
        <w:rPr>
          <w:rFonts w:ascii="宋体" w:eastAsia="宋体" w:hAnsi="宋体" w:hint="eastAsia"/>
          <w:b/>
          <w:sz w:val="24"/>
          <w:szCs w:val="24"/>
        </w:rPr>
        <w:t>注：针对本项目：</w:t>
      </w:r>
    </w:p>
    <w:p w:rsidR="00BA69FA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D1316">
        <w:rPr>
          <w:rFonts w:ascii="宋体" w:eastAsia="宋体" w:hAnsi="宋体" w:hint="eastAsia"/>
          <w:b/>
          <w:sz w:val="24"/>
          <w:szCs w:val="24"/>
        </w:rPr>
        <w:t>（</w:t>
      </w:r>
      <w:r w:rsidRPr="008D1316">
        <w:rPr>
          <w:rFonts w:ascii="宋体" w:eastAsia="宋体" w:hAnsi="宋体"/>
          <w:b/>
          <w:sz w:val="24"/>
          <w:szCs w:val="24"/>
        </w:rPr>
        <w:t>1）“除价格分外，其他分值得分低于对应总分值的50%以下”的情况:如有，视为无效报价。</w:t>
      </w:r>
    </w:p>
    <w:p w:rsidR="00BA69FA" w:rsidRDefault="00BA69FA" w:rsidP="00BA69F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（2）</w:t>
      </w:r>
      <w:r w:rsidRPr="00B85A96">
        <w:rPr>
          <w:rFonts w:ascii="宋体" w:eastAsia="宋体" w:hAnsi="宋体" w:hint="eastAsia"/>
          <w:b/>
          <w:sz w:val="24"/>
          <w:szCs w:val="24"/>
        </w:rPr>
        <w:t>“▲”的负偏离项数超过“▲”总数的</w:t>
      </w:r>
      <w:r w:rsidRPr="00B85A96">
        <w:rPr>
          <w:rFonts w:ascii="宋体" w:eastAsia="宋体" w:hAnsi="宋体"/>
          <w:b/>
          <w:sz w:val="24"/>
          <w:szCs w:val="24"/>
        </w:rPr>
        <w:t>50%（含）的，则“技术指标”评审项分值得0分。</w:t>
      </w:r>
    </w:p>
    <w:p w:rsidR="00BA69FA" w:rsidRPr="008D1316" w:rsidRDefault="00BA69FA" w:rsidP="00BA69F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6C3E9B" w:rsidRPr="00BA69FA" w:rsidRDefault="006C3E9B"/>
    <w:sectPr w:rsidR="006C3E9B" w:rsidRPr="00BA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0C1"/>
    <w:multiLevelType w:val="multilevel"/>
    <w:tmpl w:val="0DE120C1"/>
    <w:lvl w:ilvl="0">
      <w:start w:val="1"/>
      <w:numFmt w:val="chineseCountingThousand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EB0BFB"/>
    <w:multiLevelType w:val="multilevel"/>
    <w:tmpl w:val="19EB0BFB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decimal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33D0F96"/>
    <w:multiLevelType w:val="multilevel"/>
    <w:tmpl w:val="233D0F9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3B225C"/>
    <w:multiLevelType w:val="multilevel"/>
    <w:tmpl w:val="543B225C"/>
    <w:lvl w:ilvl="0">
      <w:start w:val="1"/>
      <w:numFmt w:val="decimal"/>
      <w:lvlText w:val="（%1）."/>
      <w:lvlJc w:val="left"/>
      <w:pPr>
        <w:ind w:left="920" w:hanging="44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13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71E94100"/>
    <w:multiLevelType w:val="multilevel"/>
    <w:tmpl w:val="71E94100"/>
    <w:lvl w:ilvl="0">
      <w:start w:val="1"/>
      <w:numFmt w:val="decimal"/>
      <w:lvlText w:val="（%1）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42133D"/>
    <w:multiLevelType w:val="multilevel"/>
    <w:tmpl w:val="7A42133D"/>
    <w:lvl w:ilvl="0">
      <w:start w:val="1"/>
      <w:numFmt w:val="decimal"/>
      <w:pStyle w:val="a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4"/>
    <w:rsid w:val="005F2564"/>
    <w:rsid w:val="006C3E9B"/>
    <w:rsid w:val="00B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06EA6-67A4-4388-BD3B-BE4EE87E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69FA"/>
    <w:pPr>
      <w:widowControl w:val="0"/>
      <w:jc w:val="both"/>
    </w:pPr>
  </w:style>
  <w:style w:type="paragraph" w:styleId="1">
    <w:name w:val="heading 1"/>
    <w:basedOn w:val="a0"/>
    <w:next w:val="a0"/>
    <w:link w:val="10"/>
    <w:autoRedefine/>
    <w:uiPriority w:val="9"/>
    <w:qFormat/>
    <w:rsid w:val="00BA69FA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0"/>
    <w:next w:val="a0"/>
    <w:link w:val="20"/>
    <w:autoRedefine/>
    <w:qFormat/>
    <w:rsid w:val="00BA69FA"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BA69FA"/>
    <w:rPr>
      <w:b/>
      <w:bCs/>
      <w:kern w:val="44"/>
      <w:sz w:val="30"/>
      <w:szCs w:val="44"/>
    </w:rPr>
  </w:style>
  <w:style w:type="character" w:customStyle="1" w:styleId="20">
    <w:name w:val="标题 2 字符"/>
    <w:basedOn w:val="a1"/>
    <w:link w:val="2"/>
    <w:qFormat/>
    <w:rsid w:val="00BA69FA"/>
    <w:rPr>
      <w:rFonts w:ascii="宋体" w:eastAsia="宋体" w:hAnsi="宋体" w:cs="宋体"/>
      <w:b/>
      <w:kern w:val="0"/>
      <w:sz w:val="28"/>
      <w:szCs w:val="24"/>
    </w:rPr>
  </w:style>
  <w:style w:type="paragraph" w:styleId="a4">
    <w:name w:val="annotation text"/>
    <w:basedOn w:val="a0"/>
    <w:link w:val="a5"/>
    <w:autoRedefine/>
    <w:unhideWhenUsed/>
    <w:qFormat/>
    <w:rsid w:val="00BA69FA"/>
    <w:pPr>
      <w:jc w:val="left"/>
    </w:pPr>
  </w:style>
  <w:style w:type="character" w:customStyle="1" w:styleId="a5">
    <w:name w:val="批注文字 字符"/>
    <w:basedOn w:val="a1"/>
    <w:link w:val="a4"/>
    <w:qFormat/>
    <w:rsid w:val="00BA69FA"/>
  </w:style>
  <w:style w:type="paragraph" w:styleId="a6">
    <w:name w:val="Balloon Text"/>
    <w:basedOn w:val="a0"/>
    <w:link w:val="a7"/>
    <w:autoRedefine/>
    <w:uiPriority w:val="99"/>
    <w:semiHidden/>
    <w:unhideWhenUsed/>
    <w:qFormat/>
    <w:rsid w:val="00BA69FA"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BA69FA"/>
    <w:rPr>
      <w:sz w:val="18"/>
      <w:szCs w:val="18"/>
    </w:rPr>
  </w:style>
  <w:style w:type="paragraph" w:styleId="a8">
    <w:name w:val="footer"/>
    <w:basedOn w:val="a0"/>
    <w:link w:val="a9"/>
    <w:autoRedefine/>
    <w:uiPriority w:val="99"/>
    <w:unhideWhenUsed/>
    <w:qFormat/>
    <w:rsid w:val="00BA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BA69FA"/>
    <w:rPr>
      <w:sz w:val="18"/>
      <w:szCs w:val="18"/>
    </w:rPr>
  </w:style>
  <w:style w:type="paragraph" w:styleId="aa">
    <w:name w:val="header"/>
    <w:basedOn w:val="a0"/>
    <w:link w:val="ab"/>
    <w:autoRedefine/>
    <w:uiPriority w:val="99"/>
    <w:unhideWhenUsed/>
    <w:qFormat/>
    <w:rsid w:val="00BA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BA69FA"/>
    <w:rPr>
      <w:sz w:val="18"/>
      <w:szCs w:val="18"/>
    </w:rPr>
  </w:style>
  <w:style w:type="paragraph" w:styleId="ac">
    <w:name w:val="annotation subject"/>
    <w:basedOn w:val="a4"/>
    <w:next w:val="a4"/>
    <w:link w:val="ad"/>
    <w:autoRedefine/>
    <w:uiPriority w:val="99"/>
    <w:semiHidden/>
    <w:unhideWhenUsed/>
    <w:qFormat/>
    <w:rsid w:val="00BA69FA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qFormat/>
    <w:rsid w:val="00BA69FA"/>
    <w:rPr>
      <w:b/>
      <w:bCs/>
    </w:rPr>
  </w:style>
  <w:style w:type="table" w:styleId="ae">
    <w:name w:val="Table Grid"/>
    <w:basedOn w:val="a2"/>
    <w:autoRedefine/>
    <w:uiPriority w:val="39"/>
    <w:qFormat/>
    <w:rsid w:val="00BA69F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autoRedefine/>
    <w:uiPriority w:val="99"/>
    <w:unhideWhenUsed/>
    <w:qFormat/>
    <w:rsid w:val="00BA69FA"/>
    <w:rPr>
      <w:sz w:val="21"/>
      <w:szCs w:val="21"/>
    </w:rPr>
  </w:style>
  <w:style w:type="character" w:customStyle="1" w:styleId="NormalCharacter">
    <w:name w:val="NormalCharacter"/>
    <w:autoRedefine/>
    <w:semiHidden/>
    <w:qFormat/>
    <w:rsid w:val="00BA69FA"/>
  </w:style>
  <w:style w:type="paragraph" w:styleId="a">
    <w:name w:val="List Paragraph"/>
    <w:basedOn w:val="a0"/>
    <w:autoRedefine/>
    <w:uiPriority w:val="34"/>
    <w:qFormat/>
    <w:rsid w:val="00BA69FA"/>
    <w:pPr>
      <w:numPr>
        <w:numId w:val="1"/>
      </w:num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11">
    <w:name w:val="修订1"/>
    <w:autoRedefine/>
    <w:hidden/>
    <w:uiPriority w:val="99"/>
    <w:semiHidden/>
    <w:qFormat/>
    <w:rsid w:val="00BA69FA"/>
  </w:style>
  <w:style w:type="paragraph" w:customStyle="1" w:styleId="21">
    <w:name w:val="修订2"/>
    <w:autoRedefine/>
    <w:hidden/>
    <w:uiPriority w:val="99"/>
    <w:unhideWhenUsed/>
    <w:qFormat/>
    <w:rsid w:val="00BA69FA"/>
  </w:style>
  <w:style w:type="paragraph" w:styleId="af0">
    <w:name w:val="No Spacing"/>
    <w:autoRedefine/>
    <w:uiPriority w:val="1"/>
    <w:qFormat/>
    <w:rsid w:val="00BA69FA"/>
    <w:pPr>
      <w:widowControl w:val="0"/>
      <w:spacing w:line="360" w:lineRule="auto"/>
      <w:jc w:val="both"/>
    </w:pPr>
    <w:rPr>
      <w:rFonts w:ascii="宋体" w:eastAsia="宋体" w:hAnsi="宋体" w:cs="Times New Roman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sid w:val="00BA69FA"/>
  </w:style>
  <w:style w:type="paragraph" w:customStyle="1" w:styleId="12">
    <w:name w:val="列表段落1"/>
    <w:basedOn w:val="a0"/>
    <w:autoRedefine/>
    <w:qFormat/>
    <w:rsid w:val="00BA69FA"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0"/>
    <w:autoRedefine/>
    <w:qFormat/>
    <w:rsid w:val="00BA69FA"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paragraph" w:styleId="af1">
    <w:name w:val="Body Text Indent"/>
    <w:basedOn w:val="a0"/>
    <w:link w:val="af2"/>
    <w:autoRedefine/>
    <w:uiPriority w:val="99"/>
    <w:unhideWhenUsed/>
    <w:qFormat/>
    <w:rsid w:val="00BA69FA"/>
    <w:pPr>
      <w:spacing w:after="120"/>
      <w:ind w:leftChars="200" w:left="420"/>
    </w:pPr>
  </w:style>
  <w:style w:type="character" w:customStyle="1" w:styleId="af2">
    <w:name w:val="正文文本缩进 字符"/>
    <w:basedOn w:val="a1"/>
    <w:link w:val="af1"/>
    <w:uiPriority w:val="99"/>
    <w:qFormat/>
    <w:rsid w:val="00BA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1190</Words>
  <Characters>6785</Characters>
  <Application>Microsoft Office Word</Application>
  <DocSecurity>0</DocSecurity>
  <Lines>56</Lines>
  <Paragraphs>15</Paragraphs>
  <ScaleCrop>false</ScaleCrop>
  <Company>Organization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2024-05-23T04:45:00Z</dcterms:created>
  <dcterms:modified xsi:type="dcterms:W3CDTF">2024-05-23T04:46:00Z</dcterms:modified>
</cp:coreProperties>
</file>