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28"/>
          <w:szCs w:val="28"/>
          <w:lang w:val="en-US" w:eastAsia="zh-CN"/>
        </w:rPr>
      </w:pPr>
      <w:r>
        <w:rPr>
          <w:rFonts w:hint="eastAsia"/>
          <w:b/>
          <w:bCs/>
          <w:color w:val="auto"/>
          <w:sz w:val="28"/>
          <w:szCs w:val="28"/>
          <w:lang w:val="en-US" w:eastAsia="zh-CN"/>
        </w:rPr>
        <w:t>自闭症等专病队列数据处理服务项目需求参数</w:t>
      </w:r>
    </w:p>
    <w:p>
      <w:pPr>
        <w:spacing w:line="360" w:lineRule="auto"/>
        <w:rPr>
          <w:rFonts w:hint="eastAsia" w:ascii="宋体" w:hAnsi="宋体" w:eastAsia="宋体"/>
          <w:color w:val="auto"/>
          <w:sz w:val="24"/>
          <w:szCs w:val="24"/>
        </w:rPr>
      </w:pPr>
      <w:r>
        <w:rPr>
          <w:rFonts w:hint="eastAsia" w:ascii="宋体" w:hAnsi="宋体" w:eastAsia="宋体"/>
          <w:color w:val="auto"/>
          <w:sz w:val="24"/>
          <w:szCs w:val="24"/>
        </w:rPr>
        <w:t>一、项目名称：自闭症等专病队列数据处理服务采购</w:t>
      </w:r>
    </w:p>
    <w:p>
      <w:pPr>
        <w:spacing w:line="360" w:lineRule="auto"/>
        <w:rPr>
          <w:rFonts w:ascii="宋体" w:hAnsi="宋体" w:eastAsia="宋体"/>
          <w:color w:val="auto"/>
          <w:sz w:val="24"/>
          <w:szCs w:val="24"/>
        </w:rPr>
      </w:pPr>
      <w:r>
        <w:rPr>
          <w:rFonts w:hint="eastAsia" w:ascii="宋体" w:hAnsi="宋体" w:eastAsia="宋体"/>
          <w:color w:val="auto"/>
          <w:sz w:val="24"/>
          <w:szCs w:val="24"/>
        </w:rPr>
        <w:t>二、项目背景及概述</w:t>
      </w:r>
    </w:p>
    <w:p>
      <w:pPr>
        <w:spacing w:line="360" w:lineRule="auto"/>
        <w:ind w:firstLine="420"/>
        <w:rPr>
          <w:rFonts w:ascii="宋体" w:hAnsi="宋体" w:eastAsia="宋体"/>
          <w:color w:val="auto"/>
          <w:sz w:val="24"/>
          <w:szCs w:val="24"/>
        </w:rPr>
      </w:pPr>
      <w:r>
        <w:rPr>
          <w:rFonts w:hint="eastAsia" w:ascii="宋体" w:hAnsi="宋体" w:eastAsia="宋体"/>
          <w:color w:val="auto"/>
          <w:sz w:val="24"/>
          <w:szCs w:val="24"/>
        </w:rPr>
        <w:t>基于出生队列随访数字化集成平台，完善自闭症、儿童肥胖等常见儿童发育疾病单病种数据库，对随访问卷、体征检查、实验室检查、儿童相关疾病信息等进行数据抄录、数据质控、数据补录、数据审查和校验，形成集检测结果、随访信息及病史等多模态数据，便于数据分析利用及科研成果产出。</w:t>
      </w:r>
    </w:p>
    <w:p>
      <w:pPr>
        <w:spacing w:line="360" w:lineRule="auto"/>
        <w:rPr>
          <w:rFonts w:ascii="宋体" w:hAnsi="宋体" w:eastAsia="宋体"/>
          <w:color w:val="auto"/>
          <w:sz w:val="24"/>
          <w:szCs w:val="24"/>
        </w:rPr>
      </w:pPr>
      <w:r>
        <w:rPr>
          <w:rFonts w:hint="eastAsia" w:ascii="宋体" w:hAnsi="宋体" w:eastAsia="宋体"/>
          <w:color w:val="auto"/>
          <w:sz w:val="24"/>
          <w:szCs w:val="24"/>
        </w:rPr>
        <w:t>三、项目总体目标</w:t>
      </w:r>
    </w:p>
    <w:p>
      <w:pPr>
        <w:spacing w:line="360" w:lineRule="auto"/>
        <w:ind w:firstLine="420"/>
        <w:rPr>
          <w:rFonts w:ascii="宋体" w:hAnsi="宋体" w:eastAsia="宋体"/>
          <w:color w:val="auto"/>
          <w:sz w:val="24"/>
          <w:szCs w:val="24"/>
        </w:rPr>
      </w:pPr>
      <w:r>
        <w:rPr>
          <w:rFonts w:hint="eastAsia" w:ascii="宋体" w:hAnsi="宋体" w:eastAsia="宋体"/>
          <w:color w:val="auto"/>
          <w:sz w:val="24"/>
          <w:szCs w:val="24"/>
        </w:rPr>
        <w:t>针对专病队列包括但不限于：自闭症、肥胖儿童，对患者原始数据进行全面标准化、结构化收集归纳整理；通过数据清洗服务将重复、多余的数据进行筛选和清除处理，纠正或删除错误数据，对数据各质控维度进行全面数据质控；为专病数据库提供真实、有效的数据支撑，提升专病数据价值及挖掘效率，为形成集检测结果、随访信息及病史等多模态数据做数据基石。</w:t>
      </w:r>
    </w:p>
    <w:p>
      <w:pPr>
        <w:spacing w:line="360" w:lineRule="auto"/>
        <w:rPr>
          <w:rFonts w:hint="eastAsia" w:ascii="宋体" w:hAnsi="宋体" w:eastAsia="宋体"/>
          <w:color w:val="auto"/>
          <w:sz w:val="24"/>
          <w:szCs w:val="24"/>
        </w:rPr>
      </w:pPr>
      <w:r>
        <w:rPr>
          <w:rFonts w:hint="eastAsia" w:ascii="宋体" w:hAnsi="宋体" w:eastAsia="宋体"/>
          <w:color w:val="auto"/>
          <w:sz w:val="24"/>
          <w:szCs w:val="24"/>
        </w:rPr>
        <w:t>四、具体服务内容及要求</w:t>
      </w:r>
    </w:p>
    <w:p>
      <w:pPr>
        <w:adjustRightInd w:val="0"/>
        <w:snapToGrid w:val="0"/>
        <w:spacing w:line="360" w:lineRule="auto"/>
        <w:jc w:val="left"/>
        <w:rPr>
          <w:rFonts w:ascii="宋体" w:hAnsi="宋体" w:eastAsia="宋体"/>
          <w:color w:val="auto"/>
          <w:sz w:val="24"/>
          <w:szCs w:val="24"/>
        </w:rPr>
      </w:pPr>
      <w:r>
        <w:rPr>
          <w:rFonts w:ascii="宋体" w:hAnsi="宋体" w:eastAsia="宋体"/>
          <w:b/>
          <w:bCs/>
          <w:color w:val="auto"/>
          <w:sz w:val="24"/>
          <w:szCs w:val="24"/>
        </w:rPr>
        <w:t>1</w:t>
      </w:r>
      <w:r>
        <w:rPr>
          <w:rFonts w:hint="eastAsia" w:ascii="宋体" w:hAnsi="宋体" w:eastAsia="宋体"/>
          <w:b/>
          <w:bCs/>
          <w:color w:val="auto"/>
          <w:sz w:val="24"/>
          <w:szCs w:val="24"/>
        </w:rPr>
        <w:t>、数据服务内容</w:t>
      </w:r>
    </w:p>
    <w:tbl>
      <w:tblPr>
        <w:tblStyle w:val="3"/>
        <w:tblW w:w="9394" w:type="dxa"/>
        <w:tblInd w:w="93" w:type="dxa"/>
        <w:tblLayout w:type="fixed"/>
        <w:tblCellMar>
          <w:top w:w="0" w:type="dxa"/>
          <w:left w:w="108" w:type="dxa"/>
          <w:bottom w:w="0" w:type="dxa"/>
          <w:right w:w="108" w:type="dxa"/>
        </w:tblCellMar>
      </w:tblPr>
      <w:tblGrid>
        <w:gridCol w:w="1149"/>
        <w:gridCol w:w="1895"/>
        <w:gridCol w:w="6"/>
        <w:gridCol w:w="6338"/>
        <w:gridCol w:w="6"/>
      </w:tblGrid>
      <w:tr>
        <w:tblPrEx>
          <w:tblCellMar>
            <w:top w:w="0" w:type="dxa"/>
            <w:left w:w="108" w:type="dxa"/>
            <w:bottom w:w="0" w:type="dxa"/>
            <w:right w:w="108" w:type="dxa"/>
          </w:tblCellMar>
        </w:tblPrEx>
        <w:trPr>
          <w:trHeight w:val="484" w:hRule="atLeast"/>
        </w:trPr>
        <w:tc>
          <w:tcPr>
            <w:tcW w:w="30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eastAsia="宋体" w:cs="宋体"/>
                <w:b/>
                <w:bCs/>
                <w:color w:val="auto"/>
                <w:sz w:val="24"/>
                <w:szCs w:val="24"/>
              </w:rPr>
            </w:pPr>
            <w:r>
              <w:rPr>
                <w:rFonts w:hint="eastAsia" w:ascii="宋体" w:hAnsi="宋体" w:eastAsia="宋体" w:cs="宋体"/>
                <w:b/>
                <w:bCs/>
                <w:color w:val="auto"/>
                <w:kern w:val="0"/>
                <w:sz w:val="24"/>
                <w:szCs w:val="24"/>
              </w:rPr>
              <w:t>服</w:t>
            </w:r>
            <w:r>
              <w:rPr>
                <w:rFonts w:hint="eastAsia" w:ascii="宋体" w:hAnsi="宋体" w:eastAsia="宋体"/>
                <w:b/>
                <w:bCs/>
                <w:color w:val="auto"/>
                <w:sz w:val="24"/>
                <w:szCs w:val="24"/>
              </w:rPr>
              <w:t>务内容</w:t>
            </w:r>
          </w:p>
        </w:tc>
        <w:tc>
          <w:tcPr>
            <w:tcW w:w="634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eastAsia="宋体" w:cs="宋体"/>
                <w:b/>
                <w:bCs/>
                <w:strike/>
                <w:color w:val="auto"/>
                <w:sz w:val="24"/>
                <w:szCs w:val="24"/>
              </w:rPr>
            </w:pPr>
            <w:r>
              <w:rPr>
                <w:rFonts w:hint="eastAsia" w:ascii="宋体" w:hAnsi="宋体" w:eastAsia="宋体"/>
                <w:b/>
                <w:bCs/>
                <w:color w:val="auto"/>
                <w:sz w:val="24"/>
                <w:szCs w:val="24"/>
              </w:rPr>
              <w:t>说明</w:t>
            </w:r>
          </w:p>
        </w:tc>
      </w:tr>
      <w:tr>
        <w:tblPrEx>
          <w:tblCellMar>
            <w:top w:w="0" w:type="dxa"/>
            <w:left w:w="108" w:type="dxa"/>
            <w:bottom w:w="0" w:type="dxa"/>
            <w:right w:w="108" w:type="dxa"/>
          </w:tblCellMar>
        </w:tblPrEx>
        <w:trPr>
          <w:gridAfter w:val="1"/>
          <w:wAfter w:w="6" w:type="dxa"/>
          <w:trHeight w:val="186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数据采集服务</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原始数据的人工采集服务</w:t>
            </w:r>
          </w:p>
        </w:tc>
        <w:tc>
          <w:tcPr>
            <w:tcW w:w="634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对自闭症、肥胖儿童的原始数据的人工采集（含病史摘抄），包括随访问卷、体征及实验室检查、儿童相关疾病信息等进行人工抄录，保证数据完整、真实、安全。共需采集2500份。</w:t>
            </w:r>
          </w:p>
        </w:tc>
      </w:tr>
      <w:tr>
        <w:tblPrEx>
          <w:tblCellMar>
            <w:top w:w="0" w:type="dxa"/>
            <w:left w:w="108" w:type="dxa"/>
            <w:bottom w:w="0" w:type="dxa"/>
            <w:right w:w="108" w:type="dxa"/>
          </w:tblCellMar>
        </w:tblPrEx>
        <w:trPr>
          <w:gridAfter w:val="1"/>
          <w:wAfter w:w="6" w:type="dxa"/>
          <w:trHeight w:val="1860" w:hRule="atLeast"/>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数据处理服务</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数据质控</w:t>
            </w:r>
          </w:p>
        </w:tc>
        <w:tc>
          <w:tcPr>
            <w:tcW w:w="634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于进入平台数据（随访问卷、体征检查、实验室检查、儿童相关疾病信息），每月进行质控，包括：数据录入二次校验、逻辑检查、缺失情况分析等，定期发布质控报告。质控数据至少包含：检测数据质控、随访问卷和临床检查数据(体征检查+化验)质控、病史摘抄数据质控。</w:t>
            </w:r>
          </w:p>
        </w:tc>
      </w:tr>
      <w:tr>
        <w:tblPrEx>
          <w:tblCellMar>
            <w:top w:w="0" w:type="dxa"/>
            <w:left w:w="108" w:type="dxa"/>
            <w:bottom w:w="0" w:type="dxa"/>
            <w:right w:w="108" w:type="dxa"/>
          </w:tblCellMar>
        </w:tblPrEx>
        <w:trPr>
          <w:gridAfter w:val="1"/>
          <w:wAfter w:w="6" w:type="dxa"/>
          <w:trHeight w:val="935" w:hRule="atLeast"/>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auto"/>
                <w:kern w:val="0"/>
                <w:sz w:val="24"/>
                <w:szCs w:val="24"/>
              </w:rPr>
            </w:pP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数据补录</w:t>
            </w:r>
          </w:p>
        </w:tc>
        <w:tc>
          <w:tcPr>
            <w:tcW w:w="634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根据每月质控结果，自主设计完成数据预处理和补录方案，对质量欠佳数据补录，保证数据完整及准确性，总数量500份。</w:t>
            </w:r>
          </w:p>
        </w:tc>
      </w:tr>
      <w:tr>
        <w:tblPrEx>
          <w:tblCellMar>
            <w:top w:w="0" w:type="dxa"/>
            <w:left w:w="108" w:type="dxa"/>
            <w:bottom w:w="0" w:type="dxa"/>
            <w:right w:w="108" w:type="dxa"/>
          </w:tblCellMar>
        </w:tblPrEx>
        <w:trPr>
          <w:gridAfter w:val="1"/>
          <w:wAfter w:w="6" w:type="dxa"/>
          <w:trHeight w:val="945" w:hRule="atLeast"/>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auto"/>
                <w:kern w:val="0"/>
                <w:sz w:val="24"/>
                <w:szCs w:val="24"/>
              </w:rPr>
            </w:pP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数据清洗</w:t>
            </w:r>
          </w:p>
        </w:tc>
        <w:tc>
          <w:tcPr>
            <w:tcW w:w="634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自主设计完成数据清洗方案，制定数据清洗步骤，针对全量数据审查校验，最终形成可直接用于数据分析的完整数据库。</w:t>
            </w:r>
          </w:p>
        </w:tc>
      </w:tr>
    </w:tbl>
    <w:p>
      <w:pPr>
        <w:adjustRightInd w:val="0"/>
        <w:snapToGrid w:val="0"/>
        <w:spacing w:line="360" w:lineRule="auto"/>
        <w:jc w:val="left"/>
        <w:rPr>
          <w:rFonts w:hint="eastAsia" w:ascii="宋体" w:hAnsi="宋体" w:eastAsia="宋体"/>
          <w:b/>
          <w:bCs/>
          <w:color w:val="auto"/>
          <w:sz w:val="24"/>
          <w:szCs w:val="24"/>
        </w:rPr>
      </w:pPr>
      <w:r>
        <w:rPr>
          <w:rFonts w:ascii="宋体" w:hAnsi="宋体" w:eastAsia="宋体"/>
          <w:b/>
          <w:bCs/>
          <w:color w:val="auto"/>
          <w:sz w:val="24"/>
          <w:szCs w:val="24"/>
        </w:rPr>
        <w:t>2</w:t>
      </w:r>
      <w:r>
        <w:rPr>
          <w:rFonts w:hint="eastAsia" w:ascii="宋体" w:hAnsi="宋体" w:eastAsia="宋体"/>
          <w:b/>
          <w:bCs/>
          <w:color w:val="auto"/>
          <w:sz w:val="24"/>
          <w:szCs w:val="24"/>
        </w:rPr>
        <w:t>、数据质控要求</w:t>
      </w:r>
    </w:p>
    <w:p>
      <w:pPr>
        <w:adjustRightInd w:val="0"/>
        <w:snapToGrid w:val="0"/>
        <w:spacing w:line="360" w:lineRule="auto"/>
        <w:jc w:val="left"/>
        <w:rPr>
          <w:rFonts w:ascii="宋体" w:hAnsi="宋体" w:eastAsia="宋体"/>
          <w:b/>
          <w:bCs/>
          <w:color w:val="auto"/>
          <w:sz w:val="24"/>
          <w:szCs w:val="24"/>
        </w:rPr>
      </w:pPr>
      <w:r>
        <w:rPr>
          <w:rFonts w:hint="eastAsia" w:ascii="宋体" w:hAnsi="宋体" w:eastAsia="宋体"/>
          <w:b/>
          <w:bCs/>
          <w:color w:val="auto"/>
          <w:sz w:val="24"/>
          <w:szCs w:val="24"/>
        </w:rPr>
        <w:t>2</w:t>
      </w:r>
      <w:r>
        <w:rPr>
          <w:rFonts w:ascii="宋体" w:hAnsi="宋体" w:eastAsia="宋体"/>
          <w:b/>
          <w:bCs/>
          <w:color w:val="auto"/>
          <w:sz w:val="24"/>
          <w:szCs w:val="24"/>
        </w:rPr>
        <w:t>.1</w:t>
      </w:r>
      <w:r>
        <w:rPr>
          <w:rFonts w:hint="eastAsia" w:ascii="宋体" w:hAnsi="宋体" w:eastAsia="宋体"/>
          <w:b/>
          <w:bCs/>
          <w:color w:val="auto"/>
          <w:sz w:val="24"/>
          <w:szCs w:val="24"/>
        </w:rPr>
        <w:t>、数据分析</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在数据质控过程中本着纠错的原则，对元数据存在的异常值、重复值、错误值、离群值等不符合标准的原始数据予以分析，部分需要人工确认的数据，导出经业务部门确认后再对数据进行修正。</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做好数据质量管理及安全管理，建立数据合理性验证、数据更正等机制。在项目实施过程中应严格按照国家信息安全保密规定，做好数据传输、质控分析过程的数据保密工作，确保数据的信息安全，不得以任何形式向第三方提供任何相关数据信息。若造成数据泄露，采购人有权追究供应商法律责任。</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数据质控分析规则</w:t>
      </w:r>
      <w:r>
        <w:rPr>
          <w:rFonts w:hint="eastAsia" w:ascii="宋体" w:hAnsi="宋体" w:eastAsia="宋体"/>
          <w:b/>
          <w:bCs/>
          <w:color w:val="auto"/>
          <w:sz w:val="24"/>
          <w:szCs w:val="24"/>
        </w:rPr>
        <w:t>至少</w:t>
      </w:r>
      <w:r>
        <w:rPr>
          <w:rFonts w:hint="eastAsia" w:ascii="宋体" w:hAnsi="宋体" w:eastAsia="宋体"/>
          <w:color w:val="auto"/>
          <w:sz w:val="24"/>
          <w:szCs w:val="24"/>
        </w:rPr>
        <w:t>包括非空检核分析、主键重复分析、非法代码分析、非法值分析、数据格式检核、记录数检核。</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非空检核：要求字段为非空的情况下，需要对该字段数据进行检核。</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主键重复：多个业务系统中同类数据经过质控分析后，在统一保存时，为保证主键唯一性，需进行检核工作。</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非法代码、非法值质控分析：非法代码问题包括代码与数据标准不一致等，非法值问题包括取值错误、格式错误、多余字符、乱码等</w:t>
      </w:r>
      <w:r>
        <w:rPr>
          <w:rFonts w:ascii="宋体" w:hAnsi="宋体" w:eastAsia="宋体"/>
          <w:color w:val="auto"/>
          <w:sz w:val="24"/>
          <w:szCs w:val="24"/>
        </w:rPr>
        <w:t>,</w:t>
      </w:r>
      <w:r>
        <w:rPr>
          <w:rFonts w:hint="eastAsia" w:ascii="宋体" w:hAnsi="宋体" w:eastAsia="宋体"/>
          <w:color w:val="auto"/>
          <w:sz w:val="24"/>
          <w:szCs w:val="24"/>
        </w:rPr>
        <w:t>需根据具体情况进行校核及修正。</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数据格式检核：通过检查表中属性值的格式是否正确来衡量其准确性，</w:t>
      </w:r>
      <w:r>
        <w:rPr>
          <w:rFonts w:hint="eastAsia" w:ascii="宋体" w:hAnsi="宋体" w:eastAsia="宋体"/>
          <w:b/>
          <w:bCs/>
          <w:color w:val="auto"/>
          <w:sz w:val="24"/>
          <w:szCs w:val="24"/>
        </w:rPr>
        <w:t>至少包含</w:t>
      </w:r>
      <w:r>
        <w:rPr>
          <w:rFonts w:hint="eastAsia" w:ascii="宋体" w:hAnsi="宋体" w:eastAsia="宋体"/>
          <w:color w:val="auto"/>
          <w:sz w:val="24"/>
          <w:szCs w:val="24"/>
        </w:rPr>
        <w:t>时间格式、币种格式、多余字符、乱码。</w:t>
      </w:r>
    </w:p>
    <w:p>
      <w:pPr>
        <w:adjustRightInd w:val="0"/>
        <w:snapToGrid w:val="0"/>
        <w:spacing w:line="360" w:lineRule="auto"/>
        <w:jc w:val="left"/>
        <w:rPr>
          <w:rFonts w:ascii="宋体" w:hAnsi="宋体" w:eastAsia="宋体"/>
          <w:b/>
          <w:bCs/>
          <w:color w:val="auto"/>
          <w:sz w:val="24"/>
          <w:szCs w:val="24"/>
        </w:rPr>
      </w:pPr>
      <w:r>
        <w:rPr>
          <w:rFonts w:hint="eastAsia" w:ascii="宋体" w:hAnsi="宋体" w:eastAsia="宋体"/>
          <w:b/>
          <w:bCs/>
          <w:color w:val="auto"/>
          <w:sz w:val="24"/>
          <w:szCs w:val="24"/>
        </w:rPr>
        <w:t>2</w:t>
      </w:r>
      <w:r>
        <w:rPr>
          <w:rFonts w:ascii="宋体" w:hAnsi="宋体" w:eastAsia="宋体"/>
          <w:b/>
          <w:bCs/>
          <w:color w:val="auto"/>
          <w:sz w:val="24"/>
          <w:szCs w:val="24"/>
        </w:rPr>
        <w:t>.2</w:t>
      </w:r>
      <w:r>
        <w:rPr>
          <w:rFonts w:hint="eastAsia" w:ascii="宋体" w:hAnsi="宋体" w:eastAsia="宋体"/>
          <w:b/>
          <w:bCs/>
          <w:color w:val="auto"/>
          <w:sz w:val="24"/>
          <w:szCs w:val="24"/>
        </w:rPr>
        <w:t>、数据质控报告</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问题数据分析：对于质控发现的异常数据首先出具问题数据分析报告，异常数据排查完成后，将相关异常数据提供给业务科室进行分析总结并编写问题数据分析报告，制定数据清洗处理方案。</w:t>
      </w:r>
    </w:p>
    <w:p>
      <w:pPr>
        <w:adjustRightInd w:val="0"/>
        <w:snapToGrid w:val="0"/>
        <w:spacing w:line="360" w:lineRule="auto"/>
        <w:jc w:val="left"/>
        <w:rPr>
          <w:rFonts w:ascii="宋体" w:hAnsi="宋体" w:eastAsia="宋体"/>
          <w:b/>
          <w:bCs/>
          <w:color w:val="auto"/>
          <w:sz w:val="24"/>
          <w:szCs w:val="24"/>
        </w:rPr>
      </w:pPr>
      <w:r>
        <w:rPr>
          <w:rFonts w:ascii="宋体" w:hAnsi="宋体" w:eastAsia="宋体"/>
          <w:b/>
          <w:bCs/>
          <w:color w:val="auto"/>
          <w:sz w:val="24"/>
          <w:szCs w:val="24"/>
        </w:rPr>
        <w:t>3</w:t>
      </w:r>
      <w:r>
        <w:rPr>
          <w:rFonts w:hint="eastAsia" w:ascii="宋体" w:hAnsi="宋体" w:eastAsia="宋体"/>
          <w:b/>
          <w:bCs/>
          <w:color w:val="auto"/>
          <w:sz w:val="24"/>
          <w:szCs w:val="24"/>
        </w:rPr>
        <w:t>、数据清洗要求</w:t>
      </w:r>
    </w:p>
    <w:p>
      <w:pPr>
        <w:adjustRightInd w:val="0"/>
        <w:snapToGrid w:val="0"/>
        <w:spacing w:line="360" w:lineRule="auto"/>
        <w:jc w:val="left"/>
        <w:rPr>
          <w:rFonts w:hint="eastAsia" w:ascii="宋体" w:hAnsi="宋体" w:eastAsia="宋体"/>
          <w:b/>
          <w:bCs/>
          <w:color w:val="auto"/>
          <w:sz w:val="24"/>
          <w:szCs w:val="24"/>
        </w:rPr>
      </w:pPr>
      <w:r>
        <w:rPr>
          <w:rFonts w:ascii="宋体" w:hAnsi="宋体" w:eastAsia="宋体"/>
          <w:b/>
          <w:bCs/>
          <w:color w:val="auto"/>
          <w:sz w:val="24"/>
          <w:szCs w:val="24"/>
        </w:rPr>
        <w:t>3.1</w:t>
      </w:r>
      <w:r>
        <w:rPr>
          <w:rFonts w:hint="eastAsia" w:ascii="宋体" w:hAnsi="宋体" w:eastAsia="宋体"/>
          <w:b/>
          <w:bCs/>
          <w:color w:val="auto"/>
          <w:sz w:val="24"/>
          <w:szCs w:val="24"/>
        </w:rPr>
        <w:t>、数据清洗目标</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（1）确保数据的真实有效、清洗的最终数据是源于各业务部门的实际数据。</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）对各分散数据进行合理、高效的采集整合。</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）保证数据的质量、完整性、准确性。</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w:t>
      </w:r>
      <w:r>
        <w:rPr>
          <w:rFonts w:hint="eastAsia" w:ascii="宋体" w:hAnsi="宋体" w:eastAsia="宋体"/>
          <w:color w:val="auto"/>
          <w:sz w:val="24"/>
          <w:szCs w:val="24"/>
        </w:rPr>
        <w:t>）严格按照约定的格式进行数据分析、清理。</w:t>
      </w:r>
    </w:p>
    <w:p>
      <w:pPr>
        <w:adjustRightInd w:val="0"/>
        <w:snapToGrid w:val="0"/>
        <w:spacing w:line="360" w:lineRule="auto"/>
        <w:jc w:val="left"/>
        <w:rPr>
          <w:rFonts w:ascii="宋体" w:hAnsi="宋体" w:eastAsia="宋体"/>
          <w:b/>
          <w:bCs/>
          <w:color w:val="auto"/>
          <w:sz w:val="24"/>
          <w:szCs w:val="24"/>
        </w:rPr>
      </w:pPr>
      <w:r>
        <w:rPr>
          <w:rFonts w:ascii="宋体" w:hAnsi="宋体" w:eastAsia="宋体"/>
          <w:b/>
          <w:bCs/>
          <w:color w:val="auto"/>
          <w:sz w:val="24"/>
          <w:szCs w:val="24"/>
        </w:rPr>
        <w:t>3.2</w:t>
      </w:r>
      <w:r>
        <w:rPr>
          <w:rFonts w:hint="eastAsia" w:ascii="宋体" w:hAnsi="宋体" w:eastAsia="宋体"/>
          <w:b/>
          <w:bCs/>
          <w:color w:val="auto"/>
          <w:sz w:val="24"/>
          <w:szCs w:val="24"/>
        </w:rPr>
        <w:t>、数据清洗范围</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本次数据清洗的范围需按照数据清洗规范，对实际数据进行分析、清洗。针对全量数据审查校验（</w:t>
      </w:r>
      <w:r>
        <w:rPr>
          <w:rFonts w:hint="eastAsia" w:ascii="宋体" w:hAnsi="宋体" w:eastAsia="宋体"/>
          <w:b/>
          <w:bCs/>
          <w:color w:val="auto"/>
          <w:sz w:val="24"/>
          <w:szCs w:val="24"/>
        </w:rPr>
        <w:t>至少</w:t>
      </w:r>
      <w:r>
        <w:rPr>
          <w:rFonts w:hint="eastAsia" w:ascii="宋体" w:hAnsi="宋体" w:eastAsia="宋体"/>
          <w:color w:val="auto"/>
          <w:sz w:val="24"/>
          <w:szCs w:val="24"/>
        </w:rPr>
        <w:t>包含：随访问卷、体征及实验室检查、儿童相关疾病信息），最终形成可直接用于数据分析的完整多模态数据库。本着实事求是的前提，对数据进行归纳清洗。</w:t>
      </w:r>
    </w:p>
    <w:p>
      <w:pPr>
        <w:adjustRightInd w:val="0"/>
        <w:snapToGrid w:val="0"/>
        <w:spacing w:line="360" w:lineRule="auto"/>
        <w:jc w:val="left"/>
        <w:rPr>
          <w:rFonts w:ascii="宋体" w:hAnsi="宋体" w:eastAsia="宋体"/>
          <w:b/>
          <w:bCs/>
          <w:color w:val="auto"/>
          <w:sz w:val="24"/>
          <w:szCs w:val="24"/>
        </w:rPr>
      </w:pPr>
      <w:r>
        <w:rPr>
          <w:rFonts w:hint="eastAsia" w:ascii="宋体" w:hAnsi="宋体" w:eastAsia="宋体"/>
          <w:b/>
          <w:bCs/>
          <w:color w:val="auto"/>
          <w:sz w:val="24"/>
          <w:szCs w:val="24"/>
        </w:rPr>
        <w:t>3</w:t>
      </w:r>
      <w:r>
        <w:rPr>
          <w:rFonts w:ascii="宋体" w:hAnsi="宋体" w:eastAsia="宋体"/>
          <w:b/>
          <w:bCs/>
          <w:color w:val="auto"/>
          <w:sz w:val="24"/>
          <w:szCs w:val="24"/>
        </w:rPr>
        <w:t>.3</w:t>
      </w:r>
      <w:r>
        <w:rPr>
          <w:rFonts w:hint="eastAsia" w:ascii="宋体" w:hAnsi="宋体" w:eastAsia="宋体"/>
          <w:b/>
          <w:bCs/>
          <w:color w:val="auto"/>
          <w:sz w:val="24"/>
          <w:szCs w:val="24"/>
        </w:rPr>
        <w:t>、数据清洗步骤</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数据清洗工作必须包括以下过程：现有数据情况分析、清洗测试编码、数据清洗和转换（含缺失数据补录确认）。</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数据情况分析：了解原数据结构、代码表、数据流程等。</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清洗测试编码：根据数据导入字典对照报告、依据相关业务规则和逻辑检查编写数据清洗程序，并对数据清洗程序进行功能测试。</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数据清洗、转换：用编写好的数据清洗程序对现有的数据进行清洗，对要求字段数据缺失的协助业务部门进行补录。</w:t>
      </w:r>
    </w:p>
    <w:p>
      <w:pPr>
        <w:adjustRightInd w:val="0"/>
        <w:snapToGrid w:val="0"/>
        <w:spacing w:line="360" w:lineRule="auto"/>
        <w:jc w:val="left"/>
        <w:rPr>
          <w:rFonts w:hint="eastAsia" w:ascii="宋体" w:hAnsi="宋体" w:eastAsia="宋体"/>
          <w:b/>
          <w:bCs/>
          <w:color w:val="auto"/>
          <w:sz w:val="24"/>
          <w:szCs w:val="24"/>
        </w:rPr>
      </w:pPr>
      <w:r>
        <w:rPr>
          <w:rFonts w:ascii="宋体" w:hAnsi="宋体" w:eastAsia="宋体"/>
          <w:b/>
          <w:bCs/>
          <w:color w:val="auto"/>
          <w:sz w:val="24"/>
          <w:szCs w:val="24"/>
        </w:rPr>
        <w:t>3</w:t>
      </w:r>
      <w:r>
        <w:rPr>
          <w:rFonts w:hint="eastAsia" w:ascii="宋体" w:hAnsi="宋体" w:eastAsia="宋体"/>
          <w:b/>
          <w:bCs/>
          <w:color w:val="auto"/>
          <w:sz w:val="24"/>
          <w:szCs w:val="24"/>
        </w:rPr>
        <w:t>.4、数据清洗原则</w:t>
      </w:r>
    </w:p>
    <w:p>
      <w:pPr>
        <w:adjustRightInd w:val="0"/>
        <w:snapToGrid w:val="0"/>
        <w:spacing w:line="360" w:lineRule="auto"/>
        <w:jc w:val="left"/>
        <w:rPr>
          <w:rFonts w:hint="eastAsia" w:ascii="宋体" w:hAnsi="宋体" w:eastAsia="宋体"/>
          <w:color w:val="auto"/>
          <w:sz w:val="24"/>
          <w:szCs w:val="24"/>
        </w:rPr>
      </w:pPr>
      <w:r>
        <w:rPr>
          <w:rFonts w:hint="eastAsia" w:ascii="宋体" w:hAnsi="宋体" w:eastAsia="宋体"/>
          <w:b/>
          <w:bCs/>
          <w:color w:val="auto"/>
          <w:sz w:val="24"/>
          <w:szCs w:val="24"/>
        </w:rPr>
        <w:t>3.4.1、数据清洗过程，应确保数据的正确性。</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（1）本着纠错的原则，对原数据存在错误的部分予以纠正。</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）对于垃圾数据应予以清除。</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）本着纠错的原则，对于不满足业务规则和逻辑的数据，部分需经过人工确认的数据，需要导出确认，然后纠正错误数据。</w:t>
      </w:r>
    </w:p>
    <w:p>
      <w:pPr>
        <w:adjustRightInd w:val="0"/>
        <w:snapToGrid w:val="0"/>
        <w:spacing w:line="360" w:lineRule="auto"/>
        <w:jc w:val="left"/>
        <w:rPr>
          <w:rFonts w:ascii="宋体" w:hAnsi="宋体" w:eastAsia="宋体"/>
          <w:b/>
          <w:bCs/>
          <w:color w:val="auto"/>
          <w:sz w:val="24"/>
          <w:szCs w:val="24"/>
        </w:rPr>
      </w:pPr>
      <w:r>
        <w:rPr>
          <w:rFonts w:ascii="宋体" w:hAnsi="宋体" w:eastAsia="宋体"/>
          <w:b/>
          <w:bCs/>
          <w:color w:val="auto"/>
          <w:sz w:val="24"/>
          <w:szCs w:val="24"/>
        </w:rPr>
        <w:t>3.4.2</w:t>
      </w:r>
      <w:r>
        <w:rPr>
          <w:rFonts w:hint="eastAsia" w:ascii="宋体" w:hAnsi="宋体" w:eastAsia="宋体"/>
          <w:b/>
          <w:bCs/>
          <w:color w:val="auto"/>
          <w:sz w:val="24"/>
          <w:szCs w:val="24"/>
        </w:rPr>
        <w:t>、数据清洗过程，应确保数据的延续性。</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（1）对原数据在逻辑关系上不符合业务规则和逻辑要求的，对业务数据进行清洗，以保证数据清洗的合理性。</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）对于代码信息项（数据编码），参照出生队列随访数字化集成平台的数据编码进行相应对照。</w:t>
      </w:r>
    </w:p>
    <w:p>
      <w:pPr>
        <w:adjustRightInd w:val="0"/>
        <w:snapToGrid w:val="0"/>
        <w:spacing w:line="360" w:lineRule="auto"/>
        <w:jc w:val="left"/>
        <w:rPr>
          <w:rFonts w:ascii="宋体" w:hAnsi="宋体" w:eastAsia="宋体"/>
          <w:b/>
          <w:bCs/>
          <w:color w:val="auto"/>
          <w:sz w:val="24"/>
          <w:szCs w:val="24"/>
        </w:rPr>
      </w:pPr>
      <w:r>
        <w:rPr>
          <w:rFonts w:ascii="宋体" w:hAnsi="宋体" w:eastAsia="宋体"/>
          <w:b/>
          <w:bCs/>
          <w:color w:val="auto"/>
          <w:sz w:val="24"/>
          <w:szCs w:val="24"/>
        </w:rPr>
        <w:t>4</w:t>
      </w:r>
      <w:r>
        <w:rPr>
          <w:rFonts w:hint="eastAsia" w:ascii="宋体" w:hAnsi="宋体" w:eastAsia="宋体"/>
          <w:b/>
          <w:bCs/>
          <w:color w:val="auto"/>
          <w:sz w:val="24"/>
          <w:szCs w:val="24"/>
        </w:rPr>
        <w:t>、数据预处理、补录要求</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基于质控分析出数据问题产生的原因，对问题数据进行归类处理：对于可以通过信息化进行批量数据处理的情况，由业务科室确认处理规则后，编写数据清理脚本进行数据处理。主要可以处理的内容</w:t>
      </w:r>
      <w:r>
        <w:rPr>
          <w:rFonts w:hint="eastAsia" w:ascii="宋体" w:hAnsi="宋体" w:eastAsia="宋体"/>
          <w:b/>
          <w:bCs/>
          <w:color w:val="auto"/>
          <w:sz w:val="24"/>
          <w:szCs w:val="24"/>
        </w:rPr>
        <w:t>至少</w:t>
      </w:r>
      <w:r>
        <w:rPr>
          <w:rFonts w:hint="eastAsia" w:ascii="宋体" w:hAnsi="宋体" w:eastAsia="宋体"/>
          <w:color w:val="auto"/>
          <w:sz w:val="24"/>
          <w:szCs w:val="24"/>
        </w:rPr>
        <w:t>包括：数据格式类错误修正、业务表中间数据遗漏数据修正、经确认后可以按照统一规则进行的数据错误修正、对于有规律的错误数据由业务人员按照统一格式整理成数据文件导入系统后统一修正。</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对于需要由业务人员通过业务系统的前台操作完成数据修正的情况，由业务人员根据档案信息或者联系服务对象重新收集数据。</w:t>
      </w:r>
    </w:p>
    <w:p>
      <w:pPr>
        <w:adjustRightInd w:val="0"/>
        <w:snapToGrid w:val="0"/>
        <w:spacing w:line="360" w:lineRule="auto"/>
        <w:jc w:val="left"/>
        <w:rPr>
          <w:rFonts w:ascii="宋体" w:hAnsi="宋体" w:eastAsia="宋体"/>
          <w:b/>
          <w:bCs/>
          <w:color w:val="auto"/>
          <w:sz w:val="24"/>
          <w:szCs w:val="24"/>
        </w:rPr>
      </w:pPr>
      <w:r>
        <w:rPr>
          <w:rFonts w:ascii="宋体" w:hAnsi="宋体" w:eastAsia="宋体"/>
          <w:b/>
          <w:bCs/>
          <w:color w:val="auto"/>
          <w:sz w:val="24"/>
          <w:szCs w:val="24"/>
        </w:rPr>
        <w:t>5</w:t>
      </w:r>
      <w:r>
        <w:rPr>
          <w:rFonts w:hint="eastAsia" w:ascii="宋体" w:hAnsi="宋体" w:eastAsia="宋体"/>
          <w:b/>
          <w:bCs/>
          <w:color w:val="auto"/>
          <w:sz w:val="24"/>
          <w:szCs w:val="24"/>
        </w:rPr>
        <w:t>、质控及治理报告要求</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基于全量数据、编制数据分析质控报告，综合分析呈现数据的现状、问题、特点，以及问题分析改进和清洗方案，出具数据质控分析报告。</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根据数据质控分析报告，对数据进行清洗，数据清洗的情况，编写数据清洗治理报告。最终给出符合采购人要求的规范数据。</w:t>
      </w:r>
    </w:p>
    <w:p>
      <w:pPr>
        <w:adjustRightInd w:val="0"/>
        <w:snapToGrid w:val="0"/>
        <w:spacing w:line="360" w:lineRule="auto"/>
        <w:jc w:val="left"/>
        <w:rPr>
          <w:rFonts w:ascii="宋体" w:hAnsi="宋体" w:eastAsia="宋体"/>
          <w:b/>
          <w:bCs/>
          <w:color w:val="auto"/>
          <w:sz w:val="24"/>
          <w:szCs w:val="24"/>
        </w:rPr>
      </w:pPr>
      <w:r>
        <w:rPr>
          <w:rFonts w:ascii="宋体" w:hAnsi="宋体" w:eastAsia="宋体"/>
          <w:b/>
          <w:bCs/>
          <w:color w:val="auto"/>
          <w:sz w:val="24"/>
          <w:szCs w:val="24"/>
        </w:rPr>
        <w:t>6</w:t>
      </w:r>
      <w:r>
        <w:rPr>
          <w:rFonts w:hint="eastAsia" w:ascii="宋体" w:hAnsi="宋体" w:eastAsia="宋体"/>
          <w:b/>
          <w:bCs/>
          <w:color w:val="auto"/>
          <w:sz w:val="24"/>
          <w:szCs w:val="24"/>
        </w:rPr>
        <w:t>、服务质量的审核要求</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供应商质控分析报告需自检合格后方可递交采购人审核。</w:t>
      </w:r>
    </w:p>
    <w:p>
      <w:pPr>
        <w:adjustRightInd w:val="0"/>
        <w:snapToGrid w:val="0"/>
        <w:spacing w:line="360" w:lineRule="auto"/>
        <w:ind w:firstLine="420"/>
        <w:jc w:val="left"/>
        <w:rPr>
          <w:rFonts w:ascii="宋体" w:hAnsi="宋体" w:eastAsia="宋体"/>
          <w:color w:val="auto"/>
          <w:sz w:val="24"/>
          <w:szCs w:val="24"/>
        </w:rPr>
      </w:pPr>
      <w:r>
        <w:rPr>
          <w:rFonts w:hint="eastAsia" w:ascii="宋体" w:hAnsi="宋体" w:eastAsia="宋体"/>
          <w:color w:val="auto"/>
          <w:sz w:val="24"/>
          <w:szCs w:val="24"/>
        </w:rPr>
        <w:t>采购人对供应商筛选清理、预处理、质控分析及整合的报告进行审核。审核以抽检方式进行，根据采购人提供的数据标准进行检查，要求数据准确率达到</w:t>
      </w:r>
      <w:r>
        <w:rPr>
          <w:rFonts w:ascii="宋体" w:hAnsi="宋体" w:eastAsia="宋体"/>
          <w:color w:val="auto"/>
          <w:sz w:val="24"/>
          <w:szCs w:val="24"/>
        </w:rPr>
        <w:t xml:space="preserve"> 100%,</w:t>
      </w:r>
      <w:r>
        <w:rPr>
          <w:rFonts w:hint="eastAsia" w:ascii="宋体" w:hAnsi="宋体" w:eastAsia="宋体"/>
          <w:color w:val="auto"/>
          <w:sz w:val="24"/>
          <w:szCs w:val="24"/>
        </w:rPr>
        <w:t>予以审核通过。抽检合格率低于</w:t>
      </w:r>
      <w:r>
        <w:rPr>
          <w:rFonts w:ascii="宋体" w:hAnsi="宋体" w:eastAsia="宋体"/>
          <w:color w:val="auto"/>
          <w:sz w:val="24"/>
          <w:szCs w:val="24"/>
        </w:rPr>
        <w:t xml:space="preserve">100% </w:t>
      </w:r>
      <w:r>
        <w:rPr>
          <w:rFonts w:hint="eastAsia" w:ascii="宋体" w:hAnsi="宋体" w:eastAsia="宋体"/>
          <w:color w:val="auto"/>
          <w:sz w:val="24"/>
          <w:szCs w:val="24"/>
        </w:rPr>
        <w:t>的，提交审核的数据全部发回供应商重新自检，自检合格后再提交审核。经三次审核仍不合格的，扣除本项目合同金额</w:t>
      </w:r>
      <w:r>
        <w:rPr>
          <w:rFonts w:ascii="宋体" w:hAnsi="宋体" w:eastAsia="宋体"/>
          <w:color w:val="auto"/>
          <w:sz w:val="24"/>
          <w:szCs w:val="24"/>
        </w:rPr>
        <w:t>5%</w:t>
      </w:r>
      <w:r>
        <w:rPr>
          <w:rFonts w:hint="eastAsia" w:ascii="宋体" w:hAnsi="宋体" w:eastAsia="宋体"/>
          <w:color w:val="auto"/>
          <w:sz w:val="24"/>
          <w:szCs w:val="24"/>
        </w:rPr>
        <w:t>并再次全部发回供应商重新自检，自检合格后再提交审核，此后的每次不合格再扣除合同金额的</w:t>
      </w:r>
      <w:r>
        <w:rPr>
          <w:rFonts w:ascii="宋体" w:hAnsi="宋体" w:eastAsia="宋体"/>
          <w:color w:val="auto"/>
          <w:sz w:val="24"/>
          <w:szCs w:val="24"/>
        </w:rPr>
        <w:t xml:space="preserve"> 5%</w:t>
      </w:r>
      <w:r>
        <w:rPr>
          <w:rFonts w:hint="eastAsia" w:ascii="宋体" w:hAnsi="宋体" w:eastAsia="宋体"/>
          <w:color w:val="auto"/>
          <w:sz w:val="24"/>
          <w:szCs w:val="24"/>
        </w:rPr>
        <w:t>，最高扣除金额为合同全款的</w:t>
      </w:r>
      <w:r>
        <w:rPr>
          <w:rFonts w:ascii="宋体" w:hAnsi="宋体" w:eastAsia="宋体"/>
          <w:color w:val="auto"/>
          <w:sz w:val="24"/>
          <w:szCs w:val="24"/>
        </w:rPr>
        <w:t>50%</w:t>
      </w:r>
      <w:r>
        <w:rPr>
          <w:rFonts w:hint="eastAsia" w:ascii="宋体" w:hAnsi="宋体" w:eastAsia="宋体"/>
          <w:color w:val="auto"/>
          <w:sz w:val="24"/>
          <w:szCs w:val="24"/>
        </w:rPr>
        <w:t>。</w:t>
      </w:r>
    </w:p>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五、售后服务要求</w:t>
      </w:r>
    </w:p>
    <w:tbl>
      <w:tblPr>
        <w:tblStyle w:val="3"/>
        <w:tblW w:w="8804" w:type="dxa"/>
        <w:tblInd w:w="0" w:type="dxa"/>
        <w:tblLayout w:type="fixed"/>
        <w:tblCellMar>
          <w:top w:w="0" w:type="dxa"/>
          <w:left w:w="0" w:type="dxa"/>
          <w:bottom w:w="0" w:type="dxa"/>
          <w:right w:w="0" w:type="dxa"/>
        </w:tblCellMar>
      </w:tblPr>
      <w:tblGrid>
        <w:gridCol w:w="724"/>
        <w:gridCol w:w="2552"/>
        <w:gridCol w:w="5528"/>
      </w:tblGrid>
      <w:tr>
        <w:tblPrEx>
          <w:tblCellMar>
            <w:top w:w="0" w:type="dxa"/>
            <w:left w:w="0" w:type="dxa"/>
            <w:bottom w:w="0" w:type="dxa"/>
            <w:right w:w="0" w:type="dxa"/>
          </w:tblCellMar>
        </w:tblPrEx>
        <w:trPr>
          <w:trHeight w:val="416"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360" w:lineRule="auto"/>
              <w:jc w:val="center"/>
              <w:textAlignment w:val="center"/>
              <w:rPr>
                <w:rFonts w:ascii="宋体" w:hAnsi="宋体" w:eastAsia="宋体"/>
                <w:b/>
                <w:bCs/>
                <w:color w:val="auto"/>
                <w:sz w:val="24"/>
                <w:szCs w:val="24"/>
              </w:rPr>
            </w:pPr>
            <w:r>
              <w:rPr>
                <w:rFonts w:hint="eastAsia" w:ascii="宋体" w:hAnsi="宋体" w:eastAsia="宋体"/>
                <w:b/>
                <w:bCs/>
                <w:color w:val="auto"/>
                <w:sz w:val="24"/>
                <w:szCs w:val="24"/>
              </w:rPr>
              <w:t>序号</w:t>
            </w:r>
          </w:p>
        </w:tc>
        <w:tc>
          <w:tcPr>
            <w:tcW w:w="25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auto"/>
              <w:jc w:val="center"/>
              <w:textAlignment w:val="center"/>
              <w:rPr>
                <w:rFonts w:ascii="宋体" w:hAnsi="宋体" w:eastAsia="宋体"/>
                <w:b/>
                <w:bCs/>
                <w:color w:val="auto"/>
                <w:sz w:val="24"/>
                <w:szCs w:val="24"/>
              </w:rPr>
            </w:pPr>
            <w:r>
              <w:rPr>
                <w:rFonts w:hint="eastAsia" w:ascii="宋体" w:hAnsi="宋体" w:eastAsia="宋体"/>
                <w:b/>
                <w:bCs/>
                <w:color w:val="auto"/>
                <w:sz w:val="24"/>
                <w:szCs w:val="24"/>
              </w:rPr>
              <w:t>项目内容</w:t>
            </w:r>
          </w:p>
        </w:tc>
        <w:tc>
          <w:tcPr>
            <w:tcW w:w="552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auto"/>
              <w:jc w:val="center"/>
              <w:textAlignment w:val="center"/>
              <w:rPr>
                <w:rFonts w:ascii="宋体" w:hAnsi="宋体" w:eastAsia="宋体"/>
                <w:b/>
                <w:bCs/>
                <w:color w:val="auto"/>
                <w:sz w:val="24"/>
                <w:szCs w:val="24"/>
              </w:rPr>
            </w:pPr>
            <w:r>
              <w:rPr>
                <w:rFonts w:hint="eastAsia" w:ascii="宋体" w:hAnsi="宋体" w:eastAsia="宋体"/>
                <w:b/>
                <w:bCs/>
                <w:color w:val="auto"/>
                <w:sz w:val="24"/>
                <w:szCs w:val="24"/>
              </w:rPr>
              <w:t>要求</w:t>
            </w:r>
          </w:p>
        </w:tc>
      </w:tr>
      <w:tr>
        <w:tblPrEx>
          <w:tblCellMar>
            <w:top w:w="0" w:type="dxa"/>
            <w:left w:w="0" w:type="dxa"/>
            <w:bottom w:w="0" w:type="dxa"/>
            <w:right w:w="0" w:type="dxa"/>
          </w:tblCellMar>
        </w:tblPrEx>
        <w:trPr>
          <w:trHeight w:val="741"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auto"/>
              <w:jc w:val="center"/>
              <w:textAlignment w:val="center"/>
              <w:rPr>
                <w:rFonts w:ascii="宋体" w:hAnsi="宋体" w:eastAsia="宋体"/>
                <w:color w:val="auto"/>
                <w:sz w:val="24"/>
                <w:szCs w:val="24"/>
              </w:rPr>
            </w:pPr>
            <w:r>
              <w:rPr>
                <w:rFonts w:hint="eastAsia" w:ascii="宋体" w:hAnsi="宋体" w:eastAsia="宋体"/>
                <w:color w:val="auto"/>
                <w:sz w:val="24"/>
                <w:szCs w:val="24"/>
              </w:rPr>
              <w:t>1</w:t>
            </w:r>
          </w:p>
        </w:tc>
        <w:tc>
          <w:tcPr>
            <w:tcW w:w="25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auto"/>
              <w:ind w:left="-300" w:leftChars="-143" w:firstLine="301" w:firstLineChars="125"/>
              <w:textAlignment w:val="center"/>
              <w:rPr>
                <w:rFonts w:ascii="宋体" w:hAnsi="宋体" w:eastAsia="宋体"/>
                <w:color w:val="auto"/>
                <w:sz w:val="24"/>
                <w:szCs w:val="24"/>
              </w:rPr>
            </w:pPr>
            <w:r>
              <w:rPr>
                <w:rFonts w:hint="eastAsia" w:ascii="宋体" w:hAnsi="宋体" w:eastAsia="宋体"/>
                <w:b/>
                <w:bCs/>
                <w:color w:val="auto"/>
                <w:sz w:val="24"/>
                <w:szCs w:val="24"/>
              </w:rPr>
              <w:t>服务期限</w:t>
            </w:r>
          </w:p>
        </w:tc>
        <w:tc>
          <w:tcPr>
            <w:tcW w:w="552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auto"/>
              <w:textAlignment w:val="center"/>
              <w:rPr>
                <w:rFonts w:ascii="宋体" w:hAnsi="宋体" w:eastAsia="宋体"/>
                <w:strike/>
                <w:color w:val="auto"/>
                <w:sz w:val="24"/>
                <w:szCs w:val="24"/>
              </w:rPr>
            </w:pPr>
            <w:bookmarkStart w:id="0" w:name="_Hlk38371660"/>
            <w:r>
              <w:rPr>
                <w:rFonts w:hint="eastAsia" w:ascii="宋体" w:hAnsi="宋体" w:eastAsia="宋体"/>
                <w:color w:val="auto"/>
                <w:sz w:val="24"/>
                <w:szCs w:val="24"/>
              </w:rPr>
              <w:t>合同签订后3个月内。</w:t>
            </w:r>
            <w:bookmarkEnd w:id="0"/>
          </w:p>
        </w:tc>
      </w:tr>
      <w:tr>
        <w:tblPrEx>
          <w:tblCellMar>
            <w:top w:w="0" w:type="dxa"/>
            <w:left w:w="0" w:type="dxa"/>
            <w:bottom w:w="0" w:type="dxa"/>
            <w:right w:w="0" w:type="dxa"/>
          </w:tblCellMar>
        </w:tblPrEx>
        <w:trPr>
          <w:trHeight w:val="811"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auto"/>
              <w:jc w:val="center"/>
              <w:textAlignment w:val="center"/>
              <w:rPr>
                <w:rFonts w:ascii="宋体" w:hAnsi="宋体" w:eastAsia="宋体"/>
                <w:color w:val="auto"/>
                <w:sz w:val="24"/>
                <w:szCs w:val="24"/>
              </w:rPr>
            </w:pPr>
            <w:r>
              <w:rPr>
                <w:rFonts w:hint="eastAsia" w:ascii="宋体" w:hAnsi="宋体" w:eastAsia="宋体"/>
                <w:color w:val="auto"/>
                <w:sz w:val="24"/>
                <w:szCs w:val="24"/>
              </w:rPr>
              <w:t>2</w:t>
            </w:r>
          </w:p>
        </w:tc>
        <w:tc>
          <w:tcPr>
            <w:tcW w:w="25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auto"/>
              <w:textAlignment w:val="center"/>
              <w:rPr>
                <w:rFonts w:ascii="宋体" w:hAnsi="宋体" w:eastAsia="宋体"/>
                <w:color w:val="auto"/>
                <w:sz w:val="24"/>
                <w:szCs w:val="24"/>
              </w:rPr>
            </w:pPr>
            <w:r>
              <w:rPr>
                <w:rFonts w:hint="eastAsia" w:ascii="宋体" w:hAnsi="宋体" w:eastAsia="宋体"/>
                <w:color w:val="auto"/>
                <w:sz w:val="24"/>
                <w:szCs w:val="24"/>
              </w:rPr>
              <w:t>服务响应</w:t>
            </w:r>
          </w:p>
        </w:tc>
        <w:tc>
          <w:tcPr>
            <w:tcW w:w="552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auto"/>
              <w:textAlignment w:val="center"/>
              <w:rPr>
                <w:rFonts w:ascii="宋体" w:hAnsi="宋体" w:eastAsia="宋体"/>
                <w:color w:val="auto"/>
                <w:sz w:val="24"/>
                <w:szCs w:val="24"/>
              </w:rPr>
            </w:pPr>
            <w:r>
              <w:rPr>
                <w:rFonts w:hint="eastAsia" w:ascii="宋体" w:hAnsi="宋体" w:eastAsia="宋体"/>
                <w:color w:val="auto"/>
                <w:sz w:val="24"/>
                <w:szCs w:val="24"/>
              </w:rPr>
              <w:t>在接到用户通知后，2小时内响应，4小时内到达现场，超过12小时不能解决问题应提供应急方案。</w:t>
            </w:r>
          </w:p>
        </w:tc>
      </w:tr>
      <w:tr>
        <w:tblPrEx>
          <w:tblCellMar>
            <w:top w:w="0" w:type="dxa"/>
            <w:left w:w="0" w:type="dxa"/>
            <w:bottom w:w="0" w:type="dxa"/>
            <w:right w:w="0" w:type="dxa"/>
          </w:tblCellMar>
        </w:tblPrEx>
        <w:trPr>
          <w:trHeight w:val="416" w:hRule="atLeast"/>
        </w:trPr>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auto"/>
              <w:jc w:val="center"/>
              <w:textAlignment w:val="center"/>
              <w:rPr>
                <w:rFonts w:ascii="宋体" w:hAnsi="宋体" w:eastAsia="宋体"/>
                <w:color w:val="auto"/>
                <w:sz w:val="24"/>
                <w:szCs w:val="24"/>
              </w:rPr>
            </w:pPr>
            <w:r>
              <w:rPr>
                <w:rFonts w:hint="eastAsia" w:ascii="宋体" w:hAnsi="宋体" w:eastAsia="宋体"/>
                <w:color w:val="auto"/>
                <w:sz w:val="24"/>
                <w:szCs w:val="24"/>
              </w:rPr>
              <w:t>6</w:t>
            </w:r>
          </w:p>
        </w:tc>
        <w:tc>
          <w:tcPr>
            <w:tcW w:w="255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auto"/>
              <w:textAlignment w:val="center"/>
              <w:rPr>
                <w:rFonts w:ascii="宋体" w:hAnsi="宋体" w:eastAsia="宋体"/>
                <w:strike/>
                <w:color w:val="auto"/>
                <w:sz w:val="24"/>
                <w:szCs w:val="24"/>
              </w:rPr>
            </w:pPr>
            <w:r>
              <w:rPr>
                <w:rFonts w:hint="eastAsia" w:ascii="宋体" w:hAnsi="宋体" w:eastAsia="宋体"/>
                <w:color w:val="auto"/>
                <w:sz w:val="24"/>
                <w:szCs w:val="24"/>
              </w:rPr>
              <w:t>售后服务</w:t>
            </w:r>
          </w:p>
        </w:tc>
        <w:tc>
          <w:tcPr>
            <w:tcW w:w="5528"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auto"/>
              <w:textAlignment w:val="center"/>
              <w:rPr>
                <w:rFonts w:ascii="宋体" w:hAnsi="宋体" w:eastAsia="宋体"/>
                <w:strike/>
                <w:color w:val="auto"/>
                <w:sz w:val="24"/>
                <w:szCs w:val="24"/>
              </w:rPr>
            </w:pPr>
            <w:r>
              <w:rPr>
                <w:rFonts w:hint="eastAsia" w:ascii="宋体" w:hAnsi="宋体" w:eastAsia="宋体"/>
                <w:color w:val="auto"/>
                <w:sz w:val="24"/>
                <w:szCs w:val="24"/>
              </w:rPr>
              <w:t>供应商应承诺保质保量地完成相关数据服务。通过线上或线下的方式，提供</w:t>
            </w:r>
            <w:r>
              <w:rPr>
                <w:rFonts w:hint="eastAsia" w:ascii="宋体" w:hAnsi="宋体" w:eastAsia="宋体"/>
                <w:b/>
                <w:bCs/>
                <w:color w:val="auto"/>
                <w:sz w:val="24"/>
                <w:szCs w:val="24"/>
              </w:rPr>
              <w:t>不少于</w:t>
            </w:r>
            <w:r>
              <w:rPr>
                <w:rFonts w:ascii="宋体" w:hAnsi="宋体" w:eastAsia="宋体"/>
                <w:b/>
                <w:bCs/>
                <w:color w:val="auto"/>
                <w:sz w:val="24"/>
                <w:szCs w:val="24"/>
              </w:rPr>
              <w:t>1</w:t>
            </w:r>
            <w:r>
              <w:rPr>
                <w:rFonts w:hint="eastAsia" w:ascii="宋体" w:hAnsi="宋体" w:eastAsia="宋体"/>
                <w:b/>
                <w:bCs/>
                <w:color w:val="auto"/>
                <w:sz w:val="24"/>
                <w:szCs w:val="24"/>
              </w:rPr>
              <w:t>年</w:t>
            </w:r>
            <w:r>
              <w:rPr>
                <w:rFonts w:hint="eastAsia" w:ascii="宋体" w:hAnsi="宋体" w:eastAsia="宋体"/>
                <w:color w:val="auto"/>
                <w:sz w:val="24"/>
                <w:szCs w:val="24"/>
              </w:rPr>
              <w:t>的免费维护和技术支持，时间从验收合格之日起计算。供应商应承诺超过免费维护、升级和服务时间后，年服务费用的收费标准。</w:t>
            </w:r>
          </w:p>
        </w:tc>
      </w:tr>
    </w:tbl>
    <w:p>
      <w:pPr>
        <w:adjustRightInd w:val="0"/>
        <w:snapToGrid w:val="0"/>
        <w:spacing w:line="360" w:lineRule="auto"/>
        <w:jc w:val="left"/>
        <w:rPr>
          <w:rFonts w:ascii="宋体" w:hAnsi="宋体" w:eastAsia="宋体"/>
          <w:color w:val="auto"/>
          <w:sz w:val="24"/>
          <w:szCs w:val="24"/>
        </w:rPr>
      </w:pPr>
      <w:r>
        <w:rPr>
          <w:rFonts w:hint="eastAsia" w:ascii="宋体" w:hAnsi="宋体" w:eastAsia="宋体"/>
          <w:color w:val="auto"/>
          <w:sz w:val="24"/>
          <w:szCs w:val="24"/>
        </w:rPr>
        <w:t>六、项目实施要求</w:t>
      </w:r>
    </w:p>
    <w:p>
      <w:pPr>
        <w:adjustRightInd w:val="0"/>
        <w:snapToGrid w:val="0"/>
        <w:spacing w:line="360" w:lineRule="auto"/>
        <w:jc w:val="left"/>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供应商应具备本地化服务能力，在本地设有售后服务机构及项目支持团队（提供售后服务机构地址证明及项目支撑人员社保证明），能够快速响应采购人的各种使用问题及故障处理。为使本项目按质、按量、按时及有序实施，供应商必须有一个完善和稳定的管理组织机构。</w:t>
      </w:r>
    </w:p>
    <w:p>
      <w:pPr>
        <w:adjustRightInd w:val="0"/>
        <w:snapToGrid w:val="0"/>
        <w:spacing w:line="360" w:lineRule="auto"/>
        <w:jc w:val="left"/>
        <w:rPr>
          <w:rFonts w:ascii="宋体" w:hAnsi="宋体" w:eastAsia="宋体"/>
          <w:b/>
          <w:bCs/>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、在项目负责人员方面，供应商须配备一名专职负责的项目负责人。在服务期内，质控分析实施团队必须在采购人指定的地点开展质控分析工作。</w:t>
      </w:r>
      <w:r>
        <w:rPr>
          <w:rFonts w:hint="eastAsia" w:ascii="宋体" w:hAnsi="宋体" w:eastAsia="宋体"/>
          <w:b/>
          <w:bCs/>
          <w:color w:val="auto"/>
          <w:sz w:val="24"/>
          <w:szCs w:val="24"/>
        </w:rPr>
        <w:t>要求配备具有数据分析能力和经验的人员。</w:t>
      </w:r>
    </w:p>
    <w:p>
      <w:pPr>
        <w:adjustRightInd w:val="0"/>
        <w:snapToGrid w:val="0"/>
        <w:spacing w:line="360" w:lineRule="auto"/>
        <w:jc w:val="left"/>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、本项目的项目负责人、质控分析实施人员必须对质控分析的数据有足够的认识。供应商如中途更换项目负责人、技术负责人，则必须征得采购人同意。</w:t>
      </w:r>
    </w:p>
    <w:p>
      <w:pPr>
        <w:adjustRightInd w:val="0"/>
        <w:snapToGrid w:val="0"/>
        <w:spacing w:line="360" w:lineRule="auto"/>
        <w:jc w:val="left"/>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、在项目实施期间和质保期内，供应商承诺的项目负责人和开发实施的主要人员未经采购人同意不得调整。</w:t>
      </w:r>
    </w:p>
    <w:p>
      <w:pPr>
        <w:adjustRightInd w:val="0"/>
        <w:snapToGrid w:val="0"/>
        <w:spacing w:line="360" w:lineRule="auto"/>
        <w:jc w:val="left"/>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、项目实施期间，供应商必须设置专人在项目实施期间对文档进行检查和管理，项目最终验收后全部移交采购人。</w:t>
      </w:r>
    </w:p>
    <w:p>
      <w:pPr>
        <w:adjustRightInd w:val="0"/>
        <w:snapToGrid w:val="0"/>
        <w:spacing w:line="360" w:lineRule="auto"/>
        <w:jc w:val="left"/>
        <w:rPr>
          <w:rFonts w:hint="eastAsia" w:ascii="宋体" w:hAnsi="宋体" w:eastAsia="宋体"/>
          <w:color w:val="auto"/>
          <w:sz w:val="24"/>
          <w:szCs w:val="24"/>
        </w:rPr>
      </w:pPr>
      <w:r>
        <w:rPr>
          <w:rFonts w:hint="eastAsia" w:ascii="宋体" w:hAnsi="宋体" w:eastAsia="宋体"/>
          <w:color w:val="auto"/>
          <w:sz w:val="24"/>
          <w:szCs w:val="24"/>
        </w:rPr>
        <w:t>6、供应商须对项目实施过程中涉及的相关数据承担保密义务。</w:t>
      </w:r>
    </w:p>
    <w:p>
      <w:pPr>
        <w:adjustRightInd w:val="0"/>
        <w:snapToGrid w:val="0"/>
        <w:spacing w:line="360" w:lineRule="auto"/>
        <w:jc w:val="left"/>
        <w:rPr>
          <w:rFonts w:hint="eastAsia" w:ascii="宋体" w:hAnsi="宋体" w:eastAsia="宋体"/>
          <w:color w:val="auto"/>
          <w:sz w:val="24"/>
          <w:szCs w:val="24"/>
        </w:rPr>
      </w:pPr>
      <w:r>
        <w:rPr>
          <w:rFonts w:hint="eastAsia" w:ascii="宋体" w:hAnsi="宋体" w:eastAsia="宋体"/>
          <w:color w:val="auto"/>
          <w:sz w:val="24"/>
          <w:szCs w:val="24"/>
        </w:rPr>
        <w:t>七、付款方式</w:t>
      </w:r>
    </w:p>
    <w:p>
      <w:pPr>
        <w:adjustRightInd w:val="0"/>
        <w:snapToGrid w:val="0"/>
        <w:spacing w:line="360" w:lineRule="auto"/>
        <w:jc w:val="left"/>
        <w:rPr>
          <w:rFonts w:ascii="宋体" w:hAnsi="宋体" w:eastAsia="宋体"/>
          <w:color w:val="auto"/>
          <w:sz w:val="24"/>
          <w:szCs w:val="24"/>
        </w:rPr>
      </w:pPr>
      <w:commentRangeStart w:id="0"/>
      <w:r>
        <w:rPr>
          <w:rFonts w:hint="eastAsia" w:ascii="宋体" w:hAnsi="宋体" w:eastAsia="宋体"/>
          <w:color w:val="auto"/>
          <w:sz w:val="24"/>
          <w:szCs w:val="24"/>
        </w:rPr>
        <w:t>采购人在项目验收合格后三个月内付清全款。</w:t>
      </w:r>
      <w:commentRangeEnd w:id="0"/>
      <w:r>
        <w:rPr>
          <w:rStyle w:val="5"/>
          <w:rFonts w:eastAsia="宋体"/>
          <w:color w:val="auto"/>
        </w:rPr>
        <w:commentReference w:id="0"/>
      </w:r>
    </w:p>
    <w:p>
      <w:pPr>
        <w:adjustRightInd w:val="0"/>
        <w:snapToGrid w:val="0"/>
        <w:spacing w:line="360" w:lineRule="auto"/>
        <w:jc w:val="left"/>
        <w:rPr>
          <w:rFonts w:hint="eastAsia" w:ascii="宋体" w:hAnsi="宋体" w:eastAsia="宋体"/>
          <w:color w:val="auto"/>
          <w:sz w:val="24"/>
          <w:szCs w:val="24"/>
        </w:rPr>
      </w:pPr>
    </w:p>
    <w:p>
      <w:pPr>
        <w:spacing w:line="360" w:lineRule="auto"/>
        <w:rPr>
          <w:rFonts w:hint="eastAsia" w:ascii="宋体" w:hAnsi="宋体" w:eastAsia="宋体"/>
          <w:color w:val="auto"/>
          <w:sz w:val="24"/>
          <w:szCs w:val="24"/>
        </w:rPr>
      </w:pPr>
    </w:p>
    <w:p>
      <w:pPr>
        <w:adjustRightInd w:val="0"/>
        <w:snapToGrid w:val="0"/>
        <w:spacing w:line="360" w:lineRule="auto"/>
        <w:jc w:val="left"/>
        <w:rPr>
          <w:rFonts w:hint="eastAsia" w:ascii="宋体" w:hAnsi="宋体" w:eastAsia="宋体"/>
          <w:color w:val="auto"/>
          <w:sz w:val="24"/>
          <w:szCs w:val="24"/>
        </w:rPr>
      </w:pPr>
    </w:p>
    <w:p>
      <w:pPr>
        <w:jc w:val="both"/>
        <w:rPr>
          <w:rFonts w:hint="default"/>
          <w:b/>
          <w:bCs/>
          <w:color w:val="auto"/>
          <w:sz w:val="28"/>
          <w:szCs w:val="28"/>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y" w:date="2024-05-23T19:19:00Z" w:initials="ly">
    <w:p w14:paraId="3D6C4AE1">
      <w:pPr>
        <w:pStyle w:val="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C4A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TgyY2JkM2I0Mjg0YjUxYTU5NDc3NWYyMjg5OTYifQ=="/>
  </w:docVars>
  <w:rsids>
    <w:rsidRoot w:val="593240A2"/>
    <w:rsid w:val="03D8775E"/>
    <w:rsid w:val="5932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eastAsia="宋体"/>
      <w:szCs w:val="24"/>
    </w:rPr>
  </w:style>
  <w:style w:type="character" w:styleId="5">
    <w:name w:val="annotation reference"/>
    <w:uiPriority w:val="0"/>
    <w:rPr>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2024-06-07T00:47:00Z</dcterms:created>
  <dc:creator>不会起名</dc:creator>
  <cp:lastModifiedBy>不会起名</cp:lastModifiedBy>
  <dcterms:modified xsi:type="dcterms:W3CDTF">2024-06-07T00:57:37Z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7EE12F15A323451C839DE3EFB2D9008C_11</vt:lpwstr>
  </property>
</Properties>
</file>