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宋体" w:hAnsi="宋体" w:eastAsia="宋体"/>
          <w:b/>
          <w:sz w:val="24"/>
          <w:szCs w:val="24"/>
          <w:highlight w:val="none"/>
        </w:rPr>
      </w:pPr>
      <w:r>
        <w:rPr>
          <w:rFonts w:hint="eastAsia" w:ascii="宋体" w:hAnsi="宋体" w:eastAsia="宋体"/>
          <w:b/>
          <w:sz w:val="24"/>
          <w:szCs w:val="24"/>
          <w:highlight w:val="none"/>
        </w:rPr>
        <w:t>一、项目名称</w:t>
      </w:r>
    </w:p>
    <w:p>
      <w:pPr>
        <w:adjustRightInd w:val="0"/>
        <w:snapToGrid w:val="0"/>
        <w:spacing w:line="360" w:lineRule="auto"/>
        <w:rPr>
          <w:rFonts w:ascii="宋体" w:hAnsi="宋体" w:eastAsia="宋体"/>
          <w:sz w:val="24"/>
          <w:szCs w:val="24"/>
          <w:highlight w:val="none"/>
        </w:rPr>
      </w:pPr>
      <w:r>
        <w:rPr>
          <w:rFonts w:hint="eastAsia" w:ascii="宋体" w:hAnsi="宋体" w:eastAsia="宋体"/>
          <w:sz w:val="24"/>
          <w:szCs w:val="24"/>
          <w:highlight w:val="none"/>
        </w:rPr>
        <w:t>上海交通大学医学院附属新华医院微创手术器械项目</w:t>
      </w:r>
    </w:p>
    <w:p>
      <w:pPr>
        <w:adjustRightInd w:val="0"/>
        <w:snapToGrid w:val="0"/>
        <w:spacing w:line="360" w:lineRule="auto"/>
        <w:rPr>
          <w:rFonts w:ascii="宋体" w:hAnsi="宋体" w:eastAsia="宋体"/>
          <w:b/>
          <w:sz w:val="24"/>
          <w:szCs w:val="24"/>
          <w:highlight w:val="none"/>
        </w:rPr>
      </w:pPr>
      <w:r>
        <w:rPr>
          <w:rFonts w:hint="eastAsia" w:ascii="宋体" w:hAnsi="宋体" w:eastAsia="宋体"/>
          <w:b/>
          <w:sz w:val="24"/>
          <w:szCs w:val="24"/>
          <w:highlight w:val="none"/>
        </w:rPr>
        <w:t>二、项目参数:</w:t>
      </w:r>
      <w:bookmarkStart w:id="1" w:name="_GoBack"/>
      <w:bookmarkEnd w:id="1"/>
    </w:p>
    <w:p>
      <w:pPr>
        <w:adjustRightInd w:val="0"/>
        <w:snapToGrid w:val="0"/>
        <w:spacing w:line="360" w:lineRule="auto"/>
        <w:rPr>
          <w:rFonts w:ascii="宋体" w:hAnsi="宋体" w:eastAsia="宋体"/>
          <w:b/>
          <w:sz w:val="24"/>
          <w:szCs w:val="24"/>
          <w:highlight w:val="none"/>
        </w:rPr>
      </w:pPr>
      <w:r>
        <w:rPr>
          <w:rFonts w:hint="eastAsia" w:ascii="宋体" w:hAnsi="宋体" w:eastAsia="宋体"/>
          <w:b/>
          <w:sz w:val="24"/>
          <w:szCs w:val="24"/>
          <w:highlight w:val="none"/>
        </w:rPr>
        <w:t>（一）名称</w:t>
      </w:r>
    </w:p>
    <w:tbl>
      <w:tblPr>
        <w:tblStyle w:val="6"/>
        <w:tblW w:w="53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4542"/>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35" w:type="pct"/>
            <w:shd w:val="clear" w:color="000000" w:fill="FFFFFF"/>
            <w:noWrap/>
            <w:vAlign w:val="center"/>
          </w:tcPr>
          <w:p>
            <w:pPr>
              <w:widowControl/>
              <w:adjustRightInd w:val="0"/>
              <w:snapToGrid w:val="0"/>
              <w:spacing w:line="360" w:lineRule="auto"/>
              <w:ind w:hanging="27"/>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2503" w:type="pct"/>
            <w:shd w:val="clear" w:color="000000" w:fill="FFFFFF"/>
            <w:noWrap/>
            <w:vAlign w:val="center"/>
          </w:tcPr>
          <w:p>
            <w:pPr>
              <w:widowControl/>
              <w:adjustRightInd w:val="0"/>
              <w:snapToGrid w:val="0"/>
              <w:spacing w:line="360" w:lineRule="auto"/>
              <w:ind w:hanging="27"/>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设备名称</w:t>
            </w:r>
          </w:p>
        </w:tc>
        <w:tc>
          <w:tcPr>
            <w:tcW w:w="1562" w:type="pct"/>
            <w:shd w:val="clear" w:color="000000" w:fill="FFFFFF"/>
            <w:noWrap/>
            <w:vAlign w:val="center"/>
          </w:tcPr>
          <w:p>
            <w:pPr>
              <w:widowControl/>
              <w:adjustRightInd w:val="0"/>
              <w:snapToGrid w:val="0"/>
              <w:spacing w:line="360" w:lineRule="auto"/>
              <w:ind w:hanging="27"/>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35" w:type="pct"/>
            <w:shd w:val="clear" w:color="000000" w:fill="FFFFFF"/>
            <w:noWrap/>
            <w:vAlign w:val="center"/>
          </w:tcPr>
          <w:p>
            <w:pPr>
              <w:widowControl/>
              <w:adjustRightInd w:val="0"/>
              <w:snapToGrid w:val="0"/>
              <w:spacing w:line="360" w:lineRule="auto"/>
              <w:ind w:hanging="31"/>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2503" w:type="pct"/>
            <w:shd w:val="clear" w:color="000000" w:fill="FFFFFF"/>
            <w:noWrap/>
            <w:vAlign w:val="center"/>
          </w:tcPr>
          <w:p>
            <w:pPr>
              <w:widowControl/>
              <w:adjustRightInd w:val="0"/>
              <w:snapToGrid w:val="0"/>
              <w:spacing w:line="360" w:lineRule="auto"/>
              <w:ind w:hanging="31"/>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微创手术器械</w:t>
            </w:r>
          </w:p>
        </w:tc>
        <w:tc>
          <w:tcPr>
            <w:tcW w:w="1562" w:type="pct"/>
            <w:shd w:val="clear" w:color="000000" w:fill="FFFFFF"/>
            <w:noWrap/>
            <w:vAlign w:val="center"/>
          </w:tcPr>
          <w:p>
            <w:pPr>
              <w:widowControl/>
              <w:adjustRightInd w:val="0"/>
              <w:snapToGrid w:val="0"/>
              <w:spacing w:line="360" w:lineRule="auto"/>
              <w:ind w:hanging="31"/>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1套</w:t>
            </w:r>
          </w:p>
        </w:tc>
      </w:tr>
    </w:tbl>
    <w:p>
      <w:pPr>
        <w:adjustRightInd w:val="0"/>
        <w:snapToGrid w:val="0"/>
        <w:spacing w:line="360" w:lineRule="auto"/>
        <w:rPr>
          <w:rFonts w:ascii="宋体" w:hAnsi="宋体" w:eastAsia="宋体"/>
          <w:b/>
          <w:sz w:val="24"/>
          <w:szCs w:val="24"/>
          <w:highlight w:val="none"/>
        </w:rPr>
      </w:pPr>
      <w:r>
        <w:rPr>
          <w:rFonts w:hint="eastAsia" w:ascii="宋体" w:hAnsi="宋体" w:eastAsia="宋体"/>
          <w:b/>
          <w:sz w:val="24"/>
          <w:szCs w:val="24"/>
          <w:highlight w:val="none"/>
        </w:rPr>
        <w:t>（二）最高限价</w:t>
      </w:r>
    </w:p>
    <w:p>
      <w:pPr>
        <w:adjustRightInd w:val="0"/>
        <w:snapToGrid w:val="0"/>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人民币</w:t>
      </w:r>
      <w:r>
        <w:rPr>
          <w:rFonts w:hint="eastAsia" w:ascii="宋体" w:hAnsi="宋体" w:eastAsia="宋体"/>
          <w:sz w:val="24"/>
          <w:szCs w:val="24"/>
          <w:highlight w:val="none"/>
          <w:lang w:val="en-US" w:eastAsia="zh-CN"/>
        </w:rPr>
        <w:t>45</w:t>
      </w:r>
      <w:r>
        <w:rPr>
          <w:rFonts w:ascii="宋体" w:hAnsi="宋体" w:eastAsia="宋体"/>
          <w:sz w:val="24"/>
          <w:szCs w:val="24"/>
          <w:highlight w:val="none"/>
        </w:rPr>
        <w:t>万元</w:t>
      </w:r>
    </w:p>
    <w:p>
      <w:pPr>
        <w:adjustRightInd w:val="0"/>
        <w:snapToGrid w:val="0"/>
        <w:spacing w:line="360" w:lineRule="auto"/>
        <w:rPr>
          <w:rFonts w:ascii="宋体" w:hAnsi="宋体" w:eastAsia="宋体"/>
          <w:b/>
          <w:sz w:val="24"/>
          <w:szCs w:val="24"/>
          <w:highlight w:val="none"/>
        </w:rPr>
      </w:pPr>
      <w:r>
        <w:rPr>
          <w:rFonts w:hint="eastAsia" w:ascii="宋体" w:hAnsi="宋体" w:eastAsia="宋体"/>
          <w:b/>
          <w:sz w:val="24"/>
          <w:szCs w:val="24"/>
          <w:highlight w:val="none"/>
        </w:rPr>
        <w:t>（三）资格条件</w:t>
      </w:r>
    </w:p>
    <w:p>
      <w:pPr>
        <w:adjustRightInd w:val="0"/>
        <w:snapToGrid w:val="0"/>
        <w:spacing w:line="360" w:lineRule="auto"/>
        <w:ind w:firstLine="480" w:firstLineChars="200"/>
        <w:rPr>
          <w:rFonts w:ascii="宋体" w:hAnsi="宋体" w:eastAsia="宋体"/>
          <w:sz w:val="24"/>
          <w:szCs w:val="24"/>
          <w:highlight w:val="none"/>
        </w:rPr>
      </w:pPr>
      <w:bookmarkStart w:id="0" w:name="_Hlk70410439"/>
      <w:r>
        <w:rPr>
          <w:rFonts w:hint="eastAsia" w:ascii="宋体" w:hAnsi="宋体" w:eastAsia="宋体"/>
          <w:sz w:val="24"/>
          <w:szCs w:val="24"/>
          <w:highlight w:val="none"/>
        </w:rPr>
        <w:t>（1）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pPr>
        <w:adjustRightInd w:val="0"/>
        <w:snapToGrid w:val="0"/>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（2）在参加采购活动前三年内，在经营活动中没有重大违法记录；</w:t>
      </w:r>
    </w:p>
    <w:p>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w:t>
      </w:r>
      <w:r>
        <w:rPr>
          <w:rFonts w:ascii="宋体" w:hAnsi="宋体" w:eastAsia="宋体" w:cs="宋体"/>
          <w:sz w:val="24"/>
          <w:szCs w:val="24"/>
          <w:highlight w:val="none"/>
        </w:rPr>
        <w:t>3</w:t>
      </w:r>
      <w:r>
        <w:rPr>
          <w:rFonts w:hint="eastAsia" w:ascii="宋体" w:hAnsi="宋体" w:eastAsia="宋体" w:cs="宋体"/>
          <w:sz w:val="24"/>
          <w:szCs w:val="24"/>
          <w:highlight w:val="none"/>
        </w:rPr>
        <w:t>）未被列入“信用中国”网站(www.creditchina.gov.cn)失信被执行人名单、重大税收违法案件当事人名单的供应商；</w:t>
      </w:r>
    </w:p>
    <w:p>
      <w:pPr>
        <w:adjustRightInd w:val="0"/>
        <w:snapToGrid w:val="0"/>
        <w:spacing w:line="360" w:lineRule="auto"/>
        <w:ind w:firstLine="480" w:firstLineChars="200"/>
        <w:rPr>
          <w:rFonts w:ascii="宋体" w:hAnsi="宋体" w:eastAsia="宋体"/>
          <w:sz w:val="24"/>
          <w:szCs w:val="24"/>
          <w:highlight w:val="none"/>
        </w:rPr>
      </w:pPr>
      <w:r>
        <w:rPr>
          <w:rFonts w:hint="eastAsia" w:ascii="宋体" w:hAnsi="宋体" w:eastAsia="宋体" w:cs="宋体"/>
          <w:sz w:val="24"/>
          <w:szCs w:val="24"/>
          <w:highlight w:val="none"/>
        </w:rPr>
        <w:t>（4）</w:t>
      </w:r>
      <w:r>
        <w:rPr>
          <w:rFonts w:hint="eastAsia" w:ascii="宋体" w:hAnsi="宋体" w:eastAsia="宋体"/>
          <w:sz w:val="24"/>
          <w:szCs w:val="24"/>
          <w:highlight w:val="none"/>
        </w:rPr>
        <w:t>如供应商拟响应货物为医疗器械的，应提供响应货物的《中华人民共和国医疗器械注册证》或《第一类医疗器械备案凭证》；供应商应按照国家有关规定提供《医疗器械经营许可证》或《第二类医疗器械经营备案凭证》，供应商的经营范围应当与相关许可或备案内容保持一致。（仅适用于医疗器械）。</w:t>
      </w:r>
    </w:p>
    <w:p>
      <w:pPr>
        <w:adjustRightInd w:val="0"/>
        <w:snapToGrid w:val="0"/>
        <w:spacing w:line="360" w:lineRule="auto"/>
        <w:ind w:firstLine="480" w:firstLineChars="200"/>
        <w:rPr>
          <w:rFonts w:ascii="宋体" w:hAnsi="宋体" w:eastAsia="宋体"/>
          <w:sz w:val="24"/>
          <w:szCs w:val="24"/>
          <w:highlight w:val="none"/>
        </w:rPr>
      </w:pPr>
      <w:r>
        <w:rPr>
          <w:rFonts w:hint="eastAsia" w:ascii="宋体" w:hAnsi="宋体" w:eastAsia="宋体" w:cs="宋体"/>
          <w:sz w:val="24"/>
          <w:szCs w:val="24"/>
          <w:highlight w:val="none"/>
        </w:rPr>
        <w:t>（5）</w:t>
      </w:r>
      <w:r>
        <w:rPr>
          <w:rFonts w:hint="eastAsia" w:ascii="宋体" w:hAnsi="宋体" w:eastAsia="宋体"/>
          <w:sz w:val="24"/>
          <w:szCs w:val="24"/>
          <w:highlight w:val="none"/>
        </w:rPr>
        <w:t>供应商为代理商的，应提供有效的生产厂家授权书或合法获得该产品的其他证明。</w:t>
      </w:r>
    </w:p>
    <w:p>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sz w:val="24"/>
          <w:szCs w:val="24"/>
          <w:highlight w:val="none"/>
        </w:rPr>
        <w:t>（6）</w:t>
      </w:r>
      <w:r>
        <w:rPr>
          <w:rFonts w:hint="eastAsia" w:ascii="宋体" w:hAnsi="宋体" w:eastAsia="宋体" w:cs="宋体"/>
          <w:sz w:val="24"/>
          <w:szCs w:val="24"/>
          <w:highlight w:val="none"/>
        </w:rPr>
        <w:t>本项目不接受联合体响应。</w:t>
      </w:r>
    </w:p>
    <w:bookmarkEnd w:id="0"/>
    <w:p>
      <w:pPr>
        <w:adjustRightInd w:val="0"/>
        <w:snapToGrid w:val="0"/>
        <w:spacing w:line="360" w:lineRule="auto"/>
        <w:rPr>
          <w:rFonts w:ascii="宋体" w:hAnsi="宋体" w:eastAsia="宋体"/>
          <w:b/>
          <w:sz w:val="24"/>
          <w:szCs w:val="24"/>
          <w:highlight w:val="none"/>
        </w:rPr>
      </w:pPr>
      <w:r>
        <w:rPr>
          <w:rFonts w:hint="eastAsia" w:ascii="宋体" w:hAnsi="宋体" w:eastAsia="宋体"/>
          <w:b/>
          <w:sz w:val="24"/>
          <w:szCs w:val="24"/>
          <w:highlight w:val="none"/>
        </w:rPr>
        <w:t>（四）功能及技术参数：</w:t>
      </w:r>
    </w:p>
    <w:p>
      <w:pPr>
        <w:adjustRightInd w:val="0"/>
        <w:snapToGrid w:val="0"/>
        <w:spacing w:line="360" w:lineRule="auto"/>
        <w:ind w:firstLine="482" w:firstLineChars="200"/>
        <w:rPr>
          <w:rFonts w:ascii="宋体" w:hAnsi="宋体" w:eastAsia="宋体"/>
          <w:b/>
          <w:sz w:val="24"/>
          <w:szCs w:val="24"/>
          <w:highlight w:val="none"/>
        </w:rPr>
      </w:pPr>
      <w:r>
        <w:rPr>
          <w:rFonts w:hint="eastAsia" w:ascii="宋体" w:hAnsi="宋体" w:eastAsia="宋体"/>
          <w:b/>
          <w:sz w:val="24"/>
          <w:szCs w:val="24"/>
          <w:highlight w:val="none"/>
        </w:rPr>
        <w:t>一、主要功能及工作原理</w:t>
      </w:r>
    </w:p>
    <w:p>
      <w:pPr>
        <w:adjustRightInd w:val="0"/>
        <w:snapToGrid w:val="0"/>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用于微创换瓣手术，用于对瓣膜的修、剪、缝合和对主动脉的阻断等。</w:t>
      </w:r>
    </w:p>
    <w:p>
      <w:pPr>
        <w:adjustRightInd w:val="0"/>
        <w:snapToGrid w:val="0"/>
        <w:spacing w:line="360" w:lineRule="auto"/>
        <w:ind w:firstLine="482" w:firstLineChars="200"/>
        <w:rPr>
          <w:rFonts w:ascii="宋体" w:hAnsi="宋体" w:eastAsia="宋体"/>
          <w:b/>
          <w:sz w:val="24"/>
          <w:szCs w:val="24"/>
          <w:highlight w:val="none"/>
        </w:rPr>
      </w:pPr>
      <w:r>
        <w:rPr>
          <w:rFonts w:hint="eastAsia" w:ascii="宋体" w:hAnsi="宋体" w:eastAsia="宋体"/>
          <w:b/>
          <w:sz w:val="24"/>
          <w:szCs w:val="24"/>
          <w:highlight w:val="none"/>
        </w:rPr>
        <w:t>二、应用场景</w:t>
      </w:r>
    </w:p>
    <w:p>
      <w:pPr>
        <w:adjustRightInd w:val="0"/>
        <w:snapToGrid w:val="0"/>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微创手术的开展</w:t>
      </w:r>
    </w:p>
    <w:p>
      <w:pPr>
        <w:adjustRightInd w:val="0"/>
        <w:snapToGrid w:val="0"/>
        <w:spacing w:line="360" w:lineRule="auto"/>
        <w:ind w:firstLine="482" w:firstLineChars="200"/>
        <w:rPr>
          <w:rFonts w:ascii="宋体" w:hAnsi="宋体" w:eastAsia="宋体"/>
          <w:b/>
          <w:sz w:val="24"/>
          <w:szCs w:val="24"/>
          <w:highlight w:val="none"/>
        </w:rPr>
      </w:pPr>
      <w:r>
        <w:rPr>
          <w:rFonts w:hint="eastAsia" w:ascii="宋体" w:hAnsi="宋体" w:eastAsia="宋体"/>
          <w:b/>
          <w:sz w:val="24"/>
          <w:szCs w:val="24"/>
          <w:highlight w:val="none"/>
        </w:rPr>
        <w:t>三、</w:t>
      </w:r>
      <w:r>
        <w:rPr>
          <w:rFonts w:hint="eastAsia" w:ascii="宋体" w:hAnsi="宋体" w:eastAsia="宋体" w:cs="宋体"/>
          <w:b/>
          <w:sz w:val="24"/>
          <w:szCs w:val="24"/>
          <w:highlight w:val="none"/>
        </w:rPr>
        <w:t>技术参数</w:t>
      </w:r>
    </w:p>
    <w:p>
      <w:pPr>
        <w:pStyle w:val="12"/>
        <w:numPr>
          <w:ilvl w:val="0"/>
          <w:numId w:val="1"/>
        </w:numPr>
        <w:adjustRightInd w:val="0"/>
        <w:snapToGrid w:val="0"/>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笔式持针器1：</w:t>
      </w:r>
      <w:r>
        <w:rPr>
          <w:rFonts w:ascii="宋体" w:hAnsi="宋体" w:eastAsia="宋体" w:cs="宋体"/>
          <w:sz w:val="24"/>
          <w:szCs w:val="24"/>
          <w:highlight w:val="none"/>
        </w:rPr>
        <w:t>圆柄，钻石粉末钳口，长≥21厘米，夹持7-0针</w:t>
      </w:r>
    </w:p>
    <w:p>
      <w:pPr>
        <w:pStyle w:val="12"/>
        <w:numPr>
          <w:ilvl w:val="0"/>
          <w:numId w:val="1"/>
        </w:numPr>
        <w:adjustRightInd w:val="0"/>
        <w:snapToGrid w:val="0"/>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笔式持针器2：</w:t>
      </w:r>
      <w:r>
        <w:rPr>
          <w:rFonts w:ascii="宋体" w:hAnsi="宋体" w:eastAsia="宋体" w:cs="宋体"/>
          <w:sz w:val="24"/>
          <w:szCs w:val="24"/>
          <w:highlight w:val="none"/>
        </w:rPr>
        <w:t>圆柄，钻石粉末钳口，长≥21厘米，夹持6-0针</w:t>
      </w:r>
    </w:p>
    <w:p>
      <w:pPr>
        <w:pStyle w:val="12"/>
        <w:numPr>
          <w:ilvl w:val="0"/>
          <w:numId w:val="1"/>
        </w:numPr>
        <w:adjustRightInd w:val="0"/>
        <w:snapToGrid w:val="0"/>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超锋利血管剪刀；</w:t>
      </w:r>
      <w:r>
        <w:rPr>
          <w:rFonts w:ascii="宋体" w:hAnsi="宋体" w:eastAsia="宋体" w:cs="宋体"/>
          <w:sz w:val="24"/>
          <w:szCs w:val="24"/>
          <w:highlight w:val="none"/>
        </w:rPr>
        <w:t>黑柄，精细钝头，超锋利锯齿刃口，弯头，长≥20厘米</w:t>
      </w:r>
    </w:p>
    <w:p>
      <w:pPr>
        <w:pStyle w:val="12"/>
        <w:numPr>
          <w:ilvl w:val="0"/>
          <w:numId w:val="1"/>
        </w:numPr>
        <w:adjustRightInd w:val="0"/>
        <w:snapToGrid w:val="0"/>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冠脉剪刀1：</w:t>
      </w:r>
      <w:r>
        <w:rPr>
          <w:rFonts w:ascii="宋体" w:hAnsi="宋体" w:eastAsia="宋体" w:cs="宋体"/>
          <w:sz w:val="24"/>
          <w:szCs w:val="24"/>
          <w:highlight w:val="none"/>
        </w:rPr>
        <w:t>笔式，刃口长10毫米，弯头25度角，长≥21厘米</w:t>
      </w:r>
    </w:p>
    <w:p>
      <w:pPr>
        <w:pStyle w:val="12"/>
        <w:numPr>
          <w:ilvl w:val="0"/>
          <w:numId w:val="1"/>
        </w:numPr>
        <w:adjustRightInd w:val="0"/>
        <w:snapToGrid w:val="0"/>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冠脉剪刀2：</w:t>
      </w:r>
      <w:r>
        <w:rPr>
          <w:rFonts w:ascii="宋体" w:hAnsi="宋体" w:eastAsia="宋体" w:cs="宋体"/>
          <w:sz w:val="24"/>
          <w:szCs w:val="24"/>
          <w:highlight w:val="none"/>
        </w:rPr>
        <w:t>笔式，流线型，刃口长10毫米，弯头125度角，长≥21厘米</w:t>
      </w:r>
    </w:p>
    <w:p>
      <w:pPr>
        <w:pStyle w:val="12"/>
        <w:numPr>
          <w:ilvl w:val="0"/>
          <w:numId w:val="1"/>
        </w:numPr>
        <w:adjustRightInd w:val="0"/>
        <w:snapToGrid w:val="0"/>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无损伤双排齿镊1；</w:t>
      </w:r>
      <w:r>
        <w:rPr>
          <w:rFonts w:ascii="宋体" w:hAnsi="宋体" w:eastAsia="宋体" w:cs="宋体"/>
          <w:sz w:val="24"/>
          <w:szCs w:val="24"/>
          <w:highlight w:val="none"/>
        </w:rPr>
        <w:t>无损伤双排齿，齿宽2.0毫米，工作长≥18厘米，总长≥34厘米</w:t>
      </w:r>
    </w:p>
    <w:p>
      <w:pPr>
        <w:pStyle w:val="12"/>
        <w:numPr>
          <w:ilvl w:val="0"/>
          <w:numId w:val="1"/>
        </w:numPr>
        <w:adjustRightInd w:val="0"/>
        <w:snapToGrid w:val="0"/>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无损伤双排齿镊2；</w:t>
      </w:r>
      <w:r>
        <w:rPr>
          <w:rFonts w:ascii="宋体" w:hAnsi="宋体" w:eastAsia="宋体" w:cs="宋体"/>
          <w:sz w:val="24"/>
          <w:szCs w:val="24"/>
          <w:highlight w:val="none"/>
        </w:rPr>
        <w:t>无损伤双排齿，齿宽2.7毫米，总长≥19.5厘米</w:t>
      </w:r>
    </w:p>
    <w:p>
      <w:pPr>
        <w:pStyle w:val="12"/>
        <w:numPr>
          <w:ilvl w:val="0"/>
          <w:numId w:val="1"/>
        </w:numPr>
        <w:adjustRightInd w:val="0"/>
        <w:snapToGrid w:val="0"/>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精细平台镊；</w:t>
      </w:r>
      <w:r>
        <w:rPr>
          <w:rFonts w:ascii="宋体" w:hAnsi="宋体" w:eastAsia="宋体" w:cs="宋体"/>
          <w:sz w:val="24"/>
          <w:szCs w:val="24"/>
          <w:highlight w:val="none"/>
        </w:rPr>
        <w:t>圆柄，钻石粉末镊口，0.8毫米平台，直头，总长≥21厘米</w:t>
      </w:r>
    </w:p>
    <w:p>
      <w:pPr>
        <w:pStyle w:val="12"/>
        <w:numPr>
          <w:ilvl w:val="0"/>
          <w:numId w:val="1"/>
        </w:numPr>
        <w:adjustRightInd w:val="0"/>
        <w:snapToGrid w:val="0"/>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▲微创专用</w:t>
      </w:r>
      <w:r>
        <w:rPr>
          <w:rFonts w:ascii="宋体" w:hAnsi="宋体" w:eastAsia="宋体" w:cs="宋体"/>
          <w:sz w:val="24"/>
          <w:szCs w:val="24"/>
          <w:highlight w:val="none"/>
        </w:rPr>
        <w:t>-剪刀</w:t>
      </w:r>
      <w:r>
        <w:rPr>
          <w:rFonts w:hint="eastAsia" w:ascii="宋体" w:hAnsi="宋体" w:eastAsia="宋体" w:cs="宋体"/>
          <w:sz w:val="24"/>
          <w:szCs w:val="24"/>
          <w:highlight w:val="none"/>
        </w:rPr>
        <w:t>；</w:t>
      </w:r>
      <w:r>
        <w:rPr>
          <w:rFonts w:ascii="宋体" w:hAnsi="宋体" w:eastAsia="宋体" w:cs="宋体"/>
          <w:sz w:val="24"/>
          <w:szCs w:val="24"/>
          <w:highlight w:val="none"/>
        </w:rPr>
        <w:t>可调节手柄，精钢刃口，总长≥37厘米</w:t>
      </w:r>
    </w:p>
    <w:p>
      <w:pPr>
        <w:pStyle w:val="12"/>
        <w:numPr>
          <w:ilvl w:val="0"/>
          <w:numId w:val="1"/>
        </w:numPr>
        <w:adjustRightInd w:val="0"/>
        <w:snapToGrid w:val="0"/>
        <w:spacing w:line="360" w:lineRule="auto"/>
        <w:ind w:firstLineChars="0"/>
        <w:rPr>
          <w:rFonts w:ascii="宋体" w:hAnsi="宋体" w:eastAsia="宋体" w:cs="宋体"/>
          <w:sz w:val="24"/>
          <w:szCs w:val="24"/>
          <w:highlight w:val="none"/>
        </w:rPr>
      </w:pPr>
      <w:r>
        <w:rPr>
          <w:highlight w:val="none"/>
        </w:rPr>
        <w:t>▲</w:t>
      </w:r>
      <w:r>
        <w:rPr>
          <w:rFonts w:hint="eastAsia" w:ascii="宋体" w:hAnsi="宋体" w:eastAsia="宋体" w:cs="宋体"/>
          <w:sz w:val="24"/>
          <w:szCs w:val="24"/>
          <w:highlight w:val="none"/>
        </w:rPr>
        <w:t>微创专用</w:t>
      </w:r>
      <w:r>
        <w:rPr>
          <w:rFonts w:ascii="宋体" w:hAnsi="宋体" w:eastAsia="宋体" w:cs="宋体"/>
          <w:sz w:val="24"/>
          <w:szCs w:val="24"/>
          <w:highlight w:val="none"/>
        </w:rPr>
        <w:t>-主动脉侧壁钳</w:t>
      </w:r>
      <w:r>
        <w:rPr>
          <w:rFonts w:hint="eastAsia" w:ascii="宋体" w:hAnsi="宋体" w:eastAsia="宋体" w:cs="宋体"/>
          <w:sz w:val="24"/>
          <w:szCs w:val="24"/>
          <w:highlight w:val="none"/>
        </w:rPr>
        <w:t>；</w:t>
      </w:r>
      <w:r>
        <w:rPr>
          <w:rFonts w:ascii="宋体" w:hAnsi="宋体" w:eastAsia="宋体" w:cs="宋体"/>
          <w:sz w:val="24"/>
          <w:szCs w:val="24"/>
          <w:highlight w:val="none"/>
        </w:rPr>
        <w:t>双棘轮设计，带软链，无损伤双排齿，总长≥34厘米</w:t>
      </w:r>
      <w:r>
        <w:rPr>
          <w:rFonts w:hint="eastAsia"/>
          <w:highlight w:val="none"/>
        </w:rPr>
        <w:t>。</w:t>
      </w:r>
    </w:p>
    <w:p>
      <w:pPr>
        <w:pStyle w:val="12"/>
        <w:numPr>
          <w:ilvl w:val="0"/>
          <w:numId w:val="1"/>
        </w:numPr>
        <w:adjustRightInd w:val="0"/>
        <w:snapToGrid w:val="0"/>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w:t>
      </w:r>
      <w:r>
        <w:rPr>
          <w:rFonts w:ascii="宋体" w:hAnsi="宋体" w:eastAsia="宋体" w:cs="宋体"/>
          <w:sz w:val="24"/>
          <w:szCs w:val="24"/>
          <w:highlight w:val="none"/>
        </w:rPr>
        <w:t>投标</w:t>
      </w:r>
      <w:r>
        <w:rPr>
          <w:rFonts w:hint="eastAsia" w:ascii="宋体" w:hAnsi="宋体" w:eastAsia="宋体" w:cs="宋体"/>
          <w:sz w:val="24"/>
          <w:szCs w:val="24"/>
          <w:highlight w:val="none"/>
        </w:rPr>
        <w:t>人所提供</w:t>
      </w:r>
      <w:r>
        <w:rPr>
          <w:rFonts w:ascii="宋体" w:hAnsi="宋体" w:eastAsia="宋体" w:cs="宋体"/>
          <w:sz w:val="24"/>
          <w:szCs w:val="24"/>
          <w:highlight w:val="none"/>
        </w:rPr>
        <w:t>器械为同一品牌</w:t>
      </w:r>
      <w:r>
        <w:rPr>
          <w:rFonts w:hint="eastAsia" w:ascii="宋体" w:hAnsi="宋体" w:eastAsia="宋体" w:cs="宋体"/>
          <w:sz w:val="24"/>
          <w:szCs w:val="24"/>
          <w:highlight w:val="none"/>
        </w:rPr>
        <w:t>。</w:t>
      </w:r>
    </w:p>
    <w:p>
      <w:pPr>
        <w:pStyle w:val="12"/>
        <w:numPr>
          <w:ilvl w:val="0"/>
          <w:numId w:val="1"/>
        </w:numPr>
        <w:adjustRightInd w:val="0"/>
        <w:snapToGrid w:val="0"/>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上述器械均需具备高稳定性，无错齿</w:t>
      </w:r>
      <w:r>
        <w:rPr>
          <w:rStyle w:val="8"/>
          <w:rFonts w:hint="eastAsia"/>
          <w:highlight w:val="none"/>
        </w:rPr>
        <w:t>，</w:t>
      </w:r>
      <w:r>
        <w:rPr>
          <w:rFonts w:hint="eastAsia" w:ascii="宋体" w:hAnsi="宋体" w:eastAsia="宋体" w:cs="宋体"/>
          <w:sz w:val="24"/>
          <w:szCs w:val="24"/>
          <w:highlight w:val="none"/>
        </w:rPr>
        <w:t>尺寸误差≤</w:t>
      </w:r>
      <w:r>
        <w:rPr>
          <w:rFonts w:ascii="宋体" w:hAnsi="宋体" w:eastAsia="宋体" w:cs="宋体"/>
          <w:sz w:val="24"/>
          <w:szCs w:val="24"/>
          <w:highlight w:val="none"/>
        </w:rPr>
        <w:t>3%</w:t>
      </w:r>
      <w:r>
        <w:rPr>
          <w:rFonts w:hint="eastAsia" w:ascii="宋体" w:hAnsi="宋体" w:eastAsia="宋体" w:cs="宋体"/>
          <w:sz w:val="24"/>
          <w:szCs w:val="24"/>
          <w:highlight w:val="none"/>
        </w:rPr>
        <w:t>。</w:t>
      </w:r>
    </w:p>
    <w:p>
      <w:pPr>
        <w:pStyle w:val="12"/>
        <w:numPr>
          <w:ilvl w:val="255"/>
          <w:numId w:val="0"/>
        </w:numPr>
        <w:adjustRightInd w:val="0"/>
        <w:snapToGrid w:val="0"/>
        <w:spacing w:line="360" w:lineRule="auto"/>
        <w:ind w:left="0" w:firstLine="480" w:firstLineChars="200"/>
        <w:rPr>
          <w:rFonts w:ascii="宋体" w:hAnsi="宋体" w:eastAsia="宋体" w:cs="宋体"/>
          <w:sz w:val="24"/>
          <w:szCs w:val="24"/>
          <w:highlight w:val="none"/>
        </w:rPr>
      </w:pPr>
    </w:p>
    <w:p>
      <w:pPr>
        <w:adjustRightInd w:val="0"/>
        <w:snapToGri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四、配置清单</w:t>
      </w:r>
    </w:p>
    <w:tbl>
      <w:tblPr>
        <w:tblStyle w:val="6"/>
        <w:tblW w:w="7402" w:type="dxa"/>
        <w:tblInd w:w="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2996"/>
        <w:gridCol w:w="1477"/>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11"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序号</w:t>
            </w:r>
          </w:p>
        </w:tc>
        <w:tc>
          <w:tcPr>
            <w:tcW w:w="2996"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名称</w:t>
            </w:r>
          </w:p>
        </w:tc>
        <w:tc>
          <w:tcPr>
            <w:tcW w:w="1477"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数量</w:t>
            </w:r>
          </w:p>
        </w:tc>
        <w:tc>
          <w:tcPr>
            <w:tcW w:w="1518"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11"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2996" w:type="dxa"/>
            <w:shd w:val="clear" w:color="auto" w:fill="auto"/>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笔式持针器1</w:t>
            </w:r>
          </w:p>
        </w:tc>
        <w:tc>
          <w:tcPr>
            <w:tcW w:w="1477"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2</w:t>
            </w:r>
          </w:p>
        </w:tc>
        <w:tc>
          <w:tcPr>
            <w:tcW w:w="1518"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11"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2</w:t>
            </w:r>
          </w:p>
        </w:tc>
        <w:tc>
          <w:tcPr>
            <w:tcW w:w="2996" w:type="dxa"/>
            <w:shd w:val="clear" w:color="auto" w:fill="auto"/>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笔式持针器2</w:t>
            </w:r>
          </w:p>
        </w:tc>
        <w:tc>
          <w:tcPr>
            <w:tcW w:w="1477"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2</w:t>
            </w:r>
          </w:p>
        </w:tc>
        <w:tc>
          <w:tcPr>
            <w:tcW w:w="1518"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11"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3</w:t>
            </w:r>
          </w:p>
        </w:tc>
        <w:tc>
          <w:tcPr>
            <w:tcW w:w="2996" w:type="dxa"/>
            <w:shd w:val="clear" w:color="auto" w:fill="auto"/>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超锋利血管剪刀</w:t>
            </w:r>
          </w:p>
        </w:tc>
        <w:tc>
          <w:tcPr>
            <w:tcW w:w="1477"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2</w:t>
            </w:r>
          </w:p>
        </w:tc>
        <w:tc>
          <w:tcPr>
            <w:tcW w:w="1518"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11"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4</w:t>
            </w:r>
          </w:p>
        </w:tc>
        <w:tc>
          <w:tcPr>
            <w:tcW w:w="2996" w:type="dxa"/>
            <w:shd w:val="clear" w:color="auto" w:fill="auto"/>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冠脉剪刀1</w:t>
            </w:r>
          </w:p>
        </w:tc>
        <w:tc>
          <w:tcPr>
            <w:tcW w:w="1477"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2</w:t>
            </w:r>
          </w:p>
        </w:tc>
        <w:tc>
          <w:tcPr>
            <w:tcW w:w="1518"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11"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5</w:t>
            </w:r>
          </w:p>
        </w:tc>
        <w:tc>
          <w:tcPr>
            <w:tcW w:w="2996" w:type="dxa"/>
            <w:shd w:val="clear" w:color="auto" w:fill="auto"/>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冠脉剪刀2</w:t>
            </w:r>
          </w:p>
        </w:tc>
        <w:tc>
          <w:tcPr>
            <w:tcW w:w="1477"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2</w:t>
            </w:r>
          </w:p>
        </w:tc>
        <w:tc>
          <w:tcPr>
            <w:tcW w:w="1518"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11"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6</w:t>
            </w:r>
          </w:p>
        </w:tc>
        <w:tc>
          <w:tcPr>
            <w:tcW w:w="2996" w:type="dxa"/>
            <w:shd w:val="clear" w:color="auto" w:fill="auto"/>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无损伤双排齿镊1</w:t>
            </w:r>
          </w:p>
        </w:tc>
        <w:tc>
          <w:tcPr>
            <w:tcW w:w="1477"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6</w:t>
            </w:r>
          </w:p>
        </w:tc>
        <w:tc>
          <w:tcPr>
            <w:tcW w:w="1518"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11"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7</w:t>
            </w:r>
          </w:p>
        </w:tc>
        <w:tc>
          <w:tcPr>
            <w:tcW w:w="2996" w:type="dxa"/>
            <w:shd w:val="clear" w:color="auto" w:fill="auto"/>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无损伤双排齿镊2</w:t>
            </w:r>
          </w:p>
        </w:tc>
        <w:tc>
          <w:tcPr>
            <w:tcW w:w="1477"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2</w:t>
            </w:r>
          </w:p>
        </w:tc>
        <w:tc>
          <w:tcPr>
            <w:tcW w:w="1518"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11"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8</w:t>
            </w:r>
          </w:p>
        </w:tc>
        <w:tc>
          <w:tcPr>
            <w:tcW w:w="2996" w:type="dxa"/>
            <w:shd w:val="clear" w:color="auto" w:fill="auto"/>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精细平台镊</w:t>
            </w:r>
          </w:p>
        </w:tc>
        <w:tc>
          <w:tcPr>
            <w:tcW w:w="1477"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4</w:t>
            </w:r>
          </w:p>
        </w:tc>
        <w:tc>
          <w:tcPr>
            <w:tcW w:w="1518"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11"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9</w:t>
            </w:r>
          </w:p>
        </w:tc>
        <w:tc>
          <w:tcPr>
            <w:tcW w:w="2996" w:type="dxa"/>
            <w:shd w:val="clear" w:color="auto" w:fill="auto"/>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微创专用</w:t>
            </w:r>
            <w:r>
              <w:rPr>
                <w:rFonts w:ascii="宋体" w:hAnsi="宋体" w:eastAsia="宋体" w:cs="宋体"/>
                <w:sz w:val="24"/>
                <w:szCs w:val="24"/>
                <w:highlight w:val="none"/>
              </w:rPr>
              <w:t>-剪刀</w:t>
            </w:r>
          </w:p>
        </w:tc>
        <w:tc>
          <w:tcPr>
            <w:tcW w:w="1477"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2</w:t>
            </w:r>
          </w:p>
        </w:tc>
        <w:tc>
          <w:tcPr>
            <w:tcW w:w="1518"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11"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10</w:t>
            </w:r>
          </w:p>
        </w:tc>
        <w:tc>
          <w:tcPr>
            <w:tcW w:w="2996" w:type="dxa"/>
            <w:shd w:val="clear" w:color="auto" w:fill="auto"/>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微创专用</w:t>
            </w:r>
            <w:r>
              <w:rPr>
                <w:rFonts w:ascii="宋体" w:hAnsi="宋体" w:eastAsia="宋体" w:cs="宋体"/>
                <w:sz w:val="24"/>
                <w:szCs w:val="24"/>
                <w:highlight w:val="none"/>
              </w:rPr>
              <w:t>-主动脉侧壁钳</w:t>
            </w:r>
          </w:p>
        </w:tc>
        <w:tc>
          <w:tcPr>
            <w:tcW w:w="1477"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2</w:t>
            </w:r>
          </w:p>
        </w:tc>
        <w:tc>
          <w:tcPr>
            <w:tcW w:w="1518"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把</w:t>
            </w:r>
          </w:p>
        </w:tc>
      </w:tr>
    </w:tbl>
    <w:p>
      <w:pPr>
        <w:adjustRightInd w:val="0"/>
        <w:snapToGrid w:val="0"/>
        <w:spacing w:line="360" w:lineRule="auto"/>
        <w:rPr>
          <w:rFonts w:ascii="宋体" w:hAnsi="宋体" w:eastAsia="宋体"/>
          <w:b/>
          <w:sz w:val="24"/>
          <w:szCs w:val="24"/>
          <w:highlight w:val="none"/>
        </w:rPr>
      </w:pPr>
      <w:r>
        <w:rPr>
          <w:rFonts w:hint="eastAsia" w:ascii="宋体" w:hAnsi="宋体" w:eastAsia="宋体"/>
          <w:b/>
          <w:sz w:val="24"/>
          <w:szCs w:val="24"/>
          <w:highlight w:val="none"/>
        </w:rPr>
        <w:t>（五）商务要求</w:t>
      </w:r>
    </w:p>
    <w:p>
      <w:pPr>
        <w:adjustRightInd w:val="0"/>
        <w:snapToGrid w:val="0"/>
        <w:spacing w:line="360" w:lineRule="auto"/>
        <w:ind w:firstLine="482" w:firstLineChars="200"/>
        <w:rPr>
          <w:rFonts w:ascii="宋体" w:hAnsi="宋体" w:eastAsia="宋体"/>
          <w:b/>
          <w:sz w:val="24"/>
          <w:szCs w:val="24"/>
          <w:highlight w:val="none"/>
        </w:rPr>
      </w:pPr>
      <w:r>
        <w:rPr>
          <w:rFonts w:hint="eastAsia" w:ascii="宋体" w:hAnsi="宋体" w:eastAsia="宋体"/>
          <w:b/>
          <w:sz w:val="24"/>
          <w:szCs w:val="24"/>
          <w:highlight w:val="none"/>
        </w:rPr>
        <w:t>一、技术服务要求</w:t>
      </w:r>
    </w:p>
    <w:p>
      <w:pPr>
        <w:adjustRightInd w:val="0"/>
        <w:snapToGrid w:val="0"/>
        <w:spacing w:line="360" w:lineRule="auto"/>
        <w:ind w:firstLine="482" w:firstLineChars="200"/>
        <w:rPr>
          <w:rFonts w:ascii="宋体" w:hAnsi="宋体" w:eastAsia="宋体"/>
          <w:b/>
          <w:sz w:val="24"/>
          <w:szCs w:val="24"/>
          <w:highlight w:val="none"/>
        </w:rPr>
      </w:pPr>
      <w:r>
        <w:rPr>
          <w:rFonts w:hint="eastAsia" w:ascii="宋体" w:hAnsi="宋体" w:eastAsia="宋体"/>
          <w:b/>
          <w:sz w:val="24"/>
          <w:szCs w:val="24"/>
          <w:highlight w:val="none"/>
        </w:rPr>
        <w:t>（一）售后服务要求</w:t>
      </w:r>
    </w:p>
    <w:p>
      <w:pPr>
        <w:pStyle w:val="12"/>
        <w:numPr>
          <w:ilvl w:val="0"/>
          <w:numId w:val="2"/>
        </w:numPr>
        <w:adjustRightInd w:val="0"/>
        <w:snapToGrid w:val="0"/>
        <w:spacing w:line="360" w:lineRule="auto"/>
        <w:ind w:firstLineChars="0"/>
        <w:rPr>
          <w:rFonts w:ascii="宋体" w:hAnsi="宋体" w:eastAsia="宋体" w:cs="宋体"/>
          <w:sz w:val="24"/>
          <w:szCs w:val="24"/>
          <w:highlight w:val="none"/>
        </w:rPr>
      </w:pPr>
      <w:r>
        <w:rPr>
          <w:rFonts w:ascii="宋体" w:hAnsi="宋体" w:eastAsia="宋体" w:cs="宋体"/>
          <w:sz w:val="24"/>
          <w:szCs w:val="24"/>
          <w:highlight w:val="none"/>
        </w:rPr>
        <w:t>响应时间：</w:t>
      </w:r>
      <w:r>
        <w:rPr>
          <w:rFonts w:ascii="宋体" w:hAnsi="宋体" w:eastAsia="宋体"/>
          <w:sz w:val="24"/>
          <w:szCs w:val="24"/>
          <w:highlight w:val="none"/>
        </w:rPr>
        <w:t>维修响应时间不超过2小时，到达现场时间不超过4小时。</w:t>
      </w:r>
    </w:p>
    <w:p>
      <w:pPr>
        <w:pStyle w:val="12"/>
        <w:numPr>
          <w:ilvl w:val="0"/>
          <w:numId w:val="2"/>
        </w:numPr>
        <w:adjustRightInd w:val="0"/>
        <w:snapToGrid w:val="0"/>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w:t>
      </w:r>
      <w:r>
        <w:rPr>
          <w:rFonts w:ascii="宋体" w:hAnsi="宋体" w:eastAsia="宋体" w:cs="宋体"/>
          <w:sz w:val="24"/>
          <w:szCs w:val="24"/>
          <w:highlight w:val="none"/>
        </w:rPr>
        <w:t>保修年限：</w:t>
      </w:r>
      <w:r>
        <w:rPr>
          <w:rFonts w:hint="eastAsia" w:ascii="宋体" w:hAnsi="宋体" w:eastAsia="宋体" w:cs="宋体"/>
          <w:sz w:val="24"/>
          <w:szCs w:val="24"/>
          <w:highlight w:val="none"/>
        </w:rPr>
        <w:t>≥</w:t>
      </w:r>
      <w:r>
        <w:rPr>
          <w:rFonts w:ascii="宋体" w:hAnsi="宋体" w:eastAsia="宋体" w:cs="宋体"/>
          <w:sz w:val="24"/>
          <w:szCs w:val="24"/>
          <w:highlight w:val="none"/>
        </w:rPr>
        <w:t>10年</w:t>
      </w:r>
    </w:p>
    <w:p>
      <w:pPr>
        <w:pStyle w:val="12"/>
        <w:numPr>
          <w:ilvl w:val="0"/>
          <w:numId w:val="2"/>
        </w:numPr>
        <w:adjustRightInd w:val="0"/>
        <w:snapToGrid w:val="0"/>
        <w:spacing w:line="360" w:lineRule="auto"/>
        <w:ind w:firstLineChars="0"/>
        <w:rPr>
          <w:rFonts w:ascii="宋体" w:hAnsi="宋体" w:eastAsia="宋体" w:cs="宋体"/>
          <w:sz w:val="24"/>
          <w:szCs w:val="24"/>
          <w:highlight w:val="none"/>
        </w:rPr>
      </w:pPr>
      <w:r>
        <w:rPr>
          <w:rFonts w:ascii="宋体" w:hAnsi="宋体" w:eastAsia="宋体" w:cs="宋体"/>
          <w:sz w:val="24"/>
          <w:szCs w:val="24"/>
          <w:highlight w:val="none"/>
        </w:rPr>
        <w:t>维保内容与价格：</w:t>
      </w:r>
      <w:r>
        <w:rPr>
          <w:rFonts w:hint="eastAsia" w:ascii="宋体" w:hAnsi="宋体" w:eastAsia="宋体"/>
          <w:sz w:val="24"/>
          <w:szCs w:val="24"/>
          <w:highlight w:val="none"/>
        </w:rPr>
        <w:t>不超过市场价80%，</w:t>
      </w:r>
      <w:r>
        <w:rPr>
          <w:rFonts w:ascii="宋体" w:hAnsi="宋体" w:eastAsia="宋体" w:cs="宋体"/>
          <w:sz w:val="24"/>
          <w:szCs w:val="24"/>
          <w:highlight w:val="none"/>
        </w:rPr>
        <w:t>免费更换镶片、打磨剪刀等</w:t>
      </w:r>
      <w:r>
        <w:rPr>
          <w:rFonts w:hint="eastAsia" w:ascii="宋体" w:hAnsi="宋体" w:eastAsia="宋体" w:cs="宋体"/>
          <w:sz w:val="24"/>
          <w:szCs w:val="24"/>
          <w:highlight w:val="none"/>
        </w:rPr>
        <w:t>。</w:t>
      </w:r>
    </w:p>
    <w:p>
      <w:pPr>
        <w:pStyle w:val="12"/>
        <w:numPr>
          <w:ilvl w:val="0"/>
          <w:numId w:val="2"/>
        </w:numPr>
        <w:adjustRightInd w:val="0"/>
        <w:snapToGrid w:val="0"/>
        <w:spacing w:line="360" w:lineRule="auto"/>
        <w:ind w:firstLineChars="0"/>
        <w:rPr>
          <w:rFonts w:ascii="宋体" w:hAnsi="宋体" w:eastAsia="宋体" w:cs="宋体"/>
          <w:sz w:val="24"/>
          <w:szCs w:val="24"/>
          <w:highlight w:val="none"/>
        </w:rPr>
      </w:pPr>
      <w:r>
        <w:rPr>
          <w:rFonts w:ascii="宋体" w:hAnsi="宋体" w:eastAsia="宋体" w:cs="宋体"/>
          <w:sz w:val="24"/>
          <w:szCs w:val="24"/>
          <w:highlight w:val="none"/>
        </w:rPr>
        <w:t>备品备件供货价格：</w:t>
      </w:r>
      <w:r>
        <w:rPr>
          <w:rFonts w:hint="eastAsia" w:ascii="宋体" w:hAnsi="宋体" w:eastAsia="宋体"/>
          <w:sz w:val="24"/>
          <w:szCs w:val="24"/>
          <w:highlight w:val="none"/>
        </w:rPr>
        <w:t>不超过市场价80%。</w:t>
      </w:r>
    </w:p>
    <w:p>
      <w:pPr>
        <w:adjustRightInd w:val="0"/>
        <w:snapToGrid w:val="0"/>
        <w:spacing w:line="360" w:lineRule="auto"/>
        <w:ind w:firstLine="482" w:firstLineChars="200"/>
        <w:rPr>
          <w:rFonts w:ascii="宋体" w:hAnsi="宋体" w:eastAsia="宋体"/>
          <w:b/>
          <w:sz w:val="24"/>
          <w:szCs w:val="24"/>
          <w:highlight w:val="none"/>
        </w:rPr>
      </w:pPr>
      <w:r>
        <w:rPr>
          <w:rFonts w:hint="eastAsia" w:ascii="宋体" w:hAnsi="宋体" w:eastAsia="宋体"/>
          <w:b/>
          <w:sz w:val="24"/>
          <w:szCs w:val="24"/>
          <w:highlight w:val="none"/>
        </w:rPr>
        <w:t>（二）伴随服务要求：</w:t>
      </w:r>
      <w:r>
        <w:rPr>
          <w:rFonts w:ascii="宋体" w:hAnsi="宋体" w:eastAsia="宋体"/>
          <w:b/>
          <w:sz w:val="24"/>
          <w:szCs w:val="24"/>
          <w:highlight w:val="none"/>
        </w:rPr>
        <w:tab/>
      </w:r>
      <w:r>
        <w:rPr>
          <w:rFonts w:ascii="宋体" w:hAnsi="宋体" w:eastAsia="宋体"/>
          <w:b/>
          <w:sz w:val="24"/>
          <w:szCs w:val="24"/>
          <w:highlight w:val="none"/>
        </w:rPr>
        <w:t>　</w:t>
      </w:r>
      <w:r>
        <w:rPr>
          <w:rFonts w:ascii="宋体" w:hAnsi="宋体" w:eastAsia="宋体"/>
          <w:b/>
          <w:sz w:val="24"/>
          <w:szCs w:val="24"/>
          <w:highlight w:val="none"/>
        </w:rPr>
        <w:tab/>
      </w:r>
      <w:r>
        <w:rPr>
          <w:rFonts w:ascii="宋体" w:hAnsi="宋体" w:eastAsia="宋体"/>
          <w:b/>
          <w:sz w:val="24"/>
          <w:szCs w:val="24"/>
          <w:highlight w:val="none"/>
        </w:rPr>
        <w:t>　</w:t>
      </w:r>
      <w:r>
        <w:rPr>
          <w:rFonts w:ascii="宋体" w:hAnsi="宋体" w:eastAsia="宋体"/>
          <w:b/>
          <w:sz w:val="24"/>
          <w:szCs w:val="24"/>
          <w:highlight w:val="none"/>
        </w:rPr>
        <w:tab/>
      </w:r>
      <w:r>
        <w:rPr>
          <w:rFonts w:ascii="宋体" w:hAnsi="宋体" w:eastAsia="宋体"/>
          <w:b/>
          <w:sz w:val="24"/>
          <w:szCs w:val="24"/>
          <w:highlight w:val="none"/>
        </w:rPr>
        <w:t>　</w:t>
      </w:r>
    </w:p>
    <w:p>
      <w:pPr>
        <w:pStyle w:val="12"/>
        <w:numPr>
          <w:ilvl w:val="0"/>
          <w:numId w:val="3"/>
        </w:numPr>
        <w:adjustRightInd w:val="0"/>
        <w:snapToGrid w:val="0"/>
        <w:spacing w:line="360" w:lineRule="auto"/>
        <w:ind w:firstLineChars="0"/>
        <w:rPr>
          <w:rFonts w:ascii="宋体" w:hAnsi="宋体" w:eastAsia="宋体"/>
          <w:sz w:val="24"/>
          <w:szCs w:val="24"/>
          <w:highlight w:val="none"/>
        </w:rPr>
      </w:pPr>
      <w:r>
        <w:rPr>
          <w:rFonts w:ascii="宋体" w:hAnsi="宋体" w:eastAsia="宋体"/>
          <w:sz w:val="24"/>
          <w:szCs w:val="24"/>
          <w:highlight w:val="none"/>
        </w:rPr>
        <w:t>产品附件要求：</w:t>
      </w:r>
      <w:r>
        <w:rPr>
          <w:rFonts w:hint="eastAsia" w:ascii="宋体" w:hAnsi="宋体" w:eastAsia="宋体"/>
          <w:sz w:val="24"/>
          <w:szCs w:val="24"/>
          <w:highlight w:val="none"/>
        </w:rPr>
        <w:t>见配置清单</w:t>
      </w:r>
    </w:p>
    <w:p>
      <w:pPr>
        <w:pStyle w:val="12"/>
        <w:numPr>
          <w:ilvl w:val="0"/>
          <w:numId w:val="3"/>
        </w:numPr>
        <w:adjustRightInd w:val="0"/>
        <w:snapToGrid w:val="0"/>
        <w:spacing w:line="360" w:lineRule="auto"/>
        <w:ind w:firstLineChars="0"/>
        <w:rPr>
          <w:rFonts w:ascii="宋体" w:hAnsi="宋体" w:eastAsia="宋体"/>
          <w:sz w:val="24"/>
          <w:szCs w:val="24"/>
          <w:highlight w:val="none"/>
        </w:rPr>
      </w:pPr>
      <w:r>
        <w:rPr>
          <w:rFonts w:hint="eastAsia" w:ascii="宋体" w:hAnsi="宋体" w:eastAsia="宋体"/>
          <w:sz w:val="24"/>
          <w:szCs w:val="24"/>
          <w:highlight w:val="none"/>
        </w:rPr>
        <w:t>提供技术援助：原厂派工程师提供技术援助</w:t>
      </w:r>
    </w:p>
    <w:p>
      <w:pPr>
        <w:pStyle w:val="12"/>
        <w:numPr>
          <w:ilvl w:val="0"/>
          <w:numId w:val="3"/>
        </w:numPr>
        <w:adjustRightInd w:val="0"/>
        <w:snapToGrid w:val="0"/>
        <w:spacing w:line="360" w:lineRule="auto"/>
        <w:ind w:firstLineChars="0"/>
        <w:rPr>
          <w:rFonts w:ascii="宋体" w:hAnsi="宋体" w:eastAsia="宋体"/>
          <w:sz w:val="24"/>
          <w:szCs w:val="24"/>
          <w:highlight w:val="none"/>
        </w:rPr>
      </w:pPr>
      <w:r>
        <w:rPr>
          <w:rFonts w:ascii="宋体" w:hAnsi="宋体" w:eastAsia="宋体"/>
          <w:sz w:val="24"/>
          <w:szCs w:val="24"/>
          <w:highlight w:val="none"/>
        </w:rPr>
        <w:t>培训：交货后免费</w:t>
      </w:r>
      <w:r>
        <w:rPr>
          <w:rFonts w:hint="eastAsia" w:ascii="宋体" w:hAnsi="宋体" w:eastAsia="宋体"/>
          <w:sz w:val="24"/>
          <w:szCs w:val="24"/>
          <w:highlight w:val="none"/>
        </w:rPr>
        <w:t>提供</w:t>
      </w:r>
      <w:r>
        <w:rPr>
          <w:rFonts w:ascii="宋体" w:hAnsi="宋体" w:eastAsia="宋体"/>
          <w:sz w:val="24"/>
          <w:szCs w:val="24"/>
          <w:highlight w:val="none"/>
        </w:rPr>
        <w:t>使用和清洗消毒培训</w:t>
      </w:r>
      <w:r>
        <w:rPr>
          <w:rFonts w:hint="eastAsia" w:ascii="宋体" w:hAnsi="宋体" w:eastAsia="宋体"/>
          <w:sz w:val="24"/>
          <w:szCs w:val="24"/>
          <w:highlight w:val="none"/>
        </w:rPr>
        <w:t>，直到用户临床熟悉掌握为止</w:t>
      </w:r>
    </w:p>
    <w:p>
      <w:pPr>
        <w:pStyle w:val="12"/>
        <w:numPr>
          <w:ilvl w:val="0"/>
          <w:numId w:val="3"/>
        </w:numPr>
        <w:adjustRightInd w:val="0"/>
        <w:snapToGrid w:val="0"/>
        <w:spacing w:line="360" w:lineRule="auto"/>
        <w:ind w:firstLineChars="0"/>
        <w:rPr>
          <w:rFonts w:ascii="宋体" w:hAnsi="宋体" w:eastAsia="宋体"/>
          <w:sz w:val="24"/>
          <w:szCs w:val="24"/>
          <w:highlight w:val="none"/>
        </w:rPr>
      </w:pPr>
      <w:r>
        <w:rPr>
          <w:rFonts w:ascii="宋体" w:hAnsi="宋体" w:eastAsia="宋体"/>
          <w:sz w:val="24"/>
          <w:szCs w:val="24"/>
          <w:highlight w:val="none"/>
        </w:rPr>
        <w:t>验收方案：根据</w:t>
      </w:r>
      <w:r>
        <w:rPr>
          <w:rFonts w:hint="eastAsia" w:ascii="宋体" w:hAnsi="宋体" w:eastAsia="宋体"/>
          <w:sz w:val="24"/>
          <w:szCs w:val="24"/>
          <w:highlight w:val="none"/>
        </w:rPr>
        <w:t>技术参数</w:t>
      </w:r>
      <w:r>
        <w:rPr>
          <w:rFonts w:ascii="宋体" w:hAnsi="宋体" w:eastAsia="宋体"/>
          <w:sz w:val="24"/>
          <w:szCs w:val="24"/>
          <w:highlight w:val="none"/>
        </w:rPr>
        <w:t>要求</w:t>
      </w:r>
      <w:r>
        <w:rPr>
          <w:rFonts w:hint="eastAsia" w:ascii="宋体" w:hAnsi="宋体" w:eastAsia="宋体"/>
          <w:sz w:val="24"/>
          <w:szCs w:val="24"/>
          <w:highlight w:val="none"/>
        </w:rPr>
        <w:t>由医院进行</w:t>
      </w:r>
      <w:r>
        <w:rPr>
          <w:rFonts w:ascii="宋体" w:hAnsi="宋体" w:eastAsia="宋体"/>
          <w:sz w:val="24"/>
          <w:szCs w:val="24"/>
          <w:highlight w:val="none"/>
        </w:rPr>
        <w:t>验收</w:t>
      </w:r>
    </w:p>
    <w:p>
      <w:pPr>
        <w:adjustRightInd w:val="0"/>
        <w:snapToGrid w:val="0"/>
        <w:spacing w:line="360" w:lineRule="auto"/>
        <w:ind w:firstLine="482" w:firstLineChars="200"/>
        <w:rPr>
          <w:rFonts w:ascii="宋体" w:hAnsi="宋体" w:eastAsia="宋体"/>
          <w:b/>
          <w:sz w:val="24"/>
          <w:szCs w:val="24"/>
          <w:highlight w:val="none"/>
        </w:rPr>
      </w:pPr>
      <w:r>
        <w:rPr>
          <w:rFonts w:hint="eastAsia" w:ascii="宋体" w:hAnsi="宋体" w:eastAsia="宋体"/>
          <w:b/>
          <w:sz w:val="24"/>
          <w:szCs w:val="24"/>
          <w:highlight w:val="none"/>
        </w:rPr>
        <w:t>二、商务条款</w:t>
      </w:r>
    </w:p>
    <w:p>
      <w:pPr>
        <w:adjustRightInd w:val="0"/>
        <w:snapToGrid w:val="0"/>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w:t>
      </w:r>
      <w:r>
        <w:rPr>
          <w:rFonts w:hint="eastAsia" w:ascii="宋体" w:hAnsi="宋体" w:eastAsia="宋体"/>
          <w:sz w:val="24"/>
          <w:szCs w:val="24"/>
          <w:highlight w:val="none"/>
        </w:rPr>
        <w:t xml:space="preserve"> 交货期：成交方应在合同生效的30天内，向采购人交付上述设备。</w:t>
      </w:r>
    </w:p>
    <w:p>
      <w:pPr>
        <w:adjustRightInd w:val="0"/>
        <w:snapToGrid w:val="0"/>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w:t>
      </w:r>
      <w:r>
        <w:rPr>
          <w:rFonts w:hint="eastAsia" w:ascii="宋体" w:hAnsi="宋体" w:eastAsia="宋体"/>
          <w:sz w:val="24"/>
          <w:szCs w:val="24"/>
          <w:highlight w:val="none"/>
        </w:rPr>
        <w:t>交货地点：成交方应根据采购方要求送到指定地点。</w:t>
      </w:r>
    </w:p>
    <w:p>
      <w:pPr>
        <w:adjustRightInd w:val="0"/>
        <w:snapToGrid w:val="0"/>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3.</w:t>
      </w:r>
      <w:r>
        <w:rPr>
          <w:rFonts w:hint="eastAsia" w:ascii="宋体" w:hAnsi="宋体" w:eastAsia="宋体"/>
          <w:sz w:val="24"/>
          <w:szCs w:val="24"/>
          <w:highlight w:val="none"/>
        </w:rPr>
        <w:t>付款方式：采购人在设备验收合格后三个月内付清全款。</w:t>
      </w:r>
    </w:p>
    <w:p>
      <w:pPr>
        <w:adjustRightInd w:val="0"/>
        <w:snapToGrid w:val="0"/>
        <w:spacing w:line="360" w:lineRule="auto"/>
        <w:rPr>
          <w:rFonts w:ascii="宋体" w:hAnsi="宋体" w:eastAsia="宋体"/>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532F02"/>
    <w:multiLevelType w:val="multilevel"/>
    <w:tmpl w:val="0E532F02"/>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65E00B0E"/>
    <w:multiLevelType w:val="multilevel"/>
    <w:tmpl w:val="65E00B0E"/>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65E431DB"/>
    <w:multiLevelType w:val="multilevel"/>
    <w:tmpl w:val="65E431DB"/>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4MmVkOTA1MjFjYzMwZWNmZGFhODliZDBjZWU4YWMifQ=="/>
  </w:docVars>
  <w:rsids>
    <w:rsidRoot w:val="00802568"/>
    <w:rsid w:val="00097888"/>
    <w:rsid w:val="000B25CC"/>
    <w:rsid w:val="00105209"/>
    <w:rsid w:val="00126134"/>
    <w:rsid w:val="001657AA"/>
    <w:rsid w:val="001A2857"/>
    <w:rsid w:val="001D1C86"/>
    <w:rsid w:val="00216823"/>
    <w:rsid w:val="0026278E"/>
    <w:rsid w:val="002E1EF1"/>
    <w:rsid w:val="002E581F"/>
    <w:rsid w:val="00386245"/>
    <w:rsid w:val="00802568"/>
    <w:rsid w:val="0090336E"/>
    <w:rsid w:val="00993E73"/>
    <w:rsid w:val="009D50C6"/>
    <w:rsid w:val="00A5788A"/>
    <w:rsid w:val="00A92C4E"/>
    <w:rsid w:val="00AE4BCA"/>
    <w:rsid w:val="00B43BBE"/>
    <w:rsid w:val="00C55B22"/>
    <w:rsid w:val="00CD709A"/>
    <w:rsid w:val="00D64D9C"/>
    <w:rsid w:val="01C0030F"/>
    <w:rsid w:val="01CB199D"/>
    <w:rsid w:val="02467F9C"/>
    <w:rsid w:val="03060F81"/>
    <w:rsid w:val="08136C45"/>
    <w:rsid w:val="08CD6EE3"/>
    <w:rsid w:val="0AAB4AE0"/>
    <w:rsid w:val="0C50326D"/>
    <w:rsid w:val="0CD70DAF"/>
    <w:rsid w:val="0D531267"/>
    <w:rsid w:val="0F707EAE"/>
    <w:rsid w:val="12DE15D3"/>
    <w:rsid w:val="13E250F3"/>
    <w:rsid w:val="13EE54F1"/>
    <w:rsid w:val="17771FF6"/>
    <w:rsid w:val="17D93456"/>
    <w:rsid w:val="198329B6"/>
    <w:rsid w:val="19BB08C0"/>
    <w:rsid w:val="1B854C33"/>
    <w:rsid w:val="1BD417C5"/>
    <w:rsid w:val="1D921938"/>
    <w:rsid w:val="1DF0665E"/>
    <w:rsid w:val="1F026649"/>
    <w:rsid w:val="24727DCD"/>
    <w:rsid w:val="29DD03DE"/>
    <w:rsid w:val="2AFE04E8"/>
    <w:rsid w:val="2B80796D"/>
    <w:rsid w:val="2E2465DC"/>
    <w:rsid w:val="2E2C5491"/>
    <w:rsid w:val="30EE1123"/>
    <w:rsid w:val="322C3CB1"/>
    <w:rsid w:val="336D632F"/>
    <w:rsid w:val="361A491D"/>
    <w:rsid w:val="36C26992"/>
    <w:rsid w:val="38E44764"/>
    <w:rsid w:val="39E3734B"/>
    <w:rsid w:val="402204A1"/>
    <w:rsid w:val="41605725"/>
    <w:rsid w:val="4335673E"/>
    <w:rsid w:val="43FB34E3"/>
    <w:rsid w:val="46D1677D"/>
    <w:rsid w:val="46F74436"/>
    <w:rsid w:val="47A619B8"/>
    <w:rsid w:val="47EC1AC1"/>
    <w:rsid w:val="48AB197C"/>
    <w:rsid w:val="498F4DFA"/>
    <w:rsid w:val="4A802994"/>
    <w:rsid w:val="4E2D698F"/>
    <w:rsid w:val="502A60FB"/>
    <w:rsid w:val="50FE4613"/>
    <w:rsid w:val="54765715"/>
    <w:rsid w:val="581700A7"/>
    <w:rsid w:val="5A2E7D17"/>
    <w:rsid w:val="5A980B76"/>
    <w:rsid w:val="5AF61591"/>
    <w:rsid w:val="5E174F66"/>
    <w:rsid w:val="5F977C95"/>
    <w:rsid w:val="62DE6052"/>
    <w:rsid w:val="630F445E"/>
    <w:rsid w:val="63556314"/>
    <w:rsid w:val="643979E4"/>
    <w:rsid w:val="66F75934"/>
    <w:rsid w:val="69CB0C5E"/>
    <w:rsid w:val="6AE306AA"/>
    <w:rsid w:val="6C360CAD"/>
    <w:rsid w:val="6D3C0545"/>
    <w:rsid w:val="6EE40E94"/>
    <w:rsid w:val="6FD70D7C"/>
    <w:rsid w:val="79052133"/>
    <w:rsid w:val="7C4E5B9F"/>
    <w:rsid w:val="7E590F57"/>
    <w:rsid w:val="7E753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5"/>
    <w:semiHidden/>
    <w:unhideWhenUsed/>
    <w:qFormat/>
    <w:uiPriority w:val="99"/>
    <w:rPr>
      <w:b/>
      <w:bCs/>
    </w:rPr>
  </w:style>
  <w:style w:type="character" w:styleId="8">
    <w:name w:val="annotation reference"/>
    <w:basedOn w:val="7"/>
    <w:semiHidden/>
    <w:unhideWhenUsed/>
    <w:qFormat/>
    <w:uiPriority w:val="99"/>
    <w:rPr>
      <w:sz w:val="21"/>
      <w:szCs w:val="21"/>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NormalCharacter"/>
    <w:autoRedefine/>
    <w:semiHidden/>
    <w:qFormat/>
    <w:uiPriority w:val="0"/>
  </w:style>
  <w:style w:type="paragraph" w:styleId="12">
    <w:name w:val="List Paragraph"/>
    <w:basedOn w:val="1"/>
    <w:qFormat/>
    <w:uiPriority w:val="34"/>
    <w:pPr>
      <w:ind w:firstLine="420" w:firstLineChars="200"/>
    </w:pPr>
  </w:style>
  <w:style w:type="paragraph" w:customStyle="1" w:styleId="1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4">
    <w:name w:val="批注文字 字符"/>
    <w:basedOn w:val="7"/>
    <w:link w:val="2"/>
    <w:qFormat/>
    <w:uiPriority w:val="99"/>
  </w:style>
  <w:style w:type="character" w:customStyle="1" w:styleId="15">
    <w:name w:val="批注主题 字符"/>
    <w:basedOn w:val="14"/>
    <w:link w:val="5"/>
    <w:semiHidden/>
    <w:qFormat/>
    <w:uiPriority w:val="99"/>
    <w:rPr>
      <w:b/>
      <w:bCs/>
    </w:rPr>
  </w:style>
  <w:style w:type="paragraph" w:customStyle="1" w:styleId="16">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06851-9281-4A36-91A4-D68898C6BC31}">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3</Pages>
  <Words>1266</Words>
  <Characters>1329</Characters>
  <Lines>11</Lines>
  <Paragraphs>3</Paragraphs>
  <TotalTime>6</TotalTime>
  <ScaleCrop>false</ScaleCrop>
  <LinksUpToDate>false</LinksUpToDate>
  <CharactersWithSpaces>1336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2024-03-28T03:06:00Z</dcterms:created>
  <dc:creator>Windows 用户</dc:creator>
  <cp:lastModifiedBy>瑢子</cp:lastModifiedBy>
  <dcterms:modified xsi:type="dcterms:W3CDTF">2024-06-13T03:11:08Z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F0F27B81D15E46D09A9483CFC234AA1B_12</vt:lpwstr>
  </property>
</Properties>
</file>