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一、项目名称</w:t>
      </w:r>
    </w:p>
    <w:p>
      <w:pPr>
        <w:adjustRightInd w:val="0"/>
        <w:snapToGrid w:val="0"/>
        <w:spacing w:line="360" w:lineRule="auto"/>
        <w:rPr>
          <w:rFonts w:ascii="宋体" w:hAnsi="宋体" w:eastAsia="宋体"/>
          <w:sz w:val="24"/>
          <w:szCs w:val="24"/>
          <w:highlight w:val="none"/>
        </w:rPr>
      </w:pPr>
      <w:r>
        <w:rPr>
          <w:rFonts w:hint="eastAsia" w:ascii="宋体" w:hAnsi="宋体" w:eastAsia="宋体"/>
          <w:sz w:val="24"/>
          <w:szCs w:val="24"/>
          <w:highlight w:val="none"/>
        </w:rPr>
        <w:t>上海交通大学医学院附属新华医院眼表综合分析仪项目</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二、项目参数:</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（一）名称</w:t>
      </w:r>
    </w:p>
    <w:tbl>
      <w:tblPr>
        <w:tblStyle w:val="6"/>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503"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503"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眼表综合分析仪</w:t>
            </w:r>
          </w:p>
        </w:tc>
        <w:tc>
          <w:tcPr>
            <w:tcW w:w="1562" w:type="pct"/>
            <w:shd w:val="clear" w:color="000000" w:fill="FFFFFF"/>
            <w:noWrap/>
            <w:vAlign w:val="center"/>
          </w:tcPr>
          <w:p>
            <w:pPr>
              <w:widowControl/>
              <w:adjustRightInd w:val="0"/>
              <w:snapToGrid w:val="0"/>
              <w:spacing w:line="360" w:lineRule="auto"/>
              <w:ind w:hanging="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1套</w:t>
            </w:r>
          </w:p>
        </w:tc>
      </w:tr>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（二）最高限价</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人民币</w:t>
      </w:r>
      <w:r>
        <w:rPr>
          <w:rFonts w:hint="eastAsia" w:ascii="宋体" w:hAnsi="宋体" w:eastAsia="宋体"/>
          <w:sz w:val="24"/>
          <w:szCs w:val="24"/>
          <w:highlight w:val="none"/>
          <w:lang w:val="en-US" w:eastAsia="zh-CN"/>
        </w:rPr>
        <w:t>63</w:t>
      </w:r>
      <w:r>
        <w:rPr>
          <w:rFonts w:ascii="宋体" w:hAnsi="宋体" w:eastAsia="宋体"/>
          <w:sz w:val="24"/>
          <w:szCs w:val="24"/>
          <w:highlight w:val="none"/>
        </w:rPr>
        <w:t>万元</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（三）资格条件</w:t>
      </w:r>
      <w:bookmarkStart w:id="1" w:name="_GoBack"/>
      <w:bookmarkEnd w:id="1"/>
    </w:p>
    <w:p>
      <w:pPr>
        <w:adjustRightInd w:val="0"/>
        <w:snapToGrid w:val="0"/>
        <w:spacing w:line="360" w:lineRule="auto"/>
        <w:ind w:firstLine="480" w:firstLineChars="200"/>
        <w:rPr>
          <w:rFonts w:ascii="宋体" w:hAnsi="宋体" w:eastAsia="宋体"/>
          <w:sz w:val="24"/>
          <w:szCs w:val="24"/>
          <w:highlight w:val="none"/>
        </w:rPr>
      </w:pPr>
      <w:bookmarkStart w:id="0" w:name="_Hlk70410439"/>
      <w:r>
        <w:rPr>
          <w:rFonts w:hint="eastAsia" w:ascii="宋体" w:hAnsi="宋体" w:eastAsia="宋体"/>
          <w:sz w:val="24"/>
          <w:szCs w:val="24"/>
          <w:highlight w:val="none"/>
        </w:rPr>
        <w:t>（1）</w:t>
      </w:r>
      <w:bookmarkEnd w:id="0"/>
      <w:r>
        <w:rPr>
          <w:rFonts w:hint="eastAsia" w:ascii="宋体" w:hAnsi="宋体" w:eastAsia="宋体"/>
          <w:sz w:val="24"/>
          <w:szCs w:val="24"/>
          <w:highlight w:val="none"/>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（2）在参加采购活动前三年内，在经营活动中没有重大违法记录；</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3</w:t>
      </w:r>
      <w:r>
        <w:rPr>
          <w:rFonts w:hint="eastAsia" w:ascii="宋体" w:hAnsi="宋体" w:eastAsia="宋体" w:cs="宋体"/>
          <w:sz w:val="24"/>
          <w:szCs w:val="24"/>
          <w:highlight w:val="none"/>
        </w:rPr>
        <w:t>）未被列入“信用中国”网站(www.creditchina.gov.cn)失信被执行人名单、重大税收违法案件当事人名单的供应商；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（4）</w:t>
      </w:r>
      <w:r>
        <w:rPr>
          <w:rFonts w:hint="eastAsia" w:ascii="宋体" w:hAnsi="宋体" w:eastAsia="宋体"/>
          <w:sz w:val="24"/>
          <w:szCs w:val="24"/>
          <w:highlight w:val="none"/>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cs="宋体"/>
          <w:sz w:val="24"/>
          <w:szCs w:val="24"/>
          <w:highlight w:val="none"/>
        </w:rPr>
        <w:t>（5）</w:t>
      </w:r>
      <w:r>
        <w:rPr>
          <w:rFonts w:hint="eastAsia" w:ascii="宋体" w:hAnsi="宋体" w:eastAsia="宋体"/>
          <w:sz w:val="24"/>
          <w:szCs w:val="24"/>
          <w:highlight w:val="none"/>
        </w:rPr>
        <w:t>供应商为代理商的，应提供有效的生产厂家授权书或合法获得该产品的其他证明。</w:t>
      </w:r>
    </w:p>
    <w:p>
      <w:pPr>
        <w:adjustRightInd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sz w:val="24"/>
          <w:szCs w:val="24"/>
          <w:highlight w:val="none"/>
        </w:rPr>
        <w:t>（6）</w:t>
      </w:r>
      <w:r>
        <w:rPr>
          <w:rFonts w:hint="eastAsia" w:ascii="宋体" w:hAnsi="宋体" w:eastAsia="宋体" w:cs="宋体"/>
          <w:sz w:val="24"/>
          <w:szCs w:val="24"/>
          <w:highlight w:val="none"/>
        </w:rPr>
        <w:t>本项目不接受联合体响应。</w:t>
      </w:r>
    </w:p>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（四）功能及技术参数：</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一、主要功能及工作原理</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临床用于用于角膜地形图、睑板腺拍摄、干眼的筛查诊断以及眼表综合检查。</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二、应用场景</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门诊角膜及干眼检查</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w:t>
      </w:r>
      <w:r>
        <w:rPr>
          <w:rFonts w:hint="eastAsia" w:ascii="宋体" w:hAnsi="宋体" w:eastAsia="宋体" w:cs="宋体"/>
          <w:b/>
          <w:sz w:val="24"/>
          <w:szCs w:val="24"/>
          <w:highlight w:val="none"/>
        </w:rPr>
        <w:t>技术参数</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具有多种光源：包含白色光源、红外光源和钴蓝色光源</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非侵入泪膜破裂时间测量： ≤25秒</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泪液测量： 同时测量平均泪膜破裂时间</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 xml:space="preserve">泪液测量：自动计时、自动干眼分级 </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炎症分析：含眼红分析，具备结膜充血指标、睫状充血指标</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ascii="宋体" w:hAnsi="宋体" w:eastAsia="宋体" w:cs="宋体"/>
          <w:sz w:val="24"/>
          <w:szCs w:val="24"/>
          <w:highlight w:val="none"/>
        </w:rPr>
        <w:t>瞳孔测量：含瞳孔直径动态测量、动态测量暗室时最大瞳孔直径、炫光时最小瞳孔直径</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泪液分泌量：非侵入式泪河高度测量，评估泪液分泌量</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睑板腺拍摄：具备增强对比模式</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泪膜评估：含脂质层观察评估</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角膜上皮分析：含荧光素钠染色观察、荧光染色分级、视频、图片模式等完整分析</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眼表拍摄功能：放大倍率可调，照片可编辑</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角膜分析：含圆锥角膜分析，波前像差分析</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 xml:space="preserve">测量方式：非接触式 </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ascii="宋体" w:hAnsi="宋体" w:eastAsia="宋体" w:cs="宋体"/>
          <w:sz w:val="24"/>
          <w:szCs w:val="24"/>
          <w:highlight w:val="none"/>
        </w:rPr>
        <w:t>接触镜适配软件：含模拟荧光素染色评估配合状态</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测量精确度：±</w:t>
      </w:r>
      <w:r>
        <w:rPr>
          <w:rFonts w:ascii="宋体" w:hAnsi="宋体" w:eastAsia="宋体" w:cs="宋体"/>
          <w:sz w:val="24"/>
          <w:szCs w:val="24"/>
          <w:highlight w:val="none"/>
        </w:rPr>
        <w:t>0.1D</w:t>
      </w:r>
    </w:p>
    <w:p>
      <w:pPr>
        <w:pStyle w:val="12"/>
        <w:numPr>
          <w:ilvl w:val="0"/>
          <w:numId w:val="1"/>
        </w:numPr>
        <w:adjustRightInd w:val="0"/>
        <w:snapToGrid w:val="0"/>
        <w:spacing w:line="360" w:lineRule="auto"/>
        <w:ind w:firstLineChars="0"/>
        <w:rPr>
          <w:rFonts w:ascii="宋体" w:hAnsi="宋体" w:eastAsia="宋体" w:cs="宋体"/>
          <w:sz w:val="24"/>
          <w:szCs w:val="24"/>
          <w:highlight w:val="none"/>
        </w:rPr>
      </w:pPr>
      <w:r>
        <w:rPr>
          <w:rFonts w:hint="eastAsia" w:ascii="宋体" w:hAnsi="宋体" w:eastAsia="宋体" w:cs="宋体"/>
          <w:sz w:val="24"/>
          <w:szCs w:val="24"/>
          <w:highlight w:val="none"/>
        </w:rPr>
        <w:t>测量范围：</w:t>
      </w:r>
      <w:r>
        <w:rPr>
          <w:rFonts w:ascii="宋体" w:hAnsi="宋体" w:eastAsia="宋体" w:cs="宋体"/>
          <w:sz w:val="24"/>
          <w:szCs w:val="24"/>
          <w:highlight w:val="none"/>
        </w:rPr>
        <w:t>3—38mm</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9—99D； 测量点数：</w:t>
      </w:r>
      <w:r>
        <w:rPr>
          <w:rFonts w:hint="eastAsia" w:ascii="宋体" w:hAnsi="宋体" w:eastAsia="宋体" w:cs="宋体"/>
          <w:sz w:val="24"/>
          <w:szCs w:val="24"/>
          <w:highlight w:val="none"/>
        </w:rPr>
        <w:t>≥</w:t>
      </w:r>
      <w:r>
        <w:rPr>
          <w:rFonts w:ascii="宋体" w:hAnsi="宋体" w:eastAsia="宋体" w:cs="宋体"/>
          <w:sz w:val="24"/>
          <w:szCs w:val="24"/>
          <w:highlight w:val="none"/>
        </w:rPr>
        <w:t>22000个</w:t>
      </w:r>
    </w:p>
    <w:p>
      <w:pPr>
        <w:adjustRightInd w:val="0"/>
        <w:snapToGrid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四、配置清单</w:t>
      </w:r>
    </w:p>
    <w:tbl>
      <w:tblPr>
        <w:tblStyle w:val="6"/>
        <w:tblW w:w="690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793"/>
        <w:gridCol w:w="137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1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2793"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13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1415"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1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793"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主机</w:t>
            </w:r>
          </w:p>
        </w:tc>
        <w:tc>
          <w:tcPr>
            <w:tcW w:w="13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415"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1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2793"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电脑</w:t>
            </w:r>
          </w:p>
        </w:tc>
        <w:tc>
          <w:tcPr>
            <w:tcW w:w="13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415"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1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2793"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喷墨打印机</w:t>
            </w:r>
          </w:p>
        </w:tc>
        <w:tc>
          <w:tcPr>
            <w:tcW w:w="13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415"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16"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2793"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电动升降台</w:t>
            </w:r>
          </w:p>
        </w:tc>
        <w:tc>
          <w:tcPr>
            <w:tcW w:w="1377"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415" w:type="dxa"/>
            <w:shd w:val="clear" w:color="auto" w:fill="auto"/>
            <w:vAlign w:val="center"/>
          </w:tcPr>
          <w:p>
            <w:pPr>
              <w:adjustRightInd w:val="0"/>
              <w:snapToGrid w:val="0"/>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r>
    </w:tbl>
    <w:p>
      <w:pPr>
        <w:adjustRightInd w:val="0"/>
        <w:snapToGrid w:val="0"/>
        <w:spacing w:line="360" w:lineRule="auto"/>
        <w:rPr>
          <w:rFonts w:ascii="宋体" w:hAnsi="宋体" w:eastAsia="宋体"/>
          <w:b/>
          <w:sz w:val="24"/>
          <w:szCs w:val="24"/>
          <w:highlight w:val="none"/>
        </w:rPr>
      </w:pPr>
      <w:r>
        <w:rPr>
          <w:rFonts w:hint="eastAsia" w:ascii="宋体" w:hAnsi="宋体" w:eastAsia="宋体"/>
          <w:b/>
          <w:sz w:val="24"/>
          <w:szCs w:val="24"/>
          <w:highlight w:val="none"/>
        </w:rPr>
        <w:t>（五）商务要求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一、技术服务要求</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（一）售后服务要求</w:t>
      </w:r>
    </w:p>
    <w:p>
      <w:pPr>
        <w:pStyle w:val="12"/>
        <w:numPr>
          <w:ilvl w:val="0"/>
          <w:numId w:val="2"/>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响应时间：</w:t>
      </w:r>
      <w:r>
        <w:rPr>
          <w:rFonts w:ascii="宋体" w:hAnsi="宋体" w:eastAsia="宋体"/>
          <w:sz w:val="24"/>
          <w:szCs w:val="24"/>
          <w:highlight w:val="none"/>
        </w:rPr>
        <w:t>维修响应时间不超过2小时，到达现场时间不超过4小时。</w:t>
      </w:r>
    </w:p>
    <w:p>
      <w:pPr>
        <w:pStyle w:val="12"/>
        <w:numPr>
          <w:ilvl w:val="0"/>
          <w:numId w:val="2"/>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★保修年限：≥</w:t>
      </w:r>
      <w:r>
        <w:rPr>
          <w:rFonts w:ascii="宋体" w:hAnsi="宋体" w:eastAsia="宋体"/>
          <w:sz w:val="24"/>
          <w:szCs w:val="24"/>
          <w:highlight w:val="none"/>
        </w:rPr>
        <w:t>1年</w:t>
      </w:r>
    </w:p>
    <w:p>
      <w:pPr>
        <w:pStyle w:val="12"/>
        <w:numPr>
          <w:ilvl w:val="0"/>
          <w:numId w:val="2"/>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维保内容与价格：</w:t>
      </w:r>
      <w:r>
        <w:rPr>
          <w:rFonts w:hint="eastAsia" w:ascii="宋体" w:hAnsi="宋体" w:eastAsia="宋体"/>
          <w:sz w:val="24"/>
          <w:szCs w:val="24"/>
          <w:highlight w:val="none"/>
        </w:rPr>
        <w:t>不超过市场价80%。</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（二）伴随服务要求：</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r>
        <w:rPr>
          <w:rFonts w:ascii="宋体" w:hAnsi="宋体" w:eastAsia="宋体"/>
          <w:b/>
          <w:sz w:val="24"/>
          <w:szCs w:val="24"/>
          <w:highlight w:val="none"/>
        </w:rPr>
        <w:tab/>
      </w:r>
      <w:r>
        <w:rPr>
          <w:rFonts w:ascii="宋体" w:hAnsi="宋体" w:eastAsia="宋体"/>
          <w:b/>
          <w:sz w:val="24"/>
          <w:szCs w:val="24"/>
          <w:highlight w:val="none"/>
        </w:rPr>
        <w:t>　</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hint="eastAsia" w:ascii="宋体" w:hAnsi="宋体" w:eastAsia="宋体"/>
          <w:sz w:val="24"/>
          <w:szCs w:val="24"/>
          <w:highlight w:val="none"/>
        </w:rPr>
        <w:t>产品附件要求：见配置清单</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产品升级服务要求：</w:t>
      </w:r>
      <w:r>
        <w:rPr>
          <w:rFonts w:hint="eastAsia" w:ascii="宋体" w:hAnsi="宋体" w:eastAsia="宋体"/>
          <w:sz w:val="24"/>
          <w:szCs w:val="24"/>
          <w:highlight w:val="none"/>
        </w:rPr>
        <w:t>如有配套软件系统，提供终身免费升级</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安装</w:t>
      </w:r>
      <w:r>
        <w:rPr>
          <w:rFonts w:hint="eastAsia" w:ascii="宋体" w:hAnsi="宋体" w:eastAsia="宋体"/>
          <w:sz w:val="24"/>
          <w:szCs w:val="24"/>
          <w:highlight w:val="none"/>
        </w:rPr>
        <w:t>及</w:t>
      </w:r>
      <w:r>
        <w:rPr>
          <w:rFonts w:ascii="宋体" w:hAnsi="宋体" w:eastAsia="宋体"/>
          <w:sz w:val="24"/>
          <w:szCs w:val="24"/>
          <w:highlight w:val="none"/>
        </w:rPr>
        <w:t>调试：</w:t>
      </w:r>
      <w:r>
        <w:rPr>
          <w:rFonts w:hint="eastAsia" w:ascii="宋体" w:hAnsi="宋体" w:eastAsia="宋体"/>
          <w:sz w:val="24"/>
          <w:szCs w:val="24"/>
          <w:highlight w:val="none"/>
        </w:rPr>
        <w:t>提供设备安装调试服务并经采购人验收合格</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提供技术援助：</w:t>
      </w:r>
      <w:r>
        <w:rPr>
          <w:rFonts w:hint="eastAsia" w:ascii="宋体" w:hAnsi="宋体" w:eastAsia="宋体"/>
          <w:sz w:val="24"/>
          <w:szCs w:val="24"/>
          <w:highlight w:val="none"/>
        </w:rPr>
        <w:t>原厂派工程师提供技术援助</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培训：供应商派专业技术人员在项目现场对使用人员进行培训或指导，在使用一段时间后可根据使用人员的要求另行安排培训计划</w:t>
      </w:r>
    </w:p>
    <w:p>
      <w:pPr>
        <w:pStyle w:val="12"/>
        <w:numPr>
          <w:ilvl w:val="0"/>
          <w:numId w:val="3"/>
        </w:numPr>
        <w:adjustRightInd w:val="0"/>
        <w:snapToGrid w:val="0"/>
        <w:spacing w:line="360" w:lineRule="auto"/>
        <w:ind w:firstLineChars="0"/>
        <w:rPr>
          <w:rFonts w:ascii="宋体" w:hAnsi="宋体" w:eastAsia="宋体"/>
          <w:sz w:val="24"/>
          <w:szCs w:val="24"/>
          <w:highlight w:val="none"/>
        </w:rPr>
      </w:pPr>
      <w:r>
        <w:rPr>
          <w:rFonts w:ascii="宋体" w:hAnsi="宋体" w:eastAsia="宋体"/>
          <w:sz w:val="24"/>
          <w:szCs w:val="24"/>
          <w:highlight w:val="none"/>
        </w:rPr>
        <w:t>验收方案：根据</w:t>
      </w:r>
      <w:r>
        <w:rPr>
          <w:rFonts w:hint="eastAsia" w:ascii="宋体" w:hAnsi="宋体" w:eastAsia="宋体"/>
          <w:sz w:val="24"/>
          <w:szCs w:val="24"/>
          <w:highlight w:val="none"/>
        </w:rPr>
        <w:t>技术参数</w:t>
      </w:r>
      <w:r>
        <w:rPr>
          <w:rFonts w:ascii="宋体" w:hAnsi="宋体" w:eastAsia="宋体"/>
          <w:sz w:val="24"/>
          <w:szCs w:val="24"/>
          <w:highlight w:val="none"/>
        </w:rPr>
        <w:t>要求</w:t>
      </w:r>
      <w:r>
        <w:rPr>
          <w:rFonts w:hint="eastAsia" w:ascii="宋体" w:hAnsi="宋体" w:eastAsia="宋体"/>
          <w:sz w:val="24"/>
          <w:szCs w:val="24"/>
          <w:highlight w:val="none"/>
        </w:rPr>
        <w:t>由医院进行</w:t>
      </w:r>
      <w:r>
        <w:rPr>
          <w:rFonts w:ascii="宋体" w:hAnsi="宋体" w:eastAsia="宋体"/>
          <w:sz w:val="24"/>
          <w:szCs w:val="24"/>
          <w:highlight w:val="none"/>
        </w:rPr>
        <w:t>验收。</w:t>
      </w:r>
    </w:p>
    <w:p>
      <w:pPr>
        <w:adjustRightInd w:val="0"/>
        <w:snapToGrid w:val="0"/>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二、商务条款</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 xml:space="preserve"> 交货期：成交方应在合同生效的30天内，向采购人交付上述设备。</w:t>
      </w:r>
    </w:p>
    <w:p>
      <w:pPr>
        <w:adjustRightInd w:val="0"/>
        <w:snapToGri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w:t>
      </w:r>
      <w:r>
        <w:rPr>
          <w:rFonts w:hint="eastAsia" w:ascii="宋体" w:hAnsi="宋体" w:eastAsia="宋体"/>
          <w:sz w:val="24"/>
          <w:szCs w:val="24"/>
          <w:highlight w:val="none"/>
        </w:rPr>
        <w:t>交货地点：成交方应根据采购方要求送到指定地点。</w:t>
      </w:r>
    </w:p>
    <w:p>
      <w:pPr>
        <w:adjustRightInd w:val="0"/>
        <w:snapToGrid w:val="0"/>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付款方式：采购人在设备验收合格后三个月内付清全款。</w:t>
      </w:r>
    </w:p>
    <w:p>
      <w:pPr>
        <w:adjustRightInd w:val="0"/>
        <w:snapToGrid w:val="0"/>
        <w:spacing w:line="360" w:lineRule="auto"/>
        <w:rPr>
          <w:rFonts w:ascii="宋体" w:hAnsi="宋体" w:eastAsia="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C34D8"/>
    <w:multiLevelType w:val="multilevel"/>
    <w:tmpl w:val="0F3C34D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56706F"/>
    <w:multiLevelType w:val="multilevel"/>
    <w:tmpl w:val="4056706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7A4868D1"/>
    <w:multiLevelType w:val="multilevel"/>
    <w:tmpl w:val="7A4868D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97888"/>
    <w:rsid w:val="001D1C86"/>
    <w:rsid w:val="002E581F"/>
    <w:rsid w:val="00363B91"/>
    <w:rsid w:val="0046659F"/>
    <w:rsid w:val="00532FBD"/>
    <w:rsid w:val="00770CC4"/>
    <w:rsid w:val="00802568"/>
    <w:rsid w:val="0090336E"/>
    <w:rsid w:val="009D50C6"/>
    <w:rsid w:val="00A57632"/>
    <w:rsid w:val="00A70811"/>
    <w:rsid w:val="00A86DF9"/>
    <w:rsid w:val="00B37C72"/>
    <w:rsid w:val="00B43BBE"/>
    <w:rsid w:val="00B75117"/>
    <w:rsid w:val="00C06FAA"/>
    <w:rsid w:val="00C412FB"/>
    <w:rsid w:val="00CA4B0B"/>
    <w:rsid w:val="00E10404"/>
    <w:rsid w:val="0DA9071E"/>
    <w:rsid w:val="11E3705D"/>
    <w:rsid w:val="1B4909F4"/>
    <w:rsid w:val="1D3D22B3"/>
    <w:rsid w:val="1D7E7C3A"/>
    <w:rsid w:val="1E5B61CE"/>
    <w:rsid w:val="22916662"/>
    <w:rsid w:val="2A005C83"/>
    <w:rsid w:val="2A5D609B"/>
    <w:rsid w:val="2DAA4A7C"/>
    <w:rsid w:val="30AB4D93"/>
    <w:rsid w:val="31F43D52"/>
    <w:rsid w:val="34CB5A03"/>
    <w:rsid w:val="35A217D6"/>
    <w:rsid w:val="35AC2778"/>
    <w:rsid w:val="36997E62"/>
    <w:rsid w:val="36FB733D"/>
    <w:rsid w:val="378D05CD"/>
    <w:rsid w:val="3D9C247F"/>
    <w:rsid w:val="3F7B0026"/>
    <w:rsid w:val="42CF1925"/>
    <w:rsid w:val="46C47716"/>
    <w:rsid w:val="49E669E4"/>
    <w:rsid w:val="4A1C2405"/>
    <w:rsid w:val="4B1C090F"/>
    <w:rsid w:val="523D55B0"/>
    <w:rsid w:val="54AD7DFC"/>
    <w:rsid w:val="54AF6F1C"/>
    <w:rsid w:val="57FE4786"/>
    <w:rsid w:val="5AD9461B"/>
    <w:rsid w:val="5B9D56E7"/>
    <w:rsid w:val="5C2754A1"/>
    <w:rsid w:val="60952BC6"/>
    <w:rsid w:val="633640E0"/>
    <w:rsid w:val="634D4D27"/>
    <w:rsid w:val="638E611D"/>
    <w:rsid w:val="6A33611E"/>
    <w:rsid w:val="6BB41483"/>
    <w:rsid w:val="6D1B05CF"/>
    <w:rsid w:val="6D9640F9"/>
    <w:rsid w:val="716623A8"/>
    <w:rsid w:val="7A385A27"/>
    <w:rsid w:val="7C920181"/>
    <w:rsid w:val="7DDA3B8E"/>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NormalCharacter"/>
    <w:autoRedefine/>
    <w:semiHidden/>
    <w:qFormat/>
    <w:uiPriority w:val="0"/>
  </w:style>
  <w:style w:type="paragraph" w:styleId="12">
    <w:name w:val="List Paragraph"/>
    <w:basedOn w:val="1"/>
    <w:qFormat/>
    <w:uiPriority w:val="34"/>
    <w:pPr>
      <w:ind w:firstLine="420" w:firstLineChars="200"/>
    </w:p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7"/>
    <w:link w:val="2"/>
    <w:qFormat/>
    <w:uiPriority w:val="99"/>
  </w:style>
  <w:style w:type="character" w:customStyle="1" w:styleId="15">
    <w:name w:val="批注主题 字符"/>
    <w:basedOn w:val="14"/>
    <w:link w:val="5"/>
    <w:semiHidden/>
    <w:qFormat/>
    <w:uiPriority w:val="99"/>
    <w:rPr>
      <w:b/>
      <w:bCs/>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1234</Words>
  <Characters>1277</Characters>
  <Lines>10</Lines>
  <Paragraphs>2</Paragraphs>
  <TotalTime>12</TotalTime>
  <ScaleCrop>false</ScaleCrop>
  <LinksUpToDate>false</LinksUpToDate>
  <CharactersWithSpaces>1289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瑢子</cp:lastModifiedBy>
  <dcterms:modified xsi:type="dcterms:W3CDTF">2024-06-13T03:11:45Z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D3F650BCF72A4713BF6C2BF70DCAAC52_12</vt:lpwstr>
  </property>
</Properties>
</file>