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E31D0">
      <w:pPr>
        <w:spacing w:line="360" w:lineRule="auto"/>
        <w:jc w:val="center"/>
        <w:rPr>
          <w:rFonts w:ascii="黑体" w:hAnsi="宋体" w:eastAsia="黑体"/>
          <w:b/>
          <w:sz w:val="52"/>
          <w:szCs w:val="52"/>
        </w:rPr>
      </w:pPr>
    </w:p>
    <w:p w14:paraId="12EBED20">
      <w:pPr>
        <w:spacing w:line="360" w:lineRule="auto"/>
        <w:jc w:val="center"/>
        <w:rPr>
          <w:rFonts w:ascii="黑体" w:hAnsi="宋体" w:eastAsia="黑体"/>
          <w:b/>
          <w:sz w:val="52"/>
          <w:szCs w:val="52"/>
        </w:rPr>
      </w:pPr>
    </w:p>
    <w:p w14:paraId="21E17FFB">
      <w:pPr>
        <w:spacing w:line="360" w:lineRule="auto"/>
        <w:jc w:val="center"/>
        <w:rPr>
          <w:rFonts w:ascii="黑体" w:hAnsi="宋体" w:eastAsia="黑体"/>
          <w:b/>
          <w:sz w:val="52"/>
          <w:szCs w:val="52"/>
        </w:rPr>
      </w:pPr>
    </w:p>
    <w:p w14:paraId="154BC6A6">
      <w:pPr>
        <w:spacing w:line="360" w:lineRule="auto"/>
        <w:jc w:val="center"/>
        <w:rPr>
          <w:rFonts w:ascii="黑体" w:hAnsi="宋体" w:eastAsia="黑体"/>
          <w:b/>
          <w:sz w:val="52"/>
          <w:szCs w:val="52"/>
        </w:rPr>
      </w:pPr>
      <w:r>
        <w:rPr>
          <w:rFonts w:hint="eastAsia" w:ascii="黑体" w:hAnsi="宋体" w:eastAsia="黑体"/>
          <w:b/>
          <w:sz w:val="52"/>
          <w:szCs w:val="52"/>
        </w:rPr>
        <w:t>比 价 文 件</w:t>
      </w:r>
    </w:p>
    <w:p w14:paraId="7633741B">
      <w:pPr>
        <w:spacing w:line="360" w:lineRule="auto"/>
        <w:ind w:firstLine="960" w:firstLineChars="300"/>
        <w:rPr>
          <w:rFonts w:ascii="黑体" w:hAnsi="宋体" w:eastAsia="黑体"/>
          <w:kern w:val="0"/>
          <w:sz w:val="32"/>
        </w:rPr>
      </w:pPr>
    </w:p>
    <w:p w14:paraId="7DBA3964">
      <w:pPr>
        <w:spacing w:line="360" w:lineRule="auto"/>
        <w:ind w:firstLine="960" w:firstLineChars="300"/>
        <w:rPr>
          <w:rFonts w:ascii="黑体" w:hAnsi="宋体" w:eastAsia="黑体"/>
          <w:kern w:val="0"/>
          <w:sz w:val="32"/>
        </w:rPr>
      </w:pPr>
    </w:p>
    <w:p w14:paraId="6C2BC1DE">
      <w:pPr>
        <w:spacing w:line="360" w:lineRule="auto"/>
        <w:ind w:firstLine="960" w:firstLineChars="300"/>
        <w:rPr>
          <w:rFonts w:ascii="黑体" w:hAnsi="宋体" w:eastAsia="黑体"/>
          <w:kern w:val="0"/>
          <w:sz w:val="32"/>
        </w:rPr>
      </w:pPr>
    </w:p>
    <w:p w14:paraId="6416D69F">
      <w:pPr>
        <w:spacing w:line="360" w:lineRule="auto"/>
        <w:ind w:firstLine="960" w:firstLineChars="300"/>
        <w:rPr>
          <w:rFonts w:ascii="黑体" w:hAnsi="宋体" w:eastAsia="黑体"/>
          <w:kern w:val="0"/>
          <w:sz w:val="32"/>
        </w:rPr>
      </w:pPr>
    </w:p>
    <w:p w14:paraId="5BDEBA1B">
      <w:pPr>
        <w:tabs>
          <w:tab w:val="left" w:pos="1470"/>
          <w:tab w:val="center" w:pos="4677"/>
        </w:tabs>
        <w:spacing w:line="360" w:lineRule="auto"/>
        <w:ind w:firstLine="2530" w:firstLineChars="700"/>
        <w:rPr>
          <w:rFonts w:ascii="黑体" w:hAnsi="宋体" w:eastAsia="黑体"/>
          <w:b/>
          <w:sz w:val="36"/>
          <w:szCs w:val="36"/>
          <w:u w:val="single"/>
        </w:rPr>
      </w:pPr>
      <w:r>
        <w:rPr>
          <w:rFonts w:hint="eastAsia" w:ascii="黑体" w:hAnsi="宋体" w:eastAsia="黑体"/>
          <w:b/>
          <w:sz w:val="36"/>
          <w:szCs w:val="36"/>
        </w:rPr>
        <w:t>项目编号：</w:t>
      </w:r>
      <w:r>
        <w:rPr>
          <w:rFonts w:hint="eastAsia" w:ascii="黑体" w:hAnsi="宋体" w:eastAsia="黑体"/>
          <w:b/>
          <w:sz w:val="36"/>
          <w:szCs w:val="36"/>
          <w:u w:val="single"/>
        </w:rPr>
        <w:t>BJGC2</w:t>
      </w:r>
      <w:r>
        <w:rPr>
          <w:rFonts w:ascii="黑体" w:hAnsi="宋体" w:eastAsia="黑体"/>
          <w:b/>
          <w:sz w:val="36"/>
          <w:szCs w:val="36"/>
          <w:u w:val="single"/>
        </w:rPr>
        <w:t>4</w:t>
      </w:r>
      <w:r>
        <w:rPr>
          <w:rFonts w:hint="eastAsia" w:ascii="黑体" w:hAnsi="宋体" w:eastAsia="黑体"/>
          <w:b/>
          <w:sz w:val="36"/>
          <w:szCs w:val="36"/>
          <w:u w:val="single"/>
        </w:rPr>
        <w:t>267</w:t>
      </w:r>
    </w:p>
    <w:p w14:paraId="53327BFC">
      <w:pPr>
        <w:tabs>
          <w:tab w:val="left" w:pos="1470"/>
          <w:tab w:val="center" w:pos="4677"/>
        </w:tabs>
        <w:spacing w:line="360" w:lineRule="auto"/>
        <w:ind w:left="3975" w:hanging="3975" w:hangingChars="1100"/>
        <w:jc w:val="left"/>
        <w:rPr>
          <w:rFonts w:ascii="黑体" w:hAnsi="宋体" w:eastAsia="黑体"/>
          <w:b/>
          <w:sz w:val="36"/>
          <w:szCs w:val="36"/>
          <w:u w:val="single"/>
        </w:rPr>
      </w:pPr>
      <w:r>
        <w:rPr>
          <w:rFonts w:hint="eastAsia" w:ascii="黑体" w:hAnsi="宋体" w:eastAsia="黑体"/>
          <w:b/>
          <w:sz w:val="36"/>
          <w:szCs w:val="36"/>
        </w:rPr>
        <w:t xml:space="preserve">              项目名称：</w:t>
      </w:r>
      <w:r>
        <w:rPr>
          <w:rFonts w:hint="eastAsia" w:ascii="黑体" w:hAnsi="宋体" w:eastAsia="黑体"/>
          <w:b/>
          <w:sz w:val="36"/>
          <w:szCs w:val="36"/>
          <w:u w:val="single"/>
        </w:rPr>
        <w:t>成人门诊综合楼生殖医学中心                  （IVF）装饰装修项目工程施工监理</w:t>
      </w:r>
    </w:p>
    <w:p w14:paraId="1B4929EF">
      <w:pPr>
        <w:spacing w:line="360" w:lineRule="auto"/>
        <w:jc w:val="left"/>
        <w:rPr>
          <w:rFonts w:ascii="黑体" w:hAnsi="宋体" w:eastAsia="黑体"/>
          <w:b/>
          <w:sz w:val="36"/>
          <w:szCs w:val="36"/>
        </w:rPr>
      </w:pPr>
    </w:p>
    <w:p w14:paraId="5D4CFA3E">
      <w:pPr>
        <w:spacing w:line="360" w:lineRule="auto"/>
        <w:ind w:firstLine="843" w:firstLineChars="300"/>
        <w:rPr>
          <w:rFonts w:ascii="黑体" w:hAnsi="宋体" w:eastAsia="黑体" w:cs="宋体"/>
          <w:b/>
          <w:sz w:val="28"/>
          <w:szCs w:val="28"/>
        </w:rPr>
      </w:pPr>
      <w:r>
        <w:rPr>
          <w:rFonts w:hint="eastAsia" w:ascii="黑体" w:hAnsi="宋体" w:eastAsia="黑体" w:cs="宋体"/>
          <w:b/>
          <w:sz w:val="28"/>
          <w:szCs w:val="28"/>
        </w:rPr>
        <w:t xml:space="preserve"> </w:t>
      </w:r>
    </w:p>
    <w:p w14:paraId="29D5783A">
      <w:pPr>
        <w:spacing w:line="360" w:lineRule="auto"/>
        <w:rPr>
          <w:rFonts w:ascii="黑体" w:hAnsi="宋体" w:eastAsia="黑体" w:cs="宋体"/>
          <w:b/>
          <w:sz w:val="28"/>
          <w:szCs w:val="28"/>
        </w:rPr>
      </w:pPr>
    </w:p>
    <w:p w14:paraId="4C3BB142">
      <w:pPr>
        <w:spacing w:line="360" w:lineRule="auto"/>
        <w:rPr>
          <w:rFonts w:ascii="黑体" w:hAnsi="宋体" w:eastAsia="黑体"/>
          <w:b/>
          <w:kern w:val="0"/>
          <w:sz w:val="32"/>
        </w:rPr>
      </w:pPr>
    </w:p>
    <w:p w14:paraId="2DE52D1B">
      <w:pPr>
        <w:spacing w:line="360" w:lineRule="auto"/>
        <w:jc w:val="center"/>
        <w:rPr>
          <w:rFonts w:ascii="黑体" w:hAnsi="宋体" w:eastAsia="黑体"/>
          <w:b/>
          <w:kern w:val="0"/>
          <w:sz w:val="32"/>
        </w:rPr>
      </w:pPr>
    </w:p>
    <w:p w14:paraId="35996E37">
      <w:pPr>
        <w:spacing w:line="360" w:lineRule="auto"/>
        <w:jc w:val="center"/>
        <w:rPr>
          <w:rFonts w:ascii="黑体" w:hAnsi="宋体" w:eastAsia="黑体"/>
          <w:b/>
          <w:kern w:val="0"/>
          <w:sz w:val="32"/>
        </w:rPr>
      </w:pPr>
      <w:r>
        <w:rPr>
          <w:rFonts w:hint="eastAsia" w:ascii="黑体" w:hAnsi="宋体" w:eastAsia="黑体"/>
          <w:b/>
          <w:kern w:val="0"/>
          <w:sz w:val="32"/>
        </w:rPr>
        <w:t>采购方：新华医院采购与招标管理中心</w:t>
      </w:r>
    </w:p>
    <w:p w14:paraId="32D7813A">
      <w:pPr>
        <w:spacing w:line="360" w:lineRule="auto"/>
        <w:jc w:val="center"/>
        <w:rPr>
          <w:rFonts w:ascii="黑体" w:hAnsi="宋体" w:eastAsia="黑体"/>
          <w:b/>
          <w:kern w:val="0"/>
          <w:sz w:val="32"/>
        </w:rPr>
      </w:pPr>
    </w:p>
    <w:p w14:paraId="64568C46">
      <w:pPr>
        <w:spacing w:line="360" w:lineRule="auto"/>
        <w:jc w:val="center"/>
        <w:rPr>
          <w:rFonts w:ascii="黑体" w:hAnsi="宋体" w:eastAsia="黑体"/>
          <w:b/>
          <w:kern w:val="0"/>
          <w:sz w:val="30"/>
          <w:szCs w:val="30"/>
        </w:rPr>
      </w:pPr>
    </w:p>
    <w:p w14:paraId="0DF4E251">
      <w:pPr>
        <w:jc w:val="center"/>
        <w:rPr>
          <w:rFonts w:ascii="宋体" w:hAnsi="宋体"/>
          <w:b/>
          <w:sz w:val="32"/>
        </w:rPr>
      </w:pPr>
      <w:r>
        <w:rPr>
          <w:rFonts w:hint="eastAsia" w:ascii="黑体" w:hAnsi="宋体" w:eastAsia="黑体"/>
          <w:sz w:val="30"/>
        </w:rPr>
        <w:t>二〇二四年七月</w:t>
      </w:r>
    </w:p>
    <w:p w14:paraId="753E253F">
      <w:pPr>
        <w:spacing w:line="360" w:lineRule="auto"/>
        <w:jc w:val="center"/>
        <w:rPr>
          <w:rFonts w:ascii="宋体" w:hAnsi="宋体"/>
          <w:b/>
          <w:sz w:val="24"/>
        </w:rPr>
        <w:sectPr>
          <w:headerReference r:id="rId3" w:type="default"/>
          <w:footerReference r:id="rId4" w:type="default"/>
          <w:pgSz w:w="11906" w:h="16838"/>
          <w:pgMar w:top="1418" w:right="1134" w:bottom="1134" w:left="1134" w:header="851" w:footer="992" w:gutter="0"/>
          <w:cols w:space="720" w:num="1"/>
          <w:docGrid w:type="lines" w:linePitch="312" w:charSpace="0"/>
        </w:sectPr>
      </w:pPr>
    </w:p>
    <w:p w14:paraId="25BAC0F5">
      <w:pPr>
        <w:spacing w:line="360" w:lineRule="auto"/>
        <w:jc w:val="center"/>
        <w:rPr>
          <w:rFonts w:ascii="宋体" w:hAnsi="宋体"/>
          <w:sz w:val="24"/>
        </w:rPr>
      </w:pPr>
      <w:r>
        <w:rPr>
          <w:rFonts w:hint="eastAsia" w:ascii="宋体" w:hAnsi="宋体"/>
          <w:b/>
          <w:sz w:val="24"/>
        </w:rPr>
        <w:t xml:space="preserve">                    </w:t>
      </w:r>
      <w:r>
        <w:rPr>
          <w:rFonts w:hint="eastAsia" w:ascii="宋体" w:hAnsi="宋体"/>
          <w:sz w:val="24"/>
        </w:rPr>
        <w:t xml:space="preserve">                                                                           </w:t>
      </w:r>
    </w:p>
    <w:p w14:paraId="4679C65C">
      <w:pPr>
        <w:spacing w:line="360" w:lineRule="auto"/>
        <w:ind w:firstLine="480" w:firstLineChars="200"/>
        <w:rPr>
          <w:rFonts w:ascii="宋体" w:hAnsi="宋体"/>
          <w:sz w:val="24"/>
        </w:rPr>
      </w:pPr>
      <w:r>
        <w:rPr>
          <w:rFonts w:hint="eastAsia" w:ascii="宋体" w:hAnsi="宋体"/>
          <w:sz w:val="24"/>
        </w:rPr>
        <w:t>新华医院采购与招标管理中心现就</w:t>
      </w:r>
      <w:r>
        <w:rPr>
          <w:rFonts w:hint="eastAsia" w:ascii="宋体" w:hAnsi="宋体"/>
          <w:sz w:val="24"/>
          <w:u w:val="single"/>
        </w:rPr>
        <w:t>成人门诊综合楼生殖医学中心（IVF）装饰装修项目工程施工监理</w:t>
      </w:r>
      <w:r>
        <w:rPr>
          <w:rFonts w:hint="eastAsia" w:ascii="宋体" w:hAnsi="宋体"/>
          <w:sz w:val="24"/>
        </w:rPr>
        <w:t>（项目编号：BJGC24267）进行采购，按照相关规定，本次采购的项目采用比价方式组织实施，现邀请贵单位前来报价。采购需求如下：</w:t>
      </w:r>
    </w:p>
    <w:p w14:paraId="3DA82FF4">
      <w:pPr>
        <w:spacing w:line="360" w:lineRule="auto"/>
        <w:ind w:firstLine="480" w:firstLineChars="200"/>
        <w:rPr>
          <w:rFonts w:ascii="宋体" w:hAnsi="宋体"/>
          <w:sz w:val="24"/>
        </w:rPr>
      </w:pPr>
    </w:p>
    <w:p w14:paraId="54F2158D">
      <w:pPr>
        <w:pStyle w:val="19"/>
        <w:spacing w:afterLines="0" w:line="360" w:lineRule="auto"/>
        <w:ind w:firstLine="482"/>
        <w:rPr>
          <w:rFonts w:ascii="宋体" w:hAnsi="宋体"/>
          <w:b/>
          <w:bCs/>
          <w:sz w:val="24"/>
          <w:szCs w:val="24"/>
          <w:lang w:eastAsia="zh-CN"/>
        </w:rPr>
      </w:pPr>
      <w:r>
        <w:rPr>
          <w:rFonts w:hint="eastAsia" w:ascii="宋体" w:hAnsi="宋体"/>
          <w:b/>
          <w:bCs/>
          <w:sz w:val="24"/>
          <w:szCs w:val="24"/>
          <w:lang w:eastAsia="zh-CN"/>
        </w:rPr>
        <w:t>一、工程概况</w:t>
      </w:r>
    </w:p>
    <w:p w14:paraId="22BB8120">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1、工程名称：成人门诊综合楼生殖医学中心（IVF）装饰装修项目工程施工监理</w:t>
      </w:r>
    </w:p>
    <w:p w14:paraId="705D49B7">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2、工程地点：上海交通大学医学院附属新华医院（控江路1665号）</w:t>
      </w:r>
    </w:p>
    <w:p w14:paraId="01DF311F">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3、项目主要信息表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7"/>
        <w:gridCol w:w="2612"/>
        <w:gridCol w:w="3003"/>
      </w:tblGrid>
      <w:tr w14:paraId="68C1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2" w:type="pct"/>
            <w:vAlign w:val="center"/>
          </w:tcPr>
          <w:p w14:paraId="079BD681">
            <w:pPr>
              <w:widowControl/>
              <w:ind w:firstLine="1200" w:firstLineChars="500"/>
              <w:rPr>
                <w:rFonts w:ascii="宋体" w:hAnsi="宋体"/>
                <w:kern w:val="0"/>
                <w:sz w:val="24"/>
              </w:rPr>
            </w:pPr>
            <w:r>
              <w:rPr>
                <w:rFonts w:hint="eastAsia" w:ascii="宋体" w:hAnsi="宋体"/>
                <w:kern w:val="0"/>
                <w:sz w:val="24"/>
              </w:rPr>
              <w:t>项目名称</w:t>
            </w:r>
          </w:p>
        </w:tc>
        <w:tc>
          <w:tcPr>
            <w:tcW w:w="1311" w:type="pct"/>
            <w:vAlign w:val="center"/>
          </w:tcPr>
          <w:p w14:paraId="095E5A3A">
            <w:pPr>
              <w:widowControl/>
              <w:ind w:firstLine="480" w:firstLineChars="200"/>
              <w:rPr>
                <w:rFonts w:ascii="宋体" w:hAnsi="宋体"/>
                <w:kern w:val="0"/>
                <w:sz w:val="24"/>
              </w:rPr>
            </w:pPr>
            <w:r>
              <w:rPr>
                <w:rFonts w:hint="eastAsia" w:ascii="宋体" w:hAnsi="宋体"/>
                <w:kern w:val="0"/>
                <w:sz w:val="24"/>
              </w:rPr>
              <w:t>预算金额（万元）</w:t>
            </w:r>
          </w:p>
        </w:tc>
        <w:tc>
          <w:tcPr>
            <w:tcW w:w="1507" w:type="pct"/>
            <w:vAlign w:val="center"/>
          </w:tcPr>
          <w:p w14:paraId="1F187CBD">
            <w:pPr>
              <w:widowControl/>
              <w:ind w:firstLine="560"/>
              <w:rPr>
                <w:rFonts w:ascii="宋体" w:hAnsi="宋体"/>
                <w:kern w:val="0"/>
                <w:sz w:val="24"/>
              </w:rPr>
            </w:pPr>
            <w:r>
              <w:rPr>
                <w:rFonts w:hint="eastAsia" w:ascii="宋体" w:hAnsi="宋体"/>
                <w:kern w:val="0"/>
                <w:sz w:val="24"/>
              </w:rPr>
              <w:t>计划开竣工日期</w:t>
            </w:r>
          </w:p>
        </w:tc>
      </w:tr>
      <w:tr w14:paraId="4DF6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2" w:type="pct"/>
            <w:vAlign w:val="center"/>
          </w:tcPr>
          <w:p w14:paraId="0C12BF09">
            <w:pPr>
              <w:widowControl/>
              <w:rPr>
                <w:rFonts w:ascii="宋体" w:hAnsi="宋体"/>
                <w:kern w:val="0"/>
                <w:sz w:val="24"/>
              </w:rPr>
            </w:pPr>
            <w:r>
              <w:rPr>
                <w:rFonts w:hint="eastAsia" w:ascii="宋体" w:hAnsi="宋体"/>
                <w:bCs/>
                <w:sz w:val="24"/>
              </w:rPr>
              <w:t>成人门诊综合楼生殖医学中心（IVF）装饰装修项目工程施工监理</w:t>
            </w:r>
          </w:p>
        </w:tc>
        <w:tc>
          <w:tcPr>
            <w:tcW w:w="1311" w:type="pct"/>
            <w:vAlign w:val="center"/>
          </w:tcPr>
          <w:p w14:paraId="70F20E5E">
            <w:pPr>
              <w:widowControl/>
              <w:ind w:firstLine="240" w:firstLineChars="100"/>
              <w:jc w:val="center"/>
              <w:rPr>
                <w:rFonts w:ascii="宋体" w:hAnsi="宋体"/>
                <w:kern w:val="0"/>
                <w:sz w:val="24"/>
              </w:rPr>
            </w:pPr>
            <w:r>
              <w:rPr>
                <w:rFonts w:hint="eastAsia" w:ascii="宋体" w:hAnsi="宋体"/>
                <w:kern w:val="0"/>
                <w:sz w:val="24"/>
              </w:rPr>
              <w:t>6.42</w:t>
            </w:r>
          </w:p>
        </w:tc>
        <w:tc>
          <w:tcPr>
            <w:tcW w:w="1507" w:type="pct"/>
          </w:tcPr>
          <w:p w14:paraId="61385C3A">
            <w:pPr>
              <w:widowControl/>
              <w:spacing w:line="480" w:lineRule="auto"/>
              <w:jc w:val="center"/>
              <w:rPr>
                <w:rFonts w:ascii="宋体" w:hAnsi="宋体"/>
                <w:kern w:val="0"/>
                <w:sz w:val="24"/>
              </w:rPr>
            </w:pPr>
            <w:r>
              <w:rPr>
                <w:rFonts w:hint="eastAsia" w:ascii="宋体" w:hAnsi="宋体"/>
                <w:kern w:val="0"/>
                <w:sz w:val="24"/>
              </w:rPr>
              <w:t>2024.7.15-2024.10</w:t>
            </w:r>
            <w:r>
              <w:rPr>
                <w:rFonts w:ascii="宋体" w:hAnsi="宋体"/>
                <w:kern w:val="0"/>
                <w:sz w:val="24"/>
              </w:rPr>
              <w:t>.</w:t>
            </w:r>
            <w:r>
              <w:rPr>
                <w:rFonts w:hint="eastAsia" w:ascii="宋体" w:hAnsi="宋体"/>
                <w:kern w:val="0"/>
                <w:sz w:val="24"/>
              </w:rPr>
              <w:t>25</w:t>
            </w:r>
          </w:p>
        </w:tc>
      </w:tr>
    </w:tbl>
    <w:p w14:paraId="3FED9024">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注：具体开竣工时间以委托人要求为准。</w:t>
      </w:r>
    </w:p>
    <w:p w14:paraId="68BC06EC">
      <w:pPr>
        <w:pStyle w:val="19"/>
        <w:spacing w:afterLines="0" w:line="360" w:lineRule="auto"/>
        <w:ind w:firstLine="480"/>
        <w:rPr>
          <w:rFonts w:ascii="宋体" w:hAnsi="宋体"/>
          <w:bCs/>
          <w:sz w:val="24"/>
          <w:szCs w:val="24"/>
          <w:lang w:eastAsia="zh-CN"/>
        </w:rPr>
      </w:pPr>
      <w:r>
        <w:rPr>
          <w:rFonts w:ascii="宋体" w:hAnsi="宋体"/>
          <w:bCs/>
          <w:sz w:val="24"/>
          <w:szCs w:val="24"/>
          <w:lang w:eastAsia="zh-CN"/>
        </w:rPr>
        <w:t>4</w:t>
      </w:r>
      <w:r>
        <w:rPr>
          <w:rFonts w:hint="eastAsia" w:ascii="宋体" w:hAnsi="宋体"/>
          <w:bCs/>
          <w:sz w:val="24"/>
          <w:szCs w:val="24"/>
          <w:lang w:eastAsia="zh-CN"/>
        </w:rPr>
        <w:t>、本次比价最高限价：</w:t>
      </w:r>
      <w:r>
        <w:rPr>
          <w:rFonts w:hint="eastAsia" w:ascii="宋体" w:hAnsi="宋体"/>
          <w:bCs/>
          <w:sz w:val="24"/>
          <w:u w:val="single"/>
          <w:lang w:eastAsia="zh-CN"/>
        </w:rPr>
        <w:t>6.42</w:t>
      </w:r>
      <w:r>
        <w:rPr>
          <w:rFonts w:hint="eastAsia" w:ascii="宋体" w:hAnsi="宋体"/>
          <w:bCs/>
          <w:sz w:val="24"/>
          <w:szCs w:val="24"/>
          <w:u w:val="single"/>
          <w:lang w:eastAsia="zh-CN"/>
        </w:rPr>
        <w:t>万元</w:t>
      </w:r>
    </w:p>
    <w:p w14:paraId="55BEA73A">
      <w:pPr>
        <w:pStyle w:val="19"/>
        <w:spacing w:afterLines="0" w:line="360" w:lineRule="auto"/>
        <w:ind w:firstLine="480"/>
        <w:rPr>
          <w:rFonts w:ascii="宋体" w:hAnsi="宋体"/>
          <w:bCs/>
          <w:sz w:val="24"/>
          <w:szCs w:val="24"/>
          <w:lang w:eastAsia="zh-CN"/>
        </w:rPr>
      </w:pPr>
      <w:r>
        <w:rPr>
          <w:rFonts w:ascii="宋体" w:hAnsi="宋体"/>
          <w:bCs/>
          <w:sz w:val="24"/>
          <w:szCs w:val="24"/>
          <w:lang w:eastAsia="zh-CN"/>
        </w:rPr>
        <w:t>5</w:t>
      </w:r>
      <w:r>
        <w:rPr>
          <w:rFonts w:hint="eastAsia" w:ascii="宋体" w:hAnsi="宋体"/>
          <w:bCs/>
          <w:sz w:val="24"/>
          <w:szCs w:val="24"/>
          <w:lang w:eastAsia="zh-CN"/>
        </w:rPr>
        <w:t>、资金来源：自筹</w:t>
      </w:r>
    </w:p>
    <w:p w14:paraId="0A5986D9">
      <w:pPr>
        <w:pStyle w:val="19"/>
        <w:spacing w:afterLines="0" w:line="360" w:lineRule="auto"/>
        <w:ind w:firstLine="480"/>
        <w:rPr>
          <w:rFonts w:ascii="宋体" w:hAnsi="宋体"/>
          <w:bCs/>
          <w:sz w:val="24"/>
          <w:szCs w:val="24"/>
          <w:lang w:eastAsia="zh-CN"/>
        </w:rPr>
      </w:pPr>
    </w:p>
    <w:p w14:paraId="72FBC5DE">
      <w:pPr>
        <w:pStyle w:val="19"/>
        <w:spacing w:afterLines="0" w:line="360" w:lineRule="auto"/>
        <w:ind w:firstLine="482"/>
        <w:rPr>
          <w:rFonts w:ascii="宋体" w:hAnsi="宋体"/>
          <w:b/>
          <w:bCs/>
          <w:sz w:val="24"/>
          <w:szCs w:val="24"/>
          <w:lang w:eastAsia="zh-CN"/>
        </w:rPr>
      </w:pPr>
      <w:r>
        <w:rPr>
          <w:rFonts w:hint="eastAsia" w:ascii="宋体" w:hAnsi="宋体"/>
          <w:b/>
          <w:bCs/>
          <w:sz w:val="24"/>
          <w:szCs w:val="24"/>
          <w:lang w:eastAsia="zh-CN"/>
        </w:rPr>
        <w:t>二、工作内容</w:t>
      </w:r>
    </w:p>
    <w:p w14:paraId="70EDC677">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1.委托人负责的工作</w:t>
      </w:r>
    </w:p>
    <w:p w14:paraId="345A3663">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1.1委托人在监理人开展监理业务之前应按监理委托合同规定向监理人支付预付款。</w:t>
      </w:r>
    </w:p>
    <w:p w14:paraId="12B955C4">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1.2 委托人应当负责工程建设的所有外部关系的协调，为监理工作提供外部条件。根据需要，如将部分或全部协调工作委托监理人承担，则应在专用条件中明确委托的工作和相应的报酬。</w:t>
      </w:r>
    </w:p>
    <w:p w14:paraId="5EEA26D1">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1.3委托人应当在约定的时间内免费向监理人提供与工程有关的为监理机构所需要的工程资料。</w:t>
      </w:r>
    </w:p>
    <w:p w14:paraId="5627A660">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1.4 委托人应当在专用条款约定的时间内向监理人书面提交并要求作出决定的一切事宜作出书面决定。委托人应当授权一名熟悉本工程情况、能迅速作出决定的常驻代表（在专用条款约定），负责与监理人联系。更换常驻代表，要提前通知监理人。</w:t>
      </w:r>
    </w:p>
    <w:p w14:paraId="570DD7BA">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2.监理人应负责的工作</w:t>
      </w:r>
    </w:p>
    <w:p w14:paraId="0AB6FF02">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2.1监理人按合同约定派出监理工作需要的监理机构及监理人员，向委托人报送委派的总监理工程师及其监理机构主要成员名单、监理规划，完成监理合同专用条件中约定的监理工程范围内的监理业务，同时，履行投标承诺中相关事项。</w:t>
      </w:r>
    </w:p>
    <w:p w14:paraId="32EBF72D">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2.2监理人在履行本合同的义务期间，应认真、勤奋地工作，为委托人提供与其水平相适应的咨询意见，公正维护各方的合法权益。</w:t>
      </w:r>
    </w:p>
    <w:p w14:paraId="6ABF8238">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2.3监理人应配备靠尺、卷尺、水准仪等日常检测设备，使用委托人提供的设施和物品属于委托人的财产。在监理工作完成或中止时，应将其设施和剩余的物品按合同约定的时间和方式移交给委托人。</w:t>
      </w:r>
    </w:p>
    <w:p w14:paraId="5A140016">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2.4 在合同期内或合同终止后，未征得有关方同意，不得泄露与本工程、本合同业务有关的保密资料。</w:t>
      </w:r>
      <w:bookmarkStart w:id="0" w:name="_Toc492629634"/>
      <w:bookmarkStart w:id="1" w:name="_Toc22333"/>
    </w:p>
    <w:p w14:paraId="27913654">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2.5质量控制</w:t>
      </w:r>
      <w:bookmarkEnd w:id="0"/>
      <w:bookmarkEnd w:id="1"/>
    </w:p>
    <w:p w14:paraId="07C62608">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1）熟悉施工图，参加设计交底会议，提出相关建议或意见；</w:t>
      </w:r>
    </w:p>
    <w:p w14:paraId="7CA4B966">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2）审查和批准施工组织设计，核实并签发施工必须遵循的设计要求、采用的技术标准、技术规程规范等质量文件；</w:t>
      </w:r>
    </w:p>
    <w:p w14:paraId="01162096">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3）检查施工许可等手续的办理情况，向委托人提交检查报告；</w:t>
      </w:r>
    </w:p>
    <w:p w14:paraId="3748F891">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4）审查工程开工条件，检查施工前的各项准备工作</w:t>
      </w:r>
    </w:p>
    <w:p w14:paraId="49E85AB5">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5）复核和审查承包人、分包人以及材料、设备、构配件等供应单位的资格及发包手续、备案情况等；</w:t>
      </w:r>
    </w:p>
    <w:p w14:paraId="4927B671">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6)审批工程项目单位工程、分部分项工程和检验批的划分，并依据监理规划分析、调整和确定质量控制重点、质量控制工作流程和监理措施，制定质量控制的各项实施细则、规定及其他管理制度；</w:t>
      </w:r>
    </w:p>
    <w:p w14:paraId="791FC854">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检查督促承包人建立健全适合于本工程的质量管理体系，并能切实发挥作用，督促承包人进行全面质量管理工作；</w:t>
      </w:r>
    </w:p>
    <w:p w14:paraId="2739F1BB">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协助委托人移交与项目施工有关的测量控制网点；审查承包人提交的测量实施报告，并依据监理规范要求检查和复合有关测量成果；</w:t>
      </w:r>
    </w:p>
    <w:p w14:paraId="4718B5F4">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审查承包人自建的试验室或委托试验的试验室；审查批准承包人按合同规定进行的材料、工艺试验及确定各项施工参数的试验；</w:t>
      </w:r>
    </w:p>
    <w:p w14:paraId="39C9AFC9">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审查进场工程材料的质量证明文件及施工承包人按有关规定进行的试验检测结果。必要时，监理人可按合同约定进行一定数量的抽样检测试验；</w:t>
      </w:r>
    </w:p>
    <w:p w14:paraId="57CEC782">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施工质量进行全过程的监督管理，在加强现场管理工作的前提下对重要部位和关键工序应采取旁站监理；对施工质量情况及时作好记录和统计工作，对发现质量问题的施工现场及时进行拍照或录相；</w:t>
      </w:r>
    </w:p>
    <w:p w14:paraId="2F4066CE">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组织或参与质量事故的调查，审批事故处理方案，并监督质量事故的处理；</w:t>
      </w:r>
    </w:p>
    <w:p w14:paraId="718F6569">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组织并主持定期或不定期的质量检查会和分析会，分析、通报施工质量情况，协调有关单位间的施工活动以消除影响质量的各种外部干扰因素；</w:t>
      </w:r>
    </w:p>
    <w:p w14:paraId="10A259B1">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对工程项目的检验批、分部分项工程、单位工程等及时进行施工质量验收和质量评定工作；</w:t>
      </w:r>
    </w:p>
    <w:p w14:paraId="4EC7B708">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审查竣工资料，协助委托人组织竣工预验收；</w:t>
      </w:r>
    </w:p>
    <w:p w14:paraId="65193F18">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参与委托人组织的竣工验收，提交质量评估报告。</w:t>
      </w:r>
    </w:p>
    <w:p w14:paraId="0576B980">
      <w:pPr>
        <w:pStyle w:val="19"/>
        <w:spacing w:afterLines="0" w:line="360" w:lineRule="auto"/>
        <w:ind w:firstLine="480"/>
        <w:rPr>
          <w:rFonts w:ascii="宋体" w:hAnsi="宋体"/>
          <w:bCs/>
          <w:sz w:val="24"/>
          <w:szCs w:val="24"/>
          <w:lang w:eastAsia="zh-CN"/>
        </w:rPr>
      </w:pPr>
      <w:bookmarkStart w:id="2" w:name="_Toc11000"/>
      <w:bookmarkStart w:id="3" w:name="_Toc492629635"/>
      <w:r>
        <w:rPr>
          <w:rFonts w:hint="eastAsia" w:ascii="宋体" w:hAnsi="宋体"/>
          <w:bCs/>
          <w:sz w:val="24"/>
          <w:szCs w:val="24"/>
          <w:lang w:eastAsia="zh-CN"/>
        </w:rPr>
        <w:t>2.6进度控制</w:t>
      </w:r>
      <w:bookmarkEnd w:id="2"/>
      <w:bookmarkEnd w:id="3"/>
    </w:p>
    <w:p w14:paraId="0F2800B2">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熟悉招标文件和合同文件中有关进度的条款；</w:t>
      </w:r>
    </w:p>
    <w:p w14:paraId="5F3C4987">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审核、分析施工总承包单位及各专业分包单位、设备供应商的进度计划；</w:t>
      </w:r>
    </w:p>
    <w:p w14:paraId="54151469">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审核施工总进度计划，并在项目施工过程中控制其执行，必要时，监理及时提出施工总进度调整建议；</w:t>
      </w:r>
    </w:p>
    <w:p w14:paraId="4F446A56">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审核项目施工各阶段、年、季、月度的进度计划，并控制其执行，必要时作调整建议；</w:t>
      </w:r>
    </w:p>
    <w:p w14:paraId="5A60DE81">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在项目实施过程中，必要时采用计算机辅助进行进度计划值与实际值的比较，每月、季、年提交各种进度控制报告。</w:t>
      </w:r>
    </w:p>
    <w:p w14:paraId="4477A3A0">
      <w:pPr>
        <w:pStyle w:val="19"/>
        <w:spacing w:afterLines="0" w:line="360" w:lineRule="auto"/>
        <w:ind w:firstLine="480"/>
        <w:rPr>
          <w:rFonts w:ascii="宋体" w:hAnsi="宋体"/>
          <w:bCs/>
          <w:sz w:val="24"/>
          <w:szCs w:val="24"/>
          <w:lang w:eastAsia="zh-CN"/>
        </w:rPr>
      </w:pPr>
      <w:bookmarkStart w:id="4" w:name="_Toc29395"/>
      <w:bookmarkStart w:id="5" w:name="_Toc492629636"/>
      <w:r>
        <w:rPr>
          <w:rFonts w:hint="eastAsia" w:ascii="宋体" w:hAnsi="宋体"/>
          <w:bCs/>
          <w:sz w:val="24"/>
          <w:szCs w:val="24"/>
          <w:lang w:eastAsia="zh-CN"/>
        </w:rPr>
        <w:t>2.7造价控制</w:t>
      </w:r>
      <w:bookmarkEnd w:id="4"/>
      <w:bookmarkEnd w:id="5"/>
    </w:p>
    <w:p w14:paraId="4E574E58">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对工程实际进展情况作好完善的记录和必要的签证；</w:t>
      </w:r>
    </w:p>
    <w:p w14:paraId="02C9B145">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对工程的修改、变更以及返工等情况作好完善的记录和必要的签证；</w:t>
      </w:r>
    </w:p>
    <w:p w14:paraId="52AEB9C6">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对与工程有关的措施等作好完善的记录和必要的签证；</w:t>
      </w:r>
    </w:p>
    <w:p w14:paraId="753DEF3C">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每月进行投资计划值与实际值的比较，并提供相应报表；</w:t>
      </w:r>
    </w:p>
    <w:p w14:paraId="5AC2A5E1">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参与工程付款审核；</w:t>
      </w:r>
    </w:p>
    <w:p w14:paraId="644801A4">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参与审核其他付款申请单；</w:t>
      </w:r>
    </w:p>
    <w:p w14:paraId="0D751603">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参与审核及处理各项施工索赔中与资金有关的事宜。</w:t>
      </w:r>
    </w:p>
    <w:p w14:paraId="228A35DC">
      <w:pPr>
        <w:pStyle w:val="19"/>
        <w:spacing w:afterLines="0" w:line="360" w:lineRule="auto"/>
        <w:ind w:firstLine="480"/>
        <w:rPr>
          <w:rFonts w:ascii="宋体" w:hAnsi="宋体"/>
          <w:bCs/>
          <w:sz w:val="24"/>
          <w:szCs w:val="24"/>
          <w:lang w:eastAsia="zh-CN"/>
        </w:rPr>
      </w:pPr>
      <w:bookmarkStart w:id="6" w:name="_Toc492629637"/>
      <w:bookmarkStart w:id="7" w:name="_Toc8531"/>
      <w:r>
        <w:rPr>
          <w:rFonts w:hint="eastAsia" w:ascii="宋体" w:hAnsi="宋体"/>
          <w:bCs/>
          <w:sz w:val="24"/>
          <w:szCs w:val="24"/>
          <w:lang w:eastAsia="zh-CN"/>
        </w:rPr>
        <w:t>2.8安全生产监督管理</w:t>
      </w:r>
      <w:bookmarkEnd w:id="6"/>
      <w:bookmarkEnd w:id="7"/>
    </w:p>
    <w:p w14:paraId="1B744F41">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审核专项施工方案、督促承包人落实安全保证体系；</w:t>
      </w:r>
    </w:p>
    <w:p w14:paraId="48E309B1">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督促承包人履行安全、文明施工保障义务；</w:t>
      </w:r>
    </w:p>
    <w:p w14:paraId="12D7903A">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协助招标人组织工地安全检查；</w:t>
      </w:r>
    </w:p>
    <w:p w14:paraId="57D0A86C">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协助制订项目委托人的应急措施；</w:t>
      </w:r>
    </w:p>
    <w:p w14:paraId="4E5F63D1">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协助处理安全事故；</w:t>
      </w:r>
    </w:p>
    <w:p w14:paraId="6AFC27E4">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督促承包人组织工地卫生及文明施工检查；</w:t>
      </w:r>
    </w:p>
    <w:p w14:paraId="26AFFDC1">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督促承包人协调处理工地的各种纠纷；</w:t>
      </w:r>
    </w:p>
    <w:p w14:paraId="7BA3506A">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督促承包人组织落实工地的保卫及产品保护工作。</w:t>
      </w:r>
    </w:p>
    <w:p w14:paraId="2B0946F6">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 xml:space="preserve">总监理工程师通过监理管理信息平台，按照管理部门规定的内容，定期向质量安全监督机构报送施工现场监理情况的报告。 </w:t>
      </w:r>
    </w:p>
    <w:p w14:paraId="42991728">
      <w:pPr>
        <w:pStyle w:val="19"/>
        <w:spacing w:afterLines="0" w:line="360" w:lineRule="auto"/>
        <w:ind w:firstLine="480"/>
        <w:rPr>
          <w:rFonts w:ascii="宋体" w:hAnsi="宋体"/>
          <w:bCs/>
          <w:sz w:val="24"/>
          <w:szCs w:val="24"/>
          <w:lang w:eastAsia="zh-CN"/>
        </w:rPr>
      </w:pPr>
      <w:bookmarkStart w:id="8" w:name="_Toc22029"/>
      <w:bookmarkStart w:id="9" w:name="_Toc492629638"/>
      <w:r>
        <w:rPr>
          <w:rFonts w:hint="eastAsia" w:ascii="宋体" w:hAnsi="宋体"/>
          <w:bCs/>
          <w:sz w:val="24"/>
          <w:szCs w:val="24"/>
          <w:lang w:eastAsia="zh-CN"/>
        </w:rPr>
        <w:t>2.9合同管理</w:t>
      </w:r>
      <w:bookmarkEnd w:id="8"/>
      <w:bookmarkEnd w:id="9"/>
    </w:p>
    <w:p w14:paraId="43B4F81A">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协助委托方处理有关索赔事宜，并处理合同纠纷;</w:t>
      </w:r>
    </w:p>
    <w:p w14:paraId="4C321673">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进行施工合同的跟踪管理并定期提供合同管理的各种报告。</w:t>
      </w:r>
    </w:p>
    <w:p w14:paraId="7CA3BAC9">
      <w:pPr>
        <w:pStyle w:val="19"/>
        <w:spacing w:afterLines="0" w:line="360" w:lineRule="auto"/>
        <w:ind w:firstLine="480"/>
        <w:rPr>
          <w:rFonts w:ascii="宋体" w:hAnsi="宋体"/>
          <w:bCs/>
          <w:sz w:val="24"/>
          <w:szCs w:val="24"/>
          <w:lang w:eastAsia="zh-CN"/>
        </w:rPr>
      </w:pPr>
      <w:bookmarkStart w:id="10" w:name="_Toc492629639"/>
      <w:bookmarkStart w:id="11" w:name="_Toc16351"/>
      <w:r>
        <w:rPr>
          <w:rFonts w:hint="eastAsia" w:ascii="宋体" w:hAnsi="宋体"/>
          <w:bCs/>
          <w:sz w:val="24"/>
          <w:szCs w:val="24"/>
          <w:lang w:eastAsia="zh-CN"/>
        </w:rPr>
        <w:t>3.0信息管理</w:t>
      </w:r>
      <w:bookmarkEnd w:id="10"/>
      <w:bookmarkEnd w:id="11"/>
    </w:p>
    <w:p w14:paraId="2944B7DE">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进行各种工程信息的收集、整理、存档；</w:t>
      </w:r>
    </w:p>
    <w:p w14:paraId="18C6C5AC">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定期提供各类工程项目管理报表；</w:t>
      </w:r>
    </w:p>
    <w:p w14:paraId="775B4217">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建立工地例会制度,并作好会议记录；</w:t>
      </w:r>
    </w:p>
    <w:p w14:paraId="185ED195">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督促各承包人整理工程技术资料。</w:t>
      </w:r>
    </w:p>
    <w:p w14:paraId="5B78B69C">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3.1建筑节能管理：</w:t>
      </w:r>
    </w:p>
    <w:p w14:paraId="78B21271">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严格按照国家对建筑节能和环保的要求监督工程实施。</w:t>
      </w:r>
    </w:p>
    <w:p w14:paraId="03E1621A">
      <w:pPr>
        <w:pStyle w:val="19"/>
        <w:spacing w:afterLines="0" w:line="360" w:lineRule="auto"/>
        <w:ind w:firstLine="482"/>
        <w:rPr>
          <w:rFonts w:ascii="宋体" w:hAnsi="宋体"/>
          <w:b/>
          <w:bCs/>
          <w:sz w:val="24"/>
          <w:szCs w:val="24"/>
          <w:lang w:eastAsia="zh-CN"/>
        </w:rPr>
      </w:pPr>
      <w:r>
        <w:rPr>
          <w:rFonts w:hint="eastAsia" w:ascii="宋体" w:hAnsi="宋体"/>
          <w:b/>
          <w:bCs/>
          <w:sz w:val="24"/>
          <w:szCs w:val="24"/>
          <w:lang w:eastAsia="zh-CN"/>
        </w:rPr>
        <w:t>三、监理工作服务标准（详见附件八）</w:t>
      </w:r>
    </w:p>
    <w:p w14:paraId="0FCCD6E3">
      <w:pPr>
        <w:pStyle w:val="19"/>
        <w:spacing w:afterLines="0" w:line="360" w:lineRule="auto"/>
        <w:ind w:firstLine="0" w:firstLineChars="0"/>
        <w:rPr>
          <w:rFonts w:ascii="宋体" w:hAnsi="宋体" w:cs="宋体"/>
          <w:sz w:val="24"/>
          <w:szCs w:val="24"/>
          <w:lang w:eastAsia="zh-CN"/>
        </w:rPr>
      </w:pPr>
    </w:p>
    <w:p w14:paraId="68A73019">
      <w:pPr>
        <w:pStyle w:val="19"/>
        <w:spacing w:afterLines="0" w:line="360" w:lineRule="auto"/>
        <w:ind w:firstLine="482"/>
        <w:rPr>
          <w:rFonts w:ascii="宋体" w:hAnsi="宋体"/>
          <w:b/>
          <w:bCs/>
          <w:sz w:val="24"/>
          <w:szCs w:val="24"/>
          <w:lang w:eastAsia="zh-CN"/>
        </w:rPr>
      </w:pPr>
      <w:r>
        <w:rPr>
          <w:rFonts w:hint="eastAsia" w:ascii="宋体" w:hAnsi="宋体"/>
          <w:b/>
          <w:bCs/>
          <w:sz w:val="24"/>
          <w:szCs w:val="24"/>
          <w:lang w:eastAsia="zh-CN"/>
        </w:rPr>
        <w:t>四、施工现场、施工条件和基础资料的提供</w:t>
      </w:r>
    </w:p>
    <w:p w14:paraId="3AA1D526">
      <w:pPr>
        <w:pStyle w:val="19"/>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hint="eastAsia" w:ascii="宋体" w:hAnsi="宋体"/>
          <w:bCs/>
          <w:sz w:val="24"/>
          <w:szCs w:val="24"/>
          <w:lang w:eastAsia="zh-CN"/>
        </w:rPr>
        <w:t>、委托人当在约定的时间内免费向监理人提供与工程有关的为监理机构所需要的工程资料。</w:t>
      </w:r>
    </w:p>
    <w:p w14:paraId="7E7B0066">
      <w:pPr>
        <w:pStyle w:val="19"/>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hint="eastAsia" w:ascii="宋体" w:hAnsi="宋体"/>
          <w:bCs/>
          <w:sz w:val="24"/>
          <w:szCs w:val="24"/>
          <w:lang w:eastAsia="zh-CN"/>
        </w:rPr>
        <w:t>、委托人应当在专用条款约定的时间内向监理人书面提交并要求作出决定的一切事宜作出书面决定。委托人应当授权一名熟悉本工程情况、能迅速作出决定的常驻代表（在专用条款约定），负责与监理人联系。更换常驻代表，要提前通知监理人。</w:t>
      </w:r>
    </w:p>
    <w:p w14:paraId="3B14F82D">
      <w:pPr>
        <w:spacing w:line="360" w:lineRule="auto"/>
        <w:ind w:firstLine="566" w:firstLineChars="235"/>
        <w:jc w:val="left"/>
        <w:outlineLvl w:val="1"/>
        <w:rPr>
          <w:rFonts w:ascii="宋体" w:hAnsi="宋体"/>
          <w:b/>
          <w:sz w:val="24"/>
        </w:rPr>
      </w:pPr>
      <w:r>
        <w:rPr>
          <w:rFonts w:hint="eastAsia" w:ascii="宋体" w:hAnsi="宋体"/>
          <w:b/>
          <w:sz w:val="24"/>
        </w:rPr>
        <w:t>五、计价模式</w:t>
      </w:r>
    </w:p>
    <w:p w14:paraId="4CA65AB8">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本工程施工监理费为包干价，此包干价包括为本工程提供合同范围内监理及与之相关的咨询服务的全部工作内容所需的全部费用。本项目比价文件提供附图为项目总平面图及部分说明，具体施工方案发生变化时，本合同监理费不做调整。</w:t>
      </w:r>
    </w:p>
    <w:p w14:paraId="10916787">
      <w:pPr>
        <w:pStyle w:val="19"/>
        <w:spacing w:afterLines="0" w:line="360" w:lineRule="auto"/>
        <w:ind w:firstLine="482"/>
        <w:rPr>
          <w:rFonts w:ascii="宋体" w:hAnsi="宋体"/>
          <w:b/>
          <w:bCs/>
          <w:sz w:val="24"/>
          <w:szCs w:val="24"/>
          <w:lang w:eastAsia="zh-CN"/>
        </w:rPr>
      </w:pPr>
      <w:r>
        <w:rPr>
          <w:rFonts w:hint="eastAsia" w:ascii="宋体" w:hAnsi="宋体"/>
          <w:b/>
          <w:bCs/>
          <w:sz w:val="24"/>
          <w:szCs w:val="24"/>
          <w:lang w:eastAsia="zh-CN"/>
        </w:rPr>
        <w:t>六、付款条件</w:t>
      </w:r>
    </w:p>
    <w:p w14:paraId="06BA9162">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工程竣工验收合格，监理资料完整提交业主后，委托人对监理单位进行考核分级（详见附件九），按等级进行监理费的支付，并一次性支付全部应付监理费。原则如下：考核打分在91—100分及以上（A级）；合格，给予书面表扬全额支付监理服务费；考核打分在81—90分（B级）：基本合格，支付全额监理费；考核打分在71—80分（C级）：口头警告，提交整改报告视整改情况支付监理费，如整改不理想则扣除总额的1－3％；考核打分在61—70分（D级）：书面警告，并发公司红头文件给监理公司，扣监理服务费总额的 3－5％；考核打分在61分以下（E级）：给予严重警告，停业整改。具体考评办法详见《附件九、监理单位考核办法》</w:t>
      </w:r>
    </w:p>
    <w:p w14:paraId="5691834D">
      <w:pPr>
        <w:pStyle w:val="19"/>
        <w:spacing w:afterLines="0" w:line="360" w:lineRule="auto"/>
        <w:ind w:firstLine="482"/>
        <w:rPr>
          <w:rFonts w:ascii="宋体" w:hAnsi="宋体"/>
          <w:b/>
          <w:bCs/>
          <w:sz w:val="24"/>
          <w:szCs w:val="24"/>
          <w:lang w:eastAsia="zh-CN"/>
        </w:rPr>
      </w:pPr>
      <w:r>
        <w:rPr>
          <w:rFonts w:hint="eastAsia" w:ascii="宋体" w:hAnsi="宋体"/>
          <w:b/>
          <w:bCs/>
          <w:sz w:val="24"/>
          <w:szCs w:val="24"/>
          <w:lang w:eastAsia="zh-CN"/>
        </w:rPr>
        <w:t>七、其他</w:t>
      </w:r>
    </w:p>
    <w:p w14:paraId="050AD47F">
      <w:pPr>
        <w:pStyle w:val="19"/>
        <w:spacing w:afterLines="0" w:line="360" w:lineRule="auto"/>
        <w:ind w:firstLine="480"/>
        <w:rPr>
          <w:rFonts w:ascii="宋体" w:hAnsi="宋体"/>
          <w:bCs/>
          <w:color w:val="auto"/>
          <w:sz w:val="24"/>
          <w:szCs w:val="24"/>
          <w:lang w:eastAsia="zh-CN"/>
        </w:rPr>
      </w:pPr>
      <w:r>
        <w:rPr>
          <w:rFonts w:hint="eastAsia" w:ascii="宋体" w:hAnsi="宋体"/>
          <w:bCs/>
          <w:sz w:val="24"/>
          <w:szCs w:val="24"/>
          <w:lang w:eastAsia="zh-CN"/>
        </w:rPr>
        <w:t>1、</w:t>
      </w:r>
      <w:r>
        <w:rPr>
          <w:rFonts w:hint="eastAsia" w:ascii="宋体" w:hAnsi="宋体"/>
          <w:bCs/>
          <w:color w:val="auto"/>
          <w:sz w:val="24"/>
          <w:szCs w:val="24"/>
          <w:lang w:eastAsia="zh-CN"/>
        </w:rPr>
        <w:t>项目涉及报建报审，相应监理需要进行备案。监理相应项目数量等需满足报建项目相关要求。</w:t>
      </w:r>
    </w:p>
    <w:p w14:paraId="329586EA">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2、监理人调换总监理工程师须经委托人同意。</w:t>
      </w:r>
    </w:p>
    <w:p w14:paraId="1B8B6E2B">
      <w:pPr>
        <w:pStyle w:val="19"/>
        <w:spacing w:after="156" w:line="360" w:lineRule="auto"/>
        <w:ind w:firstLine="480"/>
        <w:rPr>
          <w:rFonts w:ascii="宋体" w:hAnsi="宋体"/>
          <w:bCs/>
          <w:sz w:val="24"/>
          <w:szCs w:val="24"/>
          <w:lang w:eastAsia="zh-CN"/>
        </w:rPr>
      </w:pPr>
      <w:r>
        <w:rPr>
          <w:rFonts w:hint="eastAsia" w:ascii="宋体" w:hAnsi="宋体"/>
          <w:bCs/>
          <w:sz w:val="24"/>
          <w:szCs w:val="24"/>
          <w:lang w:eastAsia="zh-CN"/>
        </w:rPr>
        <w:t>3、委托人有权要求监理人提交监理工作月报及监理业务范围内的专项报告。</w:t>
      </w:r>
    </w:p>
    <w:p w14:paraId="7F4133E1">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4、当委托人发现监理人不按监理合同履行监理职责，或与承包人串通给委托人或工程造成损失的，委托人有权要求监理人更换监理人员，直到终止合同并要求监理人承担相应的赔偿责任或连带赔偿责任。</w:t>
      </w:r>
    </w:p>
    <w:p w14:paraId="68D8A016">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5、在监理业务范围内，如需聘用专家咨询或协助，由监理人聘用的，其费用由监理人承担；由委托人聘用的，其费用由委托人承担。</w:t>
      </w:r>
    </w:p>
    <w:p w14:paraId="61D1287C">
      <w:pPr>
        <w:spacing w:line="360" w:lineRule="auto"/>
        <w:jc w:val="left"/>
        <w:rPr>
          <w:rFonts w:ascii="宋体" w:hAnsi="宋体"/>
          <w:sz w:val="24"/>
        </w:rPr>
      </w:pPr>
    </w:p>
    <w:p w14:paraId="795A2162">
      <w:pPr>
        <w:tabs>
          <w:tab w:val="left" w:pos="0"/>
          <w:tab w:val="left" w:pos="720"/>
        </w:tabs>
        <w:spacing w:line="360" w:lineRule="auto"/>
        <w:ind w:firstLine="482" w:firstLineChars="200"/>
        <w:rPr>
          <w:rFonts w:ascii="宋体" w:hAnsi="宋体"/>
          <w:b/>
          <w:sz w:val="24"/>
        </w:rPr>
      </w:pPr>
      <w:r>
        <w:rPr>
          <w:rFonts w:hint="eastAsia" w:ascii="宋体" w:hAnsi="宋体"/>
          <w:b/>
          <w:sz w:val="24"/>
        </w:rPr>
        <w:t>八、对供应商的要求</w:t>
      </w:r>
    </w:p>
    <w:p w14:paraId="24E2B536">
      <w:pPr>
        <w:spacing w:line="360" w:lineRule="auto"/>
        <w:ind w:firstLine="480" w:firstLineChars="200"/>
        <w:rPr>
          <w:rFonts w:ascii="宋体" w:hAnsi="宋体"/>
          <w:spacing w:val="8"/>
          <w:sz w:val="24"/>
        </w:rPr>
      </w:pPr>
      <w:r>
        <w:rPr>
          <w:rFonts w:hint="eastAsia" w:ascii="宋体" w:hAnsi="宋体"/>
          <w:sz w:val="24"/>
        </w:rPr>
        <w:t>1、资质要求：住房和城乡建设部工程施工监理资质,房屋建筑工程乙级及其以上；</w:t>
      </w:r>
    </w:p>
    <w:p w14:paraId="07FB074E">
      <w:pPr>
        <w:pStyle w:val="19"/>
        <w:spacing w:after="156" w:line="360" w:lineRule="auto"/>
        <w:ind w:firstLine="480"/>
        <w:rPr>
          <w:rFonts w:ascii="宋体" w:hAnsi="宋体"/>
          <w:sz w:val="24"/>
          <w:szCs w:val="24"/>
          <w:lang w:eastAsia="zh-CN"/>
        </w:rPr>
      </w:pPr>
      <w:r>
        <w:rPr>
          <w:rFonts w:hint="eastAsia" w:ascii="宋体" w:hAnsi="宋体"/>
          <w:sz w:val="24"/>
          <w:szCs w:val="24"/>
          <w:lang w:eastAsia="zh-CN"/>
        </w:rPr>
        <w:t>2、监理人员要求：</w:t>
      </w:r>
    </w:p>
    <w:p w14:paraId="67395D99">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①总监理工程师必为投标人本单位的工作人员，持有中华人民共和国住房和城乡建设部颁发的《中华人民共和国注册监理工程师执业资格证书》，注册专业须为房屋建筑工程。</w:t>
      </w:r>
    </w:p>
    <w:p w14:paraId="5234D6E8">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②（专业）监理工程师需具备省（直辖市）级建设系统的监理工程师资格证书并具备相应的监理工作经历，年龄不超过65岁，并具备相应的监理工作经历。</w:t>
      </w:r>
    </w:p>
    <w:p w14:paraId="057F4448">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③安全监理员的资格条件 本项目必须配备安全监理员1名。安全监理员需具备建设系统的安全监理员岗位证书，且年龄不超过 65周岁。</w:t>
      </w:r>
    </w:p>
    <w:p w14:paraId="2CC93AD5">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 xml:space="preserve">④见证员等 材料见证取样人员必须具有有效的工程试验材料见证资格证书。  </w:t>
      </w:r>
    </w:p>
    <w:p w14:paraId="548375A9">
      <w:pPr>
        <w:pStyle w:val="19"/>
        <w:spacing w:afterLines="0" w:line="360" w:lineRule="auto"/>
        <w:ind w:firstLine="480"/>
        <w:rPr>
          <w:rFonts w:ascii="宋体" w:hAnsi="宋体"/>
          <w:bCs/>
          <w:sz w:val="24"/>
          <w:szCs w:val="24"/>
          <w:lang w:eastAsia="zh-CN"/>
        </w:rPr>
      </w:pPr>
      <w:r>
        <w:rPr>
          <w:rFonts w:hint="eastAsia" w:ascii="宋体" w:hAnsi="宋体"/>
          <w:bCs/>
          <w:sz w:val="24"/>
          <w:szCs w:val="24"/>
          <w:lang w:eastAsia="zh-CN"/>
        </w:rPr>
        <w:t xml:space="preserve">在监理服务期限内，项目监理机构人员应保持相对稳定，以保证服务工作的正常进行。中标人投标时的项目监理机构人员未经招标单位书面批准不得随意调换。中标人应当按照投标承诺履行义务，不得擅自变更总监理工程师。在监理合同签订前，确需变更的，招标人或中标人提出中标候选人的总监理工程师变更要求，应重新招标或经过评标委员会评审通过；在监理合同履行中，确需变更的，按规定办理。所更换总监必须注册在本单位，且不得低于合同约定的总监条件。专业监理工程师需要调整时，总监理工程师应书面通知招标人和施工总承包人。    </w:t>
      </w:r>
    </w:p>
    <w:p w14:paraId="3F34AA16">
      <w:pPr>
        <w:pStyle w:val="6"/>
        <w:spacing w:line="360" w:lineRule="auto"/>
        <w:ind w:firstLine="482" w:firstLineChars="200"/>
        <w:outlineLvl w:val="1"/>
        <w:rPr>
          <w:rFonts w:hAnsi="宋体"/>
          <w:b/>
          <w:sz w:val="24"/>
          <w:szCs w:val="24"/>
        </w:rPr>
      </w:pPr>
      <w:r>
        <w:rPr>
          <w:rFonts w:hint="eastAsia" w:hAnsi="宋体"/>
          <w:b/>
          <w:sz w:val="24"/>
        </w:rPr>
        <w:t>九、</w:t>
      </w:r>
      <w:r>
        <w:rPr>
          <w:rFonts w:hint="eastAsia" w:hAnsi="宋体"/>
          <w:b/>
          <w:sz w:val="24"/>
          <w:szCs w:val="24"/>
        </w:rPr>
        <w:t>现场踏勘</w:t>
      </w:r>
    </w:p>
    <w:p w14:paraId="543E036F">
      <w:pPr>
        <w:pStyle w:val="6"/>
        <w:spacing w:line="360" w:lineRule="auto"/>
        <w:ind w:firstLine="480" w:firstLineChars="200"/>
        <w:outlineLvl w:val="1"/>
        <w:rPr>
          <w:rFonts w:hAnsi="宋体"/>
          <w:sz w:val="24"/>
          <w:szCs w:val="24"/>
        </w:rPr>
      </w:pPr>
      <w:r>
        <w:rPr>
          <w:rFonts w:hAnsi="宋体"/>
          <w:sz w:val="24"/>
          <w:szCs w:val="24"/>
        </w:rPr>
        <w:t>1</w:t>
      </w:r>
      <w:r>
        <w:rPr>
          <w:rFonts w:hint="eastAsia" w:hAnsi="宋体"/>
          <w:sz w:val="24"/>
          <w:szCs w:val="24"/>
        </w:rPr>
        <w:t>、供应商自行对现场及周围环境进行踏勘，以便查明或核实有关编制比价响应文件和签订合同所必需的一切资料，供应商应对自行查明或核实的有关资料的解释、推论和应用负责。</w:t>
      </w:r>
    </w:p>
    <w:p w14:paraId="0AFEAEE8">
      <w:pPr>
        <w:pStyle w:val="6"/>
        <w:spacing w:line="360" w:lineRule="auto"/>
        <w:ind w:firstLine="480" w:firstLineChars="200"/>
        <w:outlineLvl w:val="1"/>
        <w:rPr>
          <w:rFonts w:hAnsi="宋体"/>
          <w:sz w:val="24"/>
          <w:szCs w:val="24"/>
        </w:rPr>
      </w:pPr>
      <w:r>
        <w:rPr>
          <w:rFonts w:hAnsi="宋体"/>
          <w:sz w:val="24"/>
          <w:szCs w:val="24"/>
        </w:rPr>
        <w:t>2</w:t>
      </w:r>
      <w:r>
        <w:rPr>
          <w:rFonts w:hint="eastAsia" w:hAnsi="宋体"/>
          <w:sz w:val="24"/>
          <w:szCs w:val="24"/>
        </w:rPr>
        <w:t>、在现场考察过程中，供应商应注意安全，如果发生人身伤亡、财物或其他损失，不论何种原因所造成，采购人概不负责。</w:t>
      </w:r>
    </w:p>
    <w:p w14:paraId="4B5FE582">
      <w:pPr>
        <w:pStyle w:val="6"/>
        <w:spacing w:line="360" w:lineRule="auto"/>
        <w:ind w:firstLine="480" w:firstLineChars="200"/>
        <w:outlineLvl w:val="1"/>
        <w:rPr>
          <w:rFonts w:hAnsi="宋体"/>
          <w:sz w:val="24"/>
        </w:rPr>
      </w:pPr>
      <w:r>
        <w:rPr>
          <w:rFonts w:hAnsi="宋体"/>
          <w:sz w:val="24"/>
          <w:szCs w:val="24"/>
        </w:rPr>
        <w:t>3</w:t>
      </w:r>
      <w:r>
        <w:rPr>
          <w:rFonts w:hint="eastAsia" w:hAnsi="宋体"/>
          <w:sz w:val="24"/>
          <w:szCs w:val="24"/>
        </w:rPr>
        <w:t>、供应商在现场考察期间发生的费用由各供应商自行承担。</w:t>
      </w:r>
      <w:r>
        <w:rPr>
          <w:rFonts w:hAnsi="宋体"/>
          <w:sz w:val="24"/>
        </w:rPr>
        <w:t xml:space="preserve"> </w:t>
      </w:r>
    </w:p>
    <w:p w14:paraId="16C7A08C">
      <w:pPr>
        <w:spacing w:line="360" w:lineRule="auto"/>
        <w:ind w:firstLine="482" w:firstLineChars="200"/>
        <w:jc w:val="left"/>
        <w:rPr>
          <w:rFonts w:ascii="宋体" w:hAnsi="宋体"/>
          <w:b/>
          <w:sz w:val="24"/>
        </w:rPr>
      </w:pPr>
      <w:r>
        <w:rPr>
          <w:rFonts w:hint="eastAsia" w:ascii="宋体" w:hAnsi="宋体"/>
          <w:b/>
          <w:sz w:val="24"/>
        </w:rPr>
        <w:t>十、报价文件要求</w:t>
      </w:r>
    </w:p>
    <w:p w14:paraId="16C71A05">
      <w:pPr>
        <w:spacing w:line="360" w:lineRule="auto"/>
        <w:ind w:firstLine="480" w:firstLineChars="200"/>
        <w:jc w:val="left"/>
        <w:rPr>
          <w:rFonts w:ascii="宋体" w:hAnsi="宋体"/>
          <w:sz w:val="24"/>
        </w:rPr>
      </w:pPr>
      <w:r>
        <w:rPr>
          <w:rFonts w:hint="eastAsia" w:ascii="宋体" w:hAnsi="宋体"/>
          <w:sz w:val="24"/>
        </w:rPr>
        <w:t>（一）资信要求：</w:t>
      </w:r>
    </w:p>
    <w:p w14:paraId="15628F8C">
      <w:pPr>
        <w:spacing w:line="360" w:lineRule="auto"/>
        <w:ind w:firstLine="480" w:firstLineChars="200"/>
        <w:rPr>
          <w:rFonts w:ascii="宋体" w:hAnsi="宋体"/>
          <w:sz w:val="24"/>
        </w:rPr>
      </w:pPr>
      <w:r>
        <w:rPr>
          <w:rFonts w:hint="eastAsia" w:ascii="宋体" w:hAnsi="宋体"/>
          <w:sz w:val="24"/>
        </w:rPr>
        <w:t>1、满足《中华人民共和国政府采购法》第二十二条规定。</w:t>
      </w:r>
    </w:p>
    <w:p w14:paraId="564CE2DC">
      <w:pPr>
        <w:spacing w:line="360" w:lineRule="auto"/>
        <w:ind w:firstLine="480" w:firstLineChars="200"/>
        <w:rPr>
          <w:rFonts w:ascii="宋体" w:hAnsi="宋体"/>
          <w:sz w:val="24"/>
        </w:rPr>
      </w:pPr>
      <w:r>
        <w:rPr>
          <w:rFonts w:hint="eastAsia" w:ascii="宋体" w:hAnsi="宋体"/>
          <w:sz w:val="24"/>
        </w:rPr>
        <w:t>2、未被“信用中国”（www.creditchina.gov.cn）、中国政府采购网（www.ccgp.gov.cn）列入失信被执行人、重大税收违法案件当事人名单、政府采购严重违法失信行为记录名单。</w:t>
      </w:r>
    </w:p>
    <w:p w14:paraId="36A2AB16">
      <w:pPr>
        <w:spacing w:line="360" w:lineRule="auto"/>
        <w:ind w:firstLine="480" w:firstLineChars="200"/>
        <w:rPr>
          <w:rFonts w:ascii="宋体" w:hAnsi="宋体"/>
          <w:sz w:val="24"/>
        </w:rPr>
      </w:pPr>
      <w:r>
        <w:rPr>
          <w:rFonts w:hint="eastAsia" w:ascii="宋体" w:hAnsi="宋体"/>
          <w:sz w:val="24"/>
        </w:rPr>
        <w:t>3、住房和城乡建设部工程监理资质,房屋建筑工程乙级及其以上（含综合资质）；</w:t>
      </w:r>
    </w:p>
    <w:p w14:paraId="0E04E9BF">
      <w:pPr>
        <w:spacing w:line="360" w:lineRule="auto"/>
        <w:ind w:firstLine="480" w:firstLineChars="200"/>
        <w:rPr>
          <w:rFonts w:ascii="宋体" w:hAnsi="宋体"/>
          <w:sz w:val="24"/>
        </w:rPr>
      </w:pPr>
      <w:r>
        <w:rPr>
          <w:rFonts w:hint="eastAsia" w:ascii="宋体" w:hAnsi="宋体"/>
          <w:sz w:val="24"/>
        </w:rPr>
        <w:t>4、本项目不接受联合体投标。</w:t>
      </w:r>
    </w:p>
    <w:p w14:paraId="2BBA728D">
      <w:pPr>
        <w:spacing w:line="360" w:lineRule="auto"/>
        <w:ind w:firstLine="480" w:firstLineChars="200"/>
        <w:jc w:val="left"/>
        <w:rPr>
          <w:rFonts w:ascii="宋体" w:hAnsi="宋体"/>
          <w:sz w:val="24"/>
        </w:rPr>
      </w:pPr>
      <w:r>
        <w:rPr>
          <w:rFonts w:hint="eastAsia" w:ascii="宋体" w:hAnsi="宋体"/>
          <w:sz w:val="24"/>
        </w:rPr>
        <w:t>（二）技术标要求</w:t>
      </w:r>
    </w:p>
    <w:p w14:paraId="10406F28">
      <w:pPr>
        <w:spacing w:line="360" w:lineRule="auto"/>
        <w:ind w:firstLine="480" w:firstLineChars="200"/>
        <w:rPr>
          <w:rFonts w:ascii="宋体" w:hAnsi="宋体"/>
          <w:sz w:val="24"/>
        </w:rPr>
      </w:pPr>
      <w:r>
        <w:rPr>
          <w:rFonts w:hint="eastAsia" w:ascii="宋体" w:hAnsi="宋体"/>
          <w:sz w:val="24"/>
        </w:rPr>
        <w:t>1、工程概况</w:t>
      </w:r>
    </w:p>
    <w:p w14:paraId="5022C937">
      <w:pPr>
        <w:spacing w:line="360" w:lineRule="auto"/>
        <w:ind w:firstLine="480" w:firstLineChars="200"/>
        <w:rPr>
          <w:rFonts w:ascii="宋体" w:hAnsi="宋体"/>
          <w:sz w:val="24"/>
        </w:rPr>
      </w:pPr>
      <w:r>
        <w:rPr>
          <w:rFonts w:hint="eastAsia" w:ascii="宋体" w:hAnsi="宋体"/>
          <w:sz w:val="24"/>
        </w:rPr>
        <w:t>2、项目组成员简历、资历及业绩，同时附身份证、注册证书、岗位证书、社保金缴纳凭证或综合保险凭证、业绩证明等复印件</w:t>
      </w:r>
    </w:p>
    <w:p w14:paraId="69CEE2BD">
      <w:pPr>
        <w:spacing w:line="360" w:lineRule="auto"/>
        <w:ind w:firstLine="480" w:firstLineChars="200"/>
        <w:rPr>
          <w:rFonts w:ascii="宋体" w:hAnsi="宋体"/>
          <w:sz w:val="24"/>
        </w:rPr>
      </w:pPr>
      <w:r>
        <w:rPr>
          <w:rFonts w:hint="eastAsia" w:ascii="宋体" w:hAnsi="宋体"/>
          <w:sz w:val="24"/>
        </w:rPr>
        <w:t>3、企业近5年以来完成或在施类似项目业绩清单，并附中标通知书或合同复印件等证明材料</w:t>
      </w:r>
    </w:p>
    <w:p w14:paraId="7A4AF60E">
      <w:pPr>
        <w:spacing w:line="360" w:lineRule="auto"/>
        <w:ind w:firstLine="480" w:firstLineChars="200"/>
        <w:rPr>
          <w:rFonts w:ascii="宋体" w:hAnsi="宋体"/>
          <w:sz w:val="24"/>
        </w:rPr>
      </w:pPr>
      <w:r>
        <w:rPr>
          <w:rFonts w:hint="eastAsia" w:ascii="宋体" w:hAnsi="宋体"/>
          <w:sz w:val="24"/>
        </w:rPr>
        <w:t>4、监理工作内容和范围</w:t>
      </w:r>
    </w:p>
    <w:p w14:paraId="0BE1F71B">
      <w:pPr>
        <w:spacing w:line="360" w:lineRule="auto"/>
        <w:ind w:firstLine="480" w:firstLineChars="200"/>
        <w:rPr>
          <w:rFonts w:ascii="宋体" w:hAnsi="宋体"/>
          <w:sz w:val="24"/>
        </w:rPr>
      </w:pPr>
      <w:r>
        <w:rPr>
          <w:rFonts w:hint="eastAsia" w:ascii="宋体" w:hAnsi="宋体"/>
          <w:sz w:val="24"/>
        </w:rPr>
        <w:t>5、监理依据</w:t>
      </w:r>
    </w:p>
    <w:p w14:paraId="0DEE2B4C">
      <w:pPr>
        <w:spacing w:line="360" w:lineRule="auto"/>
        <w:ind w:firstLine="480" w:firstLineChars="200"/>
        <w:rPr>
          <w:rFonts w:ascii="宋体" w:hAnsi="宋体"/>
          <w:sz w:val="24"/>
        </w:rPr>
      </w:pPr>
      <w:r>
        <w:rPr>
          <w:rFonts w:hint="eastAsia" w:ascii="宋体" w:hAnsi="宋体"/>
          <w:sz w:val="24"/>
        </w:rPr>
        <w:t>6、监理工作程序及流程</w:t>
      </w:r>
    </w:p>
    <w:p w14:paraId="27BA4E67">
      <w:pPr>
        <w:spacing w:line="360" w:lineRule="auto"/>
        <w:ind w:firstLine="480" w:firstLineChars="200"/>
        <w:rPr>
          <w:rFonts w:ascii="宋体" w:hAnsi="宋体"/>
          <w:sz w:val="24"/>
        </w:rPr>
      </w:pPr>
      <w:r>
        <w:rPr>
          <w:rFonts w:hint="eastAsia" w:ascii="宋体" w:hAnsi="宋体"/>
          <w:sz w:val="24"/>
        </w:rPr>
        <w:t>7、工程质量、进度、造价控制以及安全文明、合同、信息管理、建筑节能等的具体监理措施</w:t>
      </w:r>
    </w:p>
    <w:p w14:paraId="74F2837F">
      <w:pPr>
        <w:spacing w:line="360" w:lineRule="auto"/>
        <w:ind w:firstLine="480" w:firstLineChars="200"/>
        <w:rPr>
          <w:rFonts w:ascii="宋体" w:hAnsi="宋体"/>
          <w:sz w:val="24"/>
        </w:rPr>
      </w:pPr>
      <w:r>
        <w:rPr>
          <w:rFonts w:hint="eastAsia" w:ascii="宋体" w:hAnsi="宋体"/>
          <w:sz w:val="24"/>
        </w:rPr>
        <w:t>8、针对本工程特点、难点、重点分析及相应的监理措施和合理化建议</w:t>
      </w:r>
    </w:p>
    <w:p w14:paraId="208BFDC4">
      <w:pPr>
        <w:spacing w:line="360" w:lineRule="auto"/>
        <w:ind w:firstLine="480" w:firstLineChars="200"/>
        <w:rPr>
          <w:rFonts w:ascii="宋体" w:hAnsi="宋体"/>
          <w:sz w:val="24"/>
        </w:rPr>
      </w:pPr>
      <w:r>
        <w:rPr>
          <w:rFonts w:hint="eastAsia" w:ascii="宋体" w:hAnsi="宋体"/>
          <w:sz w:val="24"/>
        </w:rPr>
        <w:t>9、须旁站监理的重要部位、工序清单</w:t>
      </w:r>
    </w:p>
    <w:p w14:paraId="10A4FCAF">
      <w:pPr>
        <w:spacing w:line="360" w:lineRule="auto"/>
        <w:ind w:firstLine="480" w:firstLineChars="200"/>
        <w:rPr>
          <w:rFonts w:ascii="宋体" w:hAnsi="宋体"/>
          <w:sz w:val="24"/>
        </w:rPr>
      </w:pPr>
      <w:r>
        <w:rPr>
          <w:rFonts w:hint="eastAsia" w:ascii="宋体" w:hAnsi="宋体"/>
          <w:sz w:val="24"/>
        </w:rPr>
        <w:t>10、选用的测量仪器、检测设施配备与检测方法</w:t>
      </w:r>
    </w:p>
    <w:p w14:paraId="13536789">
      <w:pPr>
        <w:spacing w:line="360" w:lineRule="auto"/>
        <w:ind w:firstLine="480" w:firstLineChars="200"/>
        <w:rPr>
          <w:rFonts w:ascii="宋体" w:hAnsi="宋体"/>
          <w:sz w:val="24"/>
        </w:rPr>
      </w:pPr>
      <w:r>
        <w:rPr>
          <w:rFonts w:hint="eastAsia" w:ascii="宋体" w:hAnsi="宋体"/>
          <w:sz w:val="24"/>
        </w:rPr>
        <w:t>11、相关服务承诺（承诺内容包括不限于：依法投标、监理费用依法收取、总监理工程师承接项目数量、执行报告制度等）</w:t>
      </w:r>
    </w:p>
    <w:p w14:paraId="052D1552">
      <w:pPr>
        <w:spacing w:line="360" w:lineRule="auto"/>
        <w:ind w:firstLine="480" w:firstLineChars="200"/>
        <w:rPr>
          <w:rFonts w:ascii="宋体" w:hAnsi="宋体"/>
          <w:sz w:val="24"/>
        </w:rPr>
      </w:pPr>
      <w:r>
        <w:rPr>
          <w:rFonts w:hint="eastAsia" w:ascii="宋体" w:hAnsi="宋体"/>
          <w:sz w:val="24"/>
        </w:rPr>
        <w:t>12、奖罚措施</w:t>
      </w:r>
    </w:p>
    <w:p w14:paraId="7331ECD7">
      <w:pPr>
        <w:spacing w:line="360" w:lineRule="auto"/>
        <w:ind w:firstLine="480" w:firstLineChars="200"/>
        <w:rPr>
          <w:rFonts w:ascii="宋体" w:hAnsi="宋体"/>
          <w:sz w:val="24"/>
        </w:rPr>
      </w:pPr>
      <w:r>
        <w:rPr>
          <w:rFonts w:hint="eastAsia" w:ascii="宋体" w:hAnsi="宋体"/>
          <w:sz w:val="24"/>
        </w:rPr>
        <w:t>（三）经济标要求</w:t>
      </w:r>
    </w:p>
    <w:p w14:paraId="63887114">
      <w:pPr>
        <w:spacing w:line="360" w:lineRule="auto"/>
        <w:ind w:left="420"/>
        <w:jc w:val="left"/>
        <w:outlineLvl w:val="1"/>
        <w:rPr>
          <w:rFonts w:ascii="宋体" w:hAnsi="宋体"/>
          <w:sz w:val="24"/>
        </w:rPr>
      </w:pPr>
      <w:r>
        <w:rPr>
          <w:rFonts w:ascii="宋体" w:hAnsi="宋体"/>
          <w:sz w:val="24"/>
        </w:rPr>
        <w:t>1</w:t>
      </w:r>
      <w:r>
        <w:rPr>
          <w:rFonts w:hint="eastAsia" w:ascii="宋体" w:hAnsi="宋体"/>
          <w:sz w:val="24"/>
        </w:rPr>
        <w:t>、使用附件五、附件六进行报价。</w:t>
      </w:r>
    </w:p>
    <w:p w14:paraId="20FE0796">
      <w:pPr>
        <w:spacing w:line="360" w:lineRule="auto"/>
        <w:ind w:left="420"/>
        <w:jc w:val="left"/>
        <w:outlineLvl w:val="1"/>
        <w:rPr>
          <w:rFonts w:ascii="宋体" w:hAnsi="宋体"/>
          <w:bCs/>
          <w:sz w:val="24"/>
        </w:rPr>
      </w:pPr>
      <w:r>
        <w:rPr>
          <w:rFonts w:ascii="宋体" w:hAnsi="宋体"/>
          <w:sz w:val="24"/>
        </w:rPr>
        <w:t>2</w:t>
      </w:r>
      <w:r>
        <w:rPr>
          <w:rFonts w:hint="eastAsia" w:ascii="宋体" w:hAnsi="宋体"/>
          <w:sz w:val="24"/>
        </w:rPr>
        <w:t>、采购人认为，供应商在递交报价文件时，对本工程的比价文件所有内容(包括施工技术与管理要求)、施工现场实际情况（包括周围环境、地质条件、交通道路等）等均已详细研究明了，并在投标报价中已充分考虑上述因素及施工组织设计内容，保证投标报价准确无误，如有错漏概由供应商负责。</w:t>
      </w:r>
    </w:p>
    <w:p w14:paraId="57FCE2BC">
      <w:pPr>
        <w:spacing w:line="360" w:lineRule="auto"/>
        <w:ind w:firstLine="482" w:firstLineChars="200"/>
        <w:rPr>
          <w:rFonts w:ascii="宋体" w:hAnsi="宋体"/>
          <w:bCs/>
          <w:kern w:val="0"/>
          <w:sz w:val="24"/>
        </w:rPr>
      </w:pPr>
      <w:r>
        <w:rPr>
          <w:rFonts w:hint="eastAsia" w:ascii="宋体" w:hAnsi="宋体"/>
          <w:b/>
          <w:bCs/>
          <w:kern w:val="0"/>
          <w:sz w:val="24"/>
        </w:rPr>
        <w:t>十一、报价文件格式</w:t>
      </w:r>
    </w:p>
    <w:p w14:paraId="2003331B">
      <w:pPr>
        <w:spacing w:line="360" w:lineRule="auto"/>
        <w:ind w:firstLine="480" w:firstLineChars="200"/>
        <w:rPr>
          <w:rFonts w:ascii="宋体" w:hAnsi="宋体"/>
          <w:bCs/>
          <w:kern w:val="0"/>
          <w:sz w:val="24"/>
        </w:rPr>
      </w:pPr>
      <w:r>
        <w:rPr>
          <w:rFonts w:hint="eastAsia" w:ascii="宋体" w:hAnsi="宋体"/>
          <w:bCs/>
          <w:kern w:val="0"/>
          <w:sz w:val="24"/>
        </w:rPr>
        <w:t>参与比价单位的报价文件内容应包括以下附件内容，分别按照资信文件、技术文件、经济文件纸质文档胶装后，并需加盖公章，一式两份。法人/授权委托人的联系方式需在标书中提供手机号码。电子版U盘内存入投标文件word版、报价清单Excel版、以及对应盖章后扫描件，与投标文件一起密封。电子文档与书面投标文件须保持一致，电子文档不作评审使用。当发生不一致时，以书面投标文件为准。</w:t>
      </w:r>
    </w:p>
    <w:p w14:paraId="0BA8DB83">
      <w:pPr>
        <w:spacing w:line="360" w:lineRule="auto"/>
        <w:ind w:firstLine="480" w:firstLineChars="200"/>
        <w:rPr>
          <w:rFonts w:ascii="宋体" w:hAnsi="宋体" w:cs="宋体"/>
          <w:bCs/>
          <w:sz w:val="24"/>
        </w:rPr>
      </w:pPr>
      <w:r>
        <w:rPr>
          <w:rFonts w:hint="eastAsia" w:ascii="宋体" w:hAnsi="宋体"/>
          <w:bCs/>
          <w:kern w:val="0"/>
          <w:sz w:val="24"/>
        </w:rPr>
        <w:t xml:space="preserve">（一）资信文件 </w:t>
      </w:r>
    </w:p>
    <w:p w14:paraId="511EF854">
      <w:pPr>
        <w:numPr>
          <w:ilvl w:val="0"/>
          <w:numId w:val="2"/>
        </w:numPr>
        <w:spacing w:line="360" w:lineRule="auto"/>
        <w:ind w:left="0" w:firstLine="566" w:firstLineChars="236"/>
        <w:rPr>
          <w:rFonts w:ascii="宋体" w:hAnsi="宋体"/>
          <w:sz w:val="24"/>
        </w:rPr>
      </w:pPr>
      <w:r>
        <w:rPr>
          <w:rFonts w:ascii="宋体" w:hAnsi="宋体"/>
          <w:sz w:val="24"/>
        </w:rPr>
        <w:t>营业执照副本</w:t>
      </w:r>
      <w:r>
        <w:rPr>
          <w:rFonts w:hint="eastAsia" w:ascii="宋体" w:hAnsi="宋体"/>
          <w:sz w:val="24"/>
        </w:rPr>
        <w:t>、资质文件、</w:t>
      </w:r>
      <w:r>
        <w:rPr>
          <w:rFonts w:hint="eastAsia" w:ascii="宋体" w:hAnsi="宋体" w:cs="宋体"/>
          <w:sz w:val="24"/>
        </w:rPr>
        <w:t>“信用中国”网站(www. creditchina. gov.cn)、</w:t>
      </w:r>
      <w:r>
        <w:rPr>
          <w:rFonts w:hint="eastAsia" w:ascii="宋体" w:hAnsi="宋体"/>
          <w:sz w:val="24"/>
        </w:rPr>
        <w:t>中国政府采购网（www.ccgp.gov.cn）</w:t>
      </w:r>
      <w:r>
        <w:rPr>
          <w:rFonts w:hint="eastAsia" w:ascii="宋体" w:hAnsi="宋体" w:cs="宋体"/>
          <w:sz w:val="24"/>
        </w:rPr>
        <w:t>未被列入失信被执行人、重大税收违法案件当事人名单、政府采购严重违法失信行为记录名单截图（附件一）</w:t>
      </w:r>
    </w:p>
    <w:p w14:paraId="3289B377">
      <w:pPr>
        <w:numPr>
          <w:ilvl w:val="0"/>
          <w:numId w:val="2"/>
        </w:numPr>
        <w:spacing w:line="360" w:lineRule="auto"/>
        <w:ind w:left="0" w:firstLine="566" w:firstLineChars="236"/>
        <w:rPr>
          <w:rFonts w:ascii="宋体" w:hAnsi="宋体"/>
          <w:sz w:val="24"/>
        </w:rPr>
      </w:pPr>
      <w:r>
        <w:rPr>
          <w:rFonts w:hint="eastAsia" w:ascii="宋体" w:hAnsi="宋体"/>
          <w:sz w:val="24"/>
        </w:rPr>
        <w:t>住房和城乡建设部工程施工监理资质,房屋建筑工程乙级及其以上（含综合资质）</w:t>
      </w:r>
    </w:p>
    <w:p w14:paraId="0A2FA58A">
      <w:pPr>
        <w:numPr>
          <w:ilvl w:val="0"/>
          <w:numId w:val="2"/>
        </w:numPr>
        <w:spacing w:line="360" w:lineRule="auto"/>
        <w:ind w:left="0" w:firstLine="566" w:firstLineChars="236"/>
        <w:rPr>
          <w:rFonts w:ascii="宋体" w:hAnsi="宋体" w:cs="宋体"/>
          <w:sz w:val="24"/>
        </w:rPr>
      </w:pPr>
      <w:r>
        <w:rPr>
          <w:rFonts w:ascii="宋体" w:hAnsi="宋体"/>
          <w:sz w:val="24"/>
        </w:rPr>
        <w:t>法定代表人资格证明书</w:t>
      </w:r>
      <w:r>
        <w:rPr>
          <w:rFonts w:hint="eastAsia" w:ascii="宋体" w:hAnsi="宋体"/>
          <w:sz w:val="24"/>
        </w:rPr>
        <w:t>（附件二）</w:t>
      </w:r>
    </w:p>
    <w:p w14:paraId="3AF98037">
      <w:pPr>
        <w:numPr>
          <w:ilvl w:val="0"/>
          <w:numId w:val="2"/>
        </w:numPr>
        <w:spacing w:line="360" w:lineRule="auto"/>
        <w:ind w:left="0" w:firstLine="566" w:firstLineChars="236"/>
        <w:rPr>
          <w:rFonts w:ascii="宋体" w:hAnsi="宋体"/>
          <w:sz w:val="24"/>
        </w:rPr>
      </w:pPr>
      <w:r>
        <w:rPr>
          <w:rFonts w:ascii="宋体" w:hAnsi="宋体"/>
          <w:sz w:val="24"/>
        </w:rPr>
        <w:t>法定代表人授权书（原件，如法定代表人未到开标现场需提供）</w:t>
      </w:r>
      <w:r>
        <w:rPr>
          <w:rFonts w:hint="eastAsia" w:ascii="宋体" w:hAnsi="宋体"/>
          <w:sz w:val="24"/>
        </w:rPr>
        <w:t>（附件三）</w:t>
      </w:r>
    </w:p>
    <w:p w14:paraId="44B9CA7B">
      <w:pPr>
        <w:numPr>
          <w:ilvl w:val="0"/>
          <w:numId w:val="2"/>
        </w:numPr>
        <w:spacing w:line="360" w:lineRule="auto"/>
        <w:ind w:left="0" w:firstLine="566" w:firstLineChars="236"/>
        <w:rPr>
          <w:rFonts w:ascii="宋体" w:hAnsi="宋体"/>
          <w:sz w:val="24"/>
        </w:rPr>
      </w:pPr>
      <w:r>
        <w:rPr>
          <w:rFonts w:hint="eastAsia" w:ascii="宋体" w:hAnsi="宋体"/>
          <w:sz w:val="24"/>
        </w:rPr>
        <w:t>无利害关系声明和递交比价文件前3年内在经营活动中没有重大违法记录的书面声明（附件四）</w:t>
      </w:r>
    </w:p>
    <w:p w14:paraId="4BD8B7F4">
      <w:pPr>
        <w:numPr>
          <w:ilvl w:val="0"/>
          <w:numId w:val="2"/>
        </w:numPr>
        <w:spacing w:line="360" w:lineRule="auto"/>
        <w:rPr>
          <w:rFonts w:ascii="宋体" w:hAnsi="宋体"/>
          <w:sz w:val="24"/>
        </w:rPr>
      </w:pPr>
      <w:r>
        <w:rPr>
          <w:rFonts w:hint="eastAsia" w:ascii="宋体" w:hAnsi="宋体"/>
          <w:sz w:val="24"/>
        </w:rPr>
        <w:t>对比价文件的真实性、合法性承诺函（附件四）</w:t>
      </w:r>
    </w:p>
    <w:p w14:paraId="0A77A820">
      <w:pPr>
        <w:spacing w:line="360" w:lineRule="auto"/>
        <w:ind w:left="630"/>
        <w:rPr>
          <w:rFonts w:ascii="宋体" w:hAnsi="宋体"/>
          <w:sz w:val="24"/>
        </w:rPr>
      </w:pPr>
      <w:r>
        <w:rPr>
          <w:rFonts w:hint="eastAsia" w:ascii="宋体" w:hAnsi="宋体"/>
          <w:sz w:val="24"/>
        </w:rPr>
        <w:t>（二）技术文件（格式自拟）</w:t>
      </w:r>
    </w:p>
    <w:p w14:paraId="5860172C">
      <w:pPr>
        <w:spacing w:line="360" w:lineRule="auto"/>
        <w:ind w:left="630"/>
        <w:rPr>
          <w:rFonts w:ascii="宋体" w:hAnsi="宋体"/>
          <w:sz w:val="24"/>
        </w:rPr>
      </w:pPr>
      <w:r>
        <w:rPr>
          <w:rFonts w:hint="eastAsia" w:ascii="宋体" w:hAnsi="宋体"/>
          <w:sz w:val="24"/>
        </w:rPr>
        <w:t>（三）经济文件</w:t>
      </w:r>
    </w:p>
    <w:p w14:paraId="6C181185">
      <w:pPr>
        <w:numPr>
          <w:ilvl w:val="0"/>
          <w:numId w:val="3"/>
        </w:numPr>
        <w:spacing w:line="360" w:lineRule="auto"/>
        <w:rPr>
          <w:rFonts w:ascii="宋体" w:hAnsi="宋体" w:cs="宋体"/>
          <w:sz w:val="24"/>
        </w:rPr>
      </w:pPr>
      <w:r>
        <w:rPr>
          <w:rFonts w:hint="eastAsia" w:ascii="宋体" w:hAnsi="宋体" w:cs="宋体"/>
          <w:sz w:val="24"/>
        </w:rPr>
        <w:t>报价一览表（附件五）</w:t>
      </w:r>
    </w:p>
    <w:p w14:paraId="7B9A95D9">
      <w:pPr>
        <w:numPr>
          <w:ilvl w:val="0"/>
          <w:numId w:val="3"/>
        </w:numPr>
        <w:spacing w:line="360" w:lineRule="auto"/>
        <w:rPr>
          <w:rFonts w:ascii="宋体" w:hAnsi="宋体" w:cs="宋体"/>
          <w:sz w:val="24"/>
        </w:rPr>
      </w:pPr>
      <w:r>
        <w:rPr>
          <w:rFonts w:hint="eastAsia" w:ascii="宋体" w:hAnsi="宋体" w:cs="宋体"/>
          <w:sz w:val="24"/>
        </w:rPr>
        <w:t>报价清单（附件六）</w:t>
      </w:r>
    </w:p>
    <w:p w14:paraId="1AEA26CD">
      <w:pPr>
        <w:numPr>
          <w:ilvl w:val="0"/>
          <w:numId w:val="3"/>
        </w:numPr>
        <w:spacing w:line="360" w:lineRule="auto"/>
        <w:rPr>
          <w:rFonts w:ascii="宋体" w:hAnsi="宋体"/>
          <w:sz w:val="24"/>
        </w:rPr>
      </w:pPr>
      <w:r>
        <w:rPr>
          <w:rFonts w:hint="eastAsia" w:ascii="宋体" w:hAnsi="宋体" w:cs="宋体"/>
          <w:sz w:val="24"/>
        </w:rPr>
        <w:t>报价承诺函（附件七）</w:t>
      </w:r>
    </w:p>
    <w:p w14:paraId="5CF217A8">
      <w:pPr>
        <w:numPr>
          <w:ilvl w:val="0"/>
          <w:numId w:val="3"/>
        </w:numPr>
        <w:spacing w:line="360" w:lineRule="auto"/>
        <w:rPr>
          <w:rFonts w:ascii="宋体" w:hAnsi="宋体"/>
          <w:sz w:val="24"/>
        </w:rPr>
      </w:pPr>
      <w:r>
        <w:rPr>
          <w:rFonts w:hint="eastAsia" w:ascii="宋体" w:hAnsi="宋体"/>
          <w:sz w:val="24"/>
        </w:rPr>
        <w:t>其他比价文件要求的资料</w:t>
      </w:r>
    </w:p>
    <w:p w14:paraId="40A2CB51">
      <w:pPr>
        <w:spacing w:line="360" w:lineRule="auto"/>
        <w:ind w:left="424" w:leftChars="202"/>
        <w:rPr>
          <w:rFonts w:ascii="宋体" w:hAnsi="宋体" w:cs="宋体"/>
          <w:b/>
          <w:bCs/>
          <w:sz w:val="24"/>
        </w:rPr>
      </w:pPr>
      <w:r>
        <w:rPr>
          <w:rFonts w:hint="eastAsia" w:ascii="宋体" w:hAnsi="宋体" w:cs="宋体"/>
          <w:b/>
          <w:bCs/>
          <w:sz w:val="24"/>
        </w:rPr>
        <w:t>十二、评审方法</w:t>
      </w:r>
    </w:p>
    <w:p w14:paraId="2A4C2AA3">
      <w:pPr>
        <w:spacing w:line="360" w:lineRule="auto"/>
        <w:ind w:firstLine="424" w:firstLineChars="177"/>
        <w:rPr>
          <w:rFonts w:ascii="宋体" w:hAnsi="宋体" w:cs="宋体"/>
          <w:sz w:val="24"/>
        </w:rPr>
      </w:pPr>
      <w:r>
        <w:rPr>
          <w:rFonts w:hint="eastAsia" w:ascii="宋体" w:hAnsi="宋体" w:cs="宋体"/>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次报价。对于首轮有效报价的供应商放弃现场二次报价的，首轮报价视为最终报价。采购人根据质量和服务均能满足比价文件实质性响应要求且报价最低的原则确定中选供应商。</w:t>
      </w:r>
    </w:p>
    <w:p w14:paraId="3F81F436">
      <w:pPr>
        <w:spacing w:line="360" w:lineRule="auto"/>
        <w:ind w:firstLine="482" w:firstLineChars="200"/>
        <w:rPr>
          <w:rFonts w:ascii="宋体" w:hAnsi="宋体" w:cs="宋体"/>
          <w:b/>
          <w:bCs/>
          <w:sz w:val="24"/>
        </w:rPr>
      </w:pPr>
      <w:r>
        <w:rPr>
          <w:rFonts w:hint="eastAsia" w:ascii="宋体" w:hAnsi="宋体" w:cs="宋体"/>
          <w:b/>
          <w:bCs/>
          <w:sz w:val="24"/>
        </w:rPr>
        <w:t>十三、提交报价文件截止时间和地点</w:t>
      </w:r>
    </w:p>
    <w:p w14:paraId="2DCC7E71">
      <w:pPr>
        <w:spacing w:line="360" w:lineRule="auto"/>
        <w:ind w:firstLine="424" w:firstLineChars="177"/>
        <w:rPr>
          <w:rFonts w:ascii="宋体" w:hAnsi="宋体" w:cs="宋体"/>
          <w:sz w:val="24"/>
        </w:rPr>
      </w:pPr>
      <w:r>
        <w:rPr>
          <w:rFonts w:ascii="宋体" w:hAnsi="宋体" w:cs="宋体"/>
          <w:sz w:val="24"/>
        </w:rPr>
        <w:t>1</w:t>
      </w:r>
      <w:r>
        <w:rPr>
          <w:rFonts w:hint="eastAsia" w:ascii="宋体" w:hAnsi="宋体" w:cs="宋体"/>
          <w:sz w:val="24"/>
        </w:rPr>
        <w:t>、提交报价文件截止时间：202</w:t>
      </w:r>
      <w:r>
        <w:rPr>
          <w:rFonts w:ascii="宋体" w:hAnsi="宋体" w:cs="宋体"/>
          <w:sz w:val="24"/>
        </w:rPr>
        <w:t>4</w:t>
      </w:r>
      <w:r>
        <w:rPr>
          <w:rFonts w:hint="eastAsia" w:ascii="宋体" w:hAnsi="宋体" w:cs="宋体"/>
          <w:sz w:val="24"/>
        </w:rPr>
        <w:t>年7月</w:t>
      </w:r>
      <w:r>
        <w:rPr>
          <w:rFonts w:hint="eastAsia" w:ascii="宋体" w:hAnsi="宋体" w:cs="宋体"/>
          <w:sz w:val="24"/>
          <w:lang w:val="en-US" w:eastAsia="zh-CN"/>
        </w:rPr>
        <w:t>16</w:t>
      </w:r>
      <w:bookmarkStart w:id="12" w:name="_GoBack"/>
      <w:bookmarkEnd w:id="12"/>
      <w:r>
        <w:rPr>
          <w:rFonts w:hint="eastAsia" w:ascii="宋体" w:hAnsi="宋体" w:cs="宋体"/>
          <w:sz w:val="24"/>
        </w:rPr>
        <w:t xml:space="preserve">日 </w:t>
      </w:r>
      <w:r>
        <w:rPr>
          <w:rFonts w:ascii="宋体" w:hAnsi="宋体" w:cs="宋体"/>
          <w:sz w:val="24"/>
        </w:rPr>
        <w:t>17</w:t>
      </w:r>
      <w:r>
        <w:rPr>
          <w:rFonts w:hint="eastAsia" w:ascii="宋体" w:hAnsi="宋体" w:cs="宋体"/>
          <w:sz w:val="24"/>
        </w:rPr>
        <w:t>:</w:t>
      </w:r>
      <w:r>
        <w:rPr>
          <w:rFonts w:ascii="宋体" w:hAnsi="宋体" w:cs="宋体"/>
          <w:sz w:val="24"/>
        </w:rPr>
        <w:t>0</w:t>
      </w:r>
      <w:r>
        <w:rPr>
          <w:rFonts w:hint="eastAsia" w:ascii="宋体" w:hAnsi="宋体" w:cs="宋体"/>
          <w:sz w:val="24"/>
        </w:rPr>
        <w:t xml:space="preserve">0（北京时间）  </w:t>
      </w:r>
    </w:p>
    <w:p w14:paraId="25E61B5E">
      <w:pPr>
        <w:spacing w:line="360" w:lineRule="auto"/>
        <w:ind w:firstLine="424" w:firstLineChars="177"/>
        <w:rPr>
          <w:rFonts w:ascii="宋体" w:hAnsi="宋体" w:cs="宋体"/>
          <w:sz w:val="24"/>
        </w:rPr>
      </w:pPr>
      <w:r>
        <w:rPr>
          <w:rFonts w:hint="eastAsia" w:ascii="宋体" w:hAnsi="宋体" w:cs="宋体"/>
          <w:sz w:val="24"/>
        </w:rPr>
        <w:t>每日上午</w:t>
      </w:r>
      <w:r>
        <w:rPr>
          <w:rFonts w:ascii="宋体" w:hAnsi="宋体" w:cs="宋体"/>
          <w:sz w:val="24"/>
        </w:rPr>
        <w:t>8</w:t>
      </w:r>
      <w:r>
        <w:rPr>
          <w:rFonts w:hint="eastAsia" w:ascii="宋体" w:hAnsi="宋体" w:cs="宋体"/>
          <w:sz w:val="24"/>
        </w:rPr>
        <w:t>:</w:t>
      </w:r>
      <w:r>
        <w:rPr>
          <w:rFonts w:ascii="宋体" w:hAnsi="宋体" w:cs="宋体"/>
          <w:sz w:val="24"/>
        </w:rPr>
        <w:t>3</w:t>
      </w:r>
      <w:r>
        <w:rPr>
          <w:rFonts w:hint="eastAsia" w:ascii="宋体" w:hAnsi="宋体" w:cs="宋体"/>
          <w:sz w:val="24"/>
        </w:rPr>
        <w:t>0～11:30，下午13:30～1</w:t>
      </w:r>
      <w:r>
        <w:rPr>
          <w:rFonts w:ascii="宋体" w:hAnsi="宋体" w:cs="宋体"/>
          <w:sz w:val="24"/>
        </w:rPr>
        <w:t>7</w:t>
      </w:r>
      <w:r>
        <w:rPr>
          <w:rFonts w:hint="eastAsia" w:ascii="宋体" w:hAnsi="宋体" w:cs="宋体"/>
          <w:sz w:val="24"/>
        </w:rPr>
        <w:t>:</w:t>
      </w:r>
      <w:r>
        <w:rPr>
          <w:rFonts w:ascii="宋体" w:hAnsi="宋体" w:cs="宋体"/>
          <w:sz w:val="24"/>
        </w:rPr>
        <w:t>0</w:t>
      </w:r>
      <w:r>
        <w:rPr>
          <w:rFonts w:hint="eastAsia" w:ascii="宋体" w:hAnsi="宋体" w:cs="宋体"/>
          <w:sz w:val="24"/>
        </w:rPr>
        <w:t>0（北京时间）</w:t>
      </w:r>
    </w:p>
    <w:p w14:paraId="1759FFCE">
      <w:pPr>
        <w:spacing w:line="360" w:lineRule="auto"/>
        <w:ind w:firstLine="424" w:firstLineChars="177"/>
        <w:rPr>
          <w:rFonts w:ascii="宋体" w:hAnsi="宋体" w:cs="宋体"/>
          <w:sz w:val="24"/>
        </w:rPr>
      </w:pPr>
      <w:r>
        <w:rPr>
          <w:rFonts w:ascii="宋体" w:hAnsi="宋体" w:cs="宋体"/>
          <w:sz w:val="24"/>
        </w:rPr>
        <w:t>2</w:t>
      </w:r>
      <w:r>
        <w:rPr>
          <w:rFonts w:hint="eastAsia" w:ascii="宋体" w:hAnsi="宋体" w:cs="宋体"/>
          <w:sz w:val="24"/>
        </w:rPr>
        <w:t>、报价文件递交地点：上海市杨浦区控江路1665号科教楼201室</w:t>
      </w:r>
    </w:p>
    <w:p w14:paraId="0F69D12D">
      <w:pPr>
        <w:spacing w:line="360" w:lineRule="auto"/>
        <w:ind w:firstLine="424" w:firstLineChars="176"/>
        <w:rPr>
          <w:rFonts w:ascii="宋体" w:hAnsi="宋体" w:cs="宋体"/>
          <w:b/>
          <w:sz w:val="24"/>
        </w:rPr>
      </w:pPr>
      <w:r>
        <w:rPr>
          <w:rFonts w:hint="eastAsia" w:ascii="宋体" w:hAnsi="宋体" w:cs="宋体"/>
          <w:b/>
          <w:sz w:val="24"/>
        </w:rPr>
        <w:t>十四、其他</w:t>
      </w:r>
    </w:p>
    <w:p w14:paraId="5871702E">
      <w:pPr>
        <w:spacing w:line="360" w:lineRule="auto"/>
        <w:ind w:firstLine="424" w:firstLineChars="177"/>
        <w:jc w:val="left"/>
        <w:outlineLvl w:val="1"/>
        <w:rPr>
          <w:rFonts w:ascii="宋体" w:hAnsi="宋体"/>
          <w:sz w:val="24"/>
        </w:rPr>
      </w:pPr>
      <w:r>
        <w:rPr>
          <w:rFonts w:ascii="宋体" w:hAnsi="宋体"/>
          <w:sz w:val="24"/>
        </w:rPr>
        <w:t>1</w:t>
      </w:r>
      <w:r>
        <w:rPr>
          <w:rFonts w:hint="eastAsia" w:ascii="宋体" w:hAnsi="宋体"/>
          <w:sz w:val="24"/>
        </w:rPr>
        <w:t>、</w:t>
      </w:r>
      <w:r>
        <w:rPr>
          <w:rFonts w:hint="eastAsia" w:hAnsi="宋体"/>
          <w:sz w:val="24"/>
        </w:rPr>
        <w:t>供应商承担其编制与递交比价文件所涉及的一切费用，不论成交结果如何，供应商提交的比价资料均不予退回，采购人不对未成交供应商作任何解释。</w:t>
      </w:r>
    </w:p>
    <w:p w14:paraId="67A4833C">
      <w:pPr>
        <w:spacing w:line="360" w:lineRule="auto"/>
        <w:ind w:firstLine="424" w:firstLineChars="177"/>
        <w:jc w:val="left"/>
        <w:outlineLvl w:val="1"/>
        <w:rPr>
          <w:rFonts w:ascii="宋体" w:hAnsi="宋体"/>
          <w:sz w:val="24"/>
        </w:rPr>
      </w:pPr>
      <w:r>
        <w:rPr>
          <w:rFonts w:ascii="宋体" w:hAnsi="宋体"/>
          <w:sz w:val="24"/>
        </w:rPr>
        <w:t>2</w:t>
      </w:r>
      <w:r>
        <w:rPr>
          <w:rFonts w:hint="eastAsia" w:ascii="宋体" w:hAnsi="宋体"/>
          <w:sz w:val="24"/>
        </w:rPr>
        <w:t>、比价文件的解释：本比价文件的解释权归采购人所有。</w:t>
      </w:r>
    </w:p>
    <w:p w14:paraId="689271FB">
      <w:pPr>
        <w:tabs>
          <w:tab w:val="left" w:pos="900"/>
          <w:tab w:val="left" w:pos="8280"/>
        </w:tabs>
        <w:spacing w:line="360" w:lineRule="auto"/>
        <w:ind w:right="25" w:rightChars="12"/>
        <w:rPr>
          <w:rFonts w:ascii="宋体" w:hAnsi="宋体"/>
          <w:sz w:val="24"/>
        </w:rPr>
      </w:pPr>
    </w:p>
    <w:p w14:paraId="5643E45A">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采 购 人：上海交通大学医学院附属新华医院</w:t>
      </w:r>
    </w:p>
    <w:p w14:paraId="1ABC12F7">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联系地址：上海市控江路1665号</w:t>
      </w:r>
    </w:p>
    <w:p w14:paraId="1F5AEC48">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联 系 人：罗老师</w:t>
      </w:r>
    </w:p>
    <w:p w14:paraId="0B7C044F">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 xml:space="preserve">联系电话：021-25076575 </w:t>
      </w:r>
    </w:p>
    <w:p w14:paraId="609DD301">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邮    箱：luoyao100</w:t>
      </w:r>
      <w:r>
        <w:rPr>
          <w:rFonts w:ascii="宋体" w:hAnsi="宋体"/>
          <w:sz w:val="24"/>
        </w:rPr>
        <w:t>2</w:t>
      </w:r>
      <w:r>
        <w:rPr>
          <w:rFonts w:hint="eastAsia" w:ascii="宋体" w:hAnsi="宋体"/>
          <w:sz w:val="24"/>
        </w:rPr>
        <w:t>2@xinhuamed.com.cn</w:t>
      </w:r>
    </w:p>
    <w:p w14:paraId="2DF47277">
      <w:pPr>
        <w:tabs>
          <w:tab w:val="left" w:pos="900"/>
          <w:tab w:val="left" w:pos="8280"/>
        </w:tabs>
        <w:spacing w:line="360" w:lineRule="auto"/>
        <w:ind w:right="25" w:rightChars="12" w:firstLine="480" w:firstLineChars="200"/>
        <w:rPr>
          <w:rFonts w:ascii="宋体" w:hAnsi="宋体"/>
          <w:sz w:val="24"/>
        </w:rPr>
      </w:pPr>
      <w:r>
        <w:rPr>
          <w:rFonts w:hint="eastAsia" w:ascii="宋体" w:hAnsi="宋体"/>
          <w:sz w:val="24"/>
        </w:rPr>
        <w:t xml:space="preserve">                              </w:t>
      </w:r>
    </w:p>
    <w:p w14:paraId="54F3158D">
      <w:pPr>
        <w:spacing w:line="360" w:lineRule="auto"/>
        <w:jc w:val="right"/>
        <w:rPr>
          <w:rFonts w:ascii="宋体" w:hAnsi="宋体"/>
          <w:bCs/>
          <w:sz w:val="24"/>
        </w:rPr>
      </w:pPr>
      <w:r>
        <w:rPr>
          <w:rFonts w:hint="eastAsia" w:ascii="宋体" w:hAnsi="宋体"/>
          <w:sz w:val="24"/>
        </w:rPr>
        <w:t xml:space="preserve">  新华医院采购与招标管理中心</w:t>
      </w:r>
      <w:r>
        <w:rPr>
          <w:rFonts w:ascii="宋体" w:hAnsi="宋体"/>
          <w:sz w:val="24"/>
        </w:rPr>
        <w:t xml:space="preserve">                        </w:t>
      </w:r>
      <w:r>
        <w:rPr>
          <w:rFonts w:hint="eastAsia" w:ascii="宋体" w:hAnsi="宋体"/>
          <w:sz w:val="24"/>
        </w:rPr>
        <w:t xml:space="preserve">                                                           </w:t>
      </w:r>
      <w:r>
        <w:rPr>
          <w:rFonts w:ascii="宋体" w:hAnsi="宋体"/>
          <w:sz w:val="24"/>
        </w:rPr>
        <w:t>2024年</w:t>
      </w:r>
      <w:r>
        <w:rPr>
          <w:rFonts w:hint="eastAsia" w:ascii="宋体" w:hAnsi="宋体"/>
          <w:sz w:val="24"/>
        </w:rPr>
        <w:t>7月</w:t>
      </w:r>
    </w:p>
    <w:p w14:paraId="72D0EC27">
      <w:pPr>
        <w:spacing w:line="360" w:lineRule="auto"/>
        <w:rPr>
          <w:rFonts w:ascii="宋体" w:hAnsi="宋体"/>
          <w:b/>
          <w:sz w:val="24"/>
        </w:rPr>
      </w:pPr>
      <w:r>
        <w:rPr>
          <w:rFonts w:ascii="宋体" w:hAnsi="宋体"/>
          <w:bCs/>
          <w:sz w:val="24"/>
        </w:rPr>
        <w:br w:type="page"/>
      </w:r>
      <w:r>
        <w:rPr>
          <w:rFonts w:hint="eastAsia" w:ascii="宋体" w:hAnsi="宋体"/>
          <w:b/>
          <w:sz w:val="24"/>
        </w:rPr>
        <w:t>附件一、对供应商的资格要求</w:t>
      </w:r>
    </w:p>
    <w:p w14:paraId="61972E95">
      <w:pPr>
        <w:numPr>
          <w:ilvl w:val="0"/>
          <w:numId w:val="4"/>
        </w:numPr>
        <w:spacing w:line="360" w:lineRule="auto"/>
        <w:rPr>
          <w:rFonts w:ascii="宋体" w:hAnsi="宋体"/>
          <w:sz w:val="24"/>
        </w:rPr>
      </w:pPr>
      <w:r>
        <w:rPr>
          <w:rFonts w:hint="eastAsia" w:ascii="宋体" w:hAnsi="宋体"/>
          <w:sz w:val="24"/>
        </w:rPr>
        <w:t>具有独立法人资格及相应经营范围、资质；</w:t>
      </w:r>
    </w:p>
    <w:p w14:paraId="237B8EB8">
      <w:pPr>
        <w:numPr>
          <w:ilvl w:val="0"/>
          <w:numId w:val="4"/>
        </w:numPr>
        <w:spacing w:line="360" w:lineRule="auto"/>
        <w:rPr>
          <w:rFonts w:ascii="宋体" w:hAnsi="宋体"/>
          <w:sz w:val="24"/>
        </w:rPr>
      </w:pPr>
      <w:r>
        <w:rPr>
          <w:rFonts w:hint="eastAsia" w:ascii="宋体" w:hAnsi="宋体" w:cs="宋体"/>
          <w:sz w:val="24"/>
        </w:rPr>
        <w:t>“信用中国”（www.creditchina.gov.cn）、中国政府采购网（www.ccgp.gov.cn）未被列入失信被执行人、重大税收违法案件当事人名单、政府采购严重违法失信行为记录名单截图。</w:t>
      </w:r>
    </w:p>
    <w:p w14:paraId="6C58F793">
      <w:pPr>
        <w:numPr>
          <w:ilvl w:val="0"/>
          <w:numId w:val="4"/>
        </w:numPr>
        <w:spacing w:line="360" w:lineRule="auto"/>
        <w:rPr>
          <w:rFonts w:ascii="宋体" w:hAnsi="宋体"/>
          <w:sz w:val="24"/>
        </w:rPr>
      </w:pPr>
      <w:r>
        <w:rPr>
          <w:rFonts w:hint="eastAsia" w:ascii="宋体" w:hAnsi="宋体"/>
          <w:sz w:val="24"/>
        </w:rPr>
        <w:t>住房和城乡建设部工程监理资质,房屋建筑工程乙级及其以上（含综合资质）</w:t>
      </w:r>
    </w:p>
    <w:p w14:paraId="761DABC3">
      <w:pPr>
        <w:spacing w:line="360" w:lineRule="auto"/>
        <w:rPr>
          <w:rFonts w:ascii="宋体" w:hAnsi="宋体"/>
          <w:b/>
          <w:sz w:val="24"/>
        </w:rPr>
      </w:pPr>
    </w:p>
    <w:p w14:paraId="39E564FA">
      <w:pPr>
        <w:spacing w:line="360" w:lineRule="auto"/>
        <w:rPr>
          <w:rFonts w:ascii="宋体" w:hAnsi="宋体"/>
          <w:b/>
          <w:sz w:val="24"/>
        </w:rPr>
      </w:pPr>
      <w:r>
        <w:rPr>
          <w:rFonts w:hint="eastAsia" w:ascii="宋体" w:hAnsi="宋体"/>
          <w:b/>
          <w:sz w:val="24"/>
        </w:rPr>
        <w:t>备注：请各供应商根据上述资格条件，提供相关的资格证明文件</w:t>
      </w:r>
      <w:r>
        <w:rPr>
          <w:rFonts w:hint="eastAsia" w:ascii="宋体" w:hAnsi="宋体"/>
          <w:sz w:val="24"/>
        </w:rPr>
        <w:t>（</w:t>
      </w:r>
      <w:r>
        <w:rPr>
          <w:rFonts w:hint="eastAsia" w:ascii="宋体" w:hAnsi="宋体"/>
          <w:bCs/>
          <w:sz w:val="24"/>
        </w:rPr>
        <w:t>营业执照副本复印件1份、</w:t>
      </w:r>
      <w:r>
        <w:rPr>
          <w:rFonts w:hint="eastAsia" w:ascii="宋体" w:hAnsi="宋体"/>
          <w:sz w:val="24"/>
        </w:rPr>
        <w:t>其他上述提及的资格证明文件复印件各1份</w:t>
      </w:r>
      <w:r>
        <w:rPr>
          <w:rFonts w:hint="eastAsia" w:ascii="宋体" w:hAnsi="宋体"/>
          <w:b/>
          <w:sz w:val="24"/>
        </w:rPr>
        <w:t>。所有复印件需加盖公章。</w:t>
      </w:r>
    </w:p>
    <w:p w14:paraId="5BA68033">
      <w:pPr>
        <w:spacing w:line="360" w:lineRule="auto"/>
        <w:rPr>
          <w:rFonts w:ascii="宋体" w:hAnsi="宋体"/>
          <w:b/>
          <w:sz w:val="24"/>
        </w:rPr>
      </w:pPr>
    </w:p>
    <w:p w14:paraId="03E40150">
      <w:pPr>
        <w:spacing w:line="360" w:lineRule="auto"/>
        <w:rPr>
          <w:rFonts w:ascii="宋体" w:hAnsi="宋体" w:cs="宋体"/>
          <w:sz w:val="24"/>
        </w:rPr>
      </w:pPr>
      <w:r>
        <w:rPr>
          <w:rFonts w:hint="eastAsia" w:ascii="宋体" w:hAnsi="宋体" w:cs="宋体"/>
          <w:sz w:val="24"/>
        </w:rPr>
        <w:t>供应商名称：（公章）</w:t>
      </w:r>
    </w:p>
    <w:p w14:paraId="72CEAB64">
      <w:pPr>
        <w:spacing w:line="360" w:lineRule="auto"/>
        <w:rPr>
          <w:rFonts w:ascii="宋体" w:hAnsi="宋体" w:cs="宋体"/>
          <w:sz w:val="24"/>
        </w:rPr>
      </w:pPr>
      <w:r>
        <w:rPr>
          <w:rFonts w:hint="eastAsia" w:ascii="宋体" w:hAnsi="宋体" w:cs="宋体"/>
          <w:sz w:val="24"/>
        </w:rPr>
        <w:t>日期：</w:t>
      </w:r>
    </w:p>
    <w:p w14:paraId="1B8F4CF9">
      <w:pPr>
        <w:spacing w:line="360" w:lineRule="auto"/>
        <w:rPr>
          <w:rFonts w:ascii="宋体" w:hAnsi="宋体"/>
          <w:b/>
          <w:sz w:val="24"/>
        </w:rPr>
      </w:pPr>
    </w:p>
    <w:p w14:paraId="4C1B933B">
      <w:pPr>
        <w:spacing w:after="312" w:afterLines="100"/>
        <w:jc w:val="left"/>
        <w:rPr>
          <w:rFonts w:ascii="宋体" w:hAnsi="宋体"/>
          <w:b/>
          <w:sz w:val="24"/>
        </w:rPr>
      </w:pPr>
      <w:r>
        <w:rPr>
          <w:rFonts w:ascii="宋体" w:hAnsi="宋体"/>
          <w:b/>
          <w:sz w:val="24"/>
        </w:rPr>
        <w:br w:type="page"/>
      </w:r>
      <w:r>
        <w:rPr>
          <w:rFonts w:hint="eastAsia" w:ascii="宋体" w:hAnsi="宋体"/>
          <w:b/>
          <w:sz w:val="24"/>
        </w:rPr>
        <w:t>附件二、法定代表人资格证明文件</w:t>
      </w:r>
    </w:p>
    <w:p w14:paraId="3925D019">
      <w:pPr>
        <w:spacing w:after="312" w:afterLines="100"/>
        <w:jc w:val="center"/>
        <w:rPr>
          <w:rFonts w:ascii="宋体" w:hAnsi="宋体" w:cs="宋体"/>
          <w:b/>
          <w:bCs/>
          <w:sz w:val="32"/>
          <w:szCs w:val="32"/>
        </w:rPr>
      </w:pPr>
      <w:r>
        <w:rPr>
          <w:rFonts w:hint="eastAsia" w:ascii="宋体" w:hAnsi="宋体" w:cs="宋体"/>
          <w:b/>
          <w:bCs/>
          <w:sz w:val="32"/>
          <w:szCs w:val="32"/>
        </w:rPr>
        <w:t>法定代表人资格证明书</w:t>
      </w:r>
    </w:p>
    <w:p w14:paraId="7662A061">
      <w:pPr>
        <w:ind w:firstLine="560" w:firstLineChars="200"/>
        <w:rPr>
          <w:rFonts w:eastAsia="楷体_GB2312"/>
          <w:sz w:val="28"/>
          <w:szCs w:val="28"/>
        </w:rPr>
      </w:pPr>
    </w:p>
    <w:p w14:paraId="3367099A">
      <w:pPr>
        <w:ind w:firstLine="560" w:firstLineChars="20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14:paraId="4919B1B6">
      <w:pPr>
        <w:ind w:firstLine="560" w:firstLineChars="200"/>
        <w:rPr>
          <w:sz w:val="28"/>
          <w:szCs w:val="28"/>
        </w:rPr>
      </w:pPr>
    </w:p>
    <w:p w14:paraId="2A355B31">
      <w:pPr>
        <w:ind w:firstLine="560" w:firstLineChars="200"/>
        <w:rPr>
          <w:sz w:val="28"/>
          <w:szCs w:val="28"/>
        </w:rPr>
      </w:pPr>
      <w:r>
        <w:rPr>
          <w:sz w:val="28"/>
          <w:szCs w:val="28"/>
        </w:rPr>
        <w:t>特此证明</w:t>
      </w:r>
    </w:p>
    <w:p w14:paraId="3D57214D">
      <w:pPr>
        <w:rPr>
          <w:sz w:val="28"/>
          <w:szCs w:val="28"/>
        </w:rPr>
      </w:pPr>
      <w: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1AABD049">
                            <w:pPr>
                              <w:jc w:val="center"/>
                              <w:rPr>
                                <w:rFonts w:ascii="宋体"/>
                              </w:rPr>
                            </w:pPr>
                          </w:p>
                          <w:p w14:paraId="0BA3D221">
                            <w:pPr>
                              <w:jc w:val="center"/>
                              <w:rPr>
                                <w:rFonts w:ascii="宋体" w:hAnsi="宋体"/>
                                <w:sz w:val="28"/>
                                <w:szCs w:val="28"/>
                              </w:rPr>
                            </w:pPr>
                            <w:r>
                              <w:rPr>
                                <w:rFonts w:hint="eastAsia" w:ascii="宋体" w:hAnsi="宋体"/>
                                <w:sz w:val="28"/>
                                <w:szCs w:val="28"/>
                              </w:rPr>
                              <w:t>法定代表人身份证复印件</w:t>
                            </w:r>
                          </w:p>
                          <w:p w14:paraId="46921EB7">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29StB1AAAAAkBAAAP&#10;AAAAAAAAAAEAIAAAACIAAABkcnMvZG93bnJldi54bWxQSwECFAAUAAAACACHTuJATLl8+1UCAACt&#10;BAAADgAAAAAAAAABACAAAAAjAQAAZHJzL2Uyb0RvYy54bWxQSwUGAAAAAAYABgBZAQAA6gUAAAAA&#10;">
                <v:fill on="t" focussize="0,0"/>
                <v:stroke color="#000000" miterlimit="8" joinstyle="miter" dashstyle="dash"/>
                <v:imagedata o:title=""/>
                <o:lock v:ext="edit" aspectratio="f"/>
                <v:textbox>
                  <w:txbxContent>
                    <w:p w14:paraId="1AABD049">
                      <w:pPr>
                        <w:jc w:val="center"/>
                        <w:rPr>
                          <w:rFonts w:ascii="宋体"/>
                        </w:rPr>
                      </w:pPr>
                    </w:p>
                    <w:p w14:paraId="0BA3D221">
                      <w:pPr>
                        <w:jc w:val="center"/>
                        <w:rPr>
                          <w:rFonts w:ascii="宋体" w:hAnsi="宋体"/>
                          <w:sz w:val="28"/>
                          <w:szCs w:val="28"/>
                        </w:rPr>
                      </w:pPr>
                      <w:r>
                        <w:rPr>
                          <w:rFonts w:hint="eastAsia" w:ascii="宋体" w:hAnsi="宋体"/>
                          <w:sz w:val="28"/>
                          <w:szCs w:val="28"/>
                        </w:rPr>
                        <w:t>法定代表人身份证复印件</w:t>
                      </w:r>
                    </w:p>
                    <w:p w14:paraId="46921EB7">
                      <w:pPr>
                        <w:jc w:val="center"/>
                        <w:rPr>
                          <w:sz w:val="28"/>
                          <w:szCs w:val="28"/>
                        </w:rPr>
                      </w:pPr>
                      <w:r>
                        <w:rPr>
                          <w:rFonts w:hint="eastAsia" w:ascii="宋体" w:hAnsi="宋体"/>
                          <w:sz w:val="28"/>
                          <w:szCs w:val="28"/>
                        </w:rPr>
                        <w:t>（正面）</w:t>
                      </w:r>
                    </w:p>
                  </w:txbxContent>
                </v:textbox>
              </v:shape>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0A4A33E0">
                            <w:pPr>
                              <w:jc w:val="center"/>
                              <w:rPr>
                                <w:rFonts w:ascii="宋体"/>
                              </w:rPr>
                            </w:pPr>
                          </w:p>
                          <w:p w14:paraId="794CFC87">
                            <w:pPr>
                              <w:jc w:val="center"/>
                              <w:rPr>
                                <w:rFonts w:ascii="宋体" w:hAnsi="宋体"/>
                                <w:sz w:val="28"/>
                                <w:szCs w:val="28"/>
                              </w:rPr>
                            </w:pPr>
                            <w:r>
                              <w:rPr>
                                <w:rFonts w:hint="eastAsia" w:ascii="宋体" w:hAnsi="宋体"/>
                                <w:sz w:val="28"/>
                                <w:szCs w:val="28"/>
                              </w:rPr>
                              <w:t>法定代表人身份证复印件</w:t>
                            </w:r>
                          </w:p>
                          <w:p w14:paraId="601943FB">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pt;margin-top:5pt;height:88.65pt;width:176.45pt;z-index:251661312;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T3nsjWAAAACgEA&#10;AA8AAAAAAAAAAQAgAAAAIgAAAGRycy9kb3ducmV2LnhtbFBLAQIUABQAAAAIAIdO4kCwrMapVQIA&#10;AK0EAAAOAAAAAAAAAAEAIAAAACUBAABkcnMvZTJvRG9jLnhtbFBLBQYAAAAABgAGAFkBAADsBQAA&#10;AAA=&#10;">
                <v:fill on="t" focussize="0,0"/>
                <v:stroke color="#000000" miterlimit="8" joinstyle="miter" dashstyle="dash"/>
                <v:imagedata o:title=""/>
                <o:lock v:ext="edit" aspectratio="f"/>
                <v:textbox>
                  <w:txbxContent>
                    <w:p w14:paraId="0A4A33E0">
                      <w:pPr>
                        <w:jc w:val="center"/>
                        <w:rPr>
                          <w:rFonts w:ascii="宋体"/>
                        </w:rPr>
                      </w:pPr>
                    </w:p>
                    <w:p w14:paraId="794CFC87">
                      <w:pPr>
                        <w:jc w:val="center"/>
                        <w:rPr>
                          <w:rFonts w:ascii="宋体" w:hAnsi="宋体"/>
                          <w:sz w:val="28"/>
                          <w:szCs w:val="28"/>
                        </w:rPr>
                      </w:pPr>
                      <w:r>
                        <w:rPr>
                          <w:rFonts w:hint="eastAsia" w:ascii="宋体" w:hAnsi="宋体"/>
                          <w:sz w:val="28"/>
                          <w:szCs w:val="28"/>
                        </w:rPr>
                        <w:t>法定代表人身份证复印件</w:t>
                      </w:r>
                    </w:p>
                    <w:p w14:paraId="601943FB">
                      <w:pPr>
                        <w:jc w:val="center"/>
                        <w:rPr>
                          <w:sz w:val="28"/>
                          <w:szCs w:val="28"/>
                        </w:rPr>
                      </w:pPr>
                      <w:r>
                        <w:rPr>
                          <w:rFonts w:hint="eastAsia" w:ascii="宋体" w:hAnsi="宋体"/>
                          <w:sz w:val="28"/>
                          <w:szCs w:val="28"/>
                        </w:rPr>
                        <w:t>（反面）</w:t>
                      </w:r>
                    </w:p>
                  </w:txbxContent>
                </v:textbox>
              </v:shape>
            </w:pict>
          </mc:Fallback>
        </mc:AlternateContent>
      </w:r>
    </w:p>
    <w:p w14:paraId="2B89E0AC">
      <w:pPr>
        <w:rPr>
          <w:sz w:val="28"/>
          <w:szCs w:val="28"/>
        </w:rPr>
      </w:pPr>
    </w:p>
    <w:p w14:paraId="664A0837">
      <w:pPr>
        <w:rPr>
          <w:sz w:val="28"/>
          <w:szCs w:val="28"/>
        </w:rPr>
      </w:pPr>
    </w:p>
    <w:p w14:paraId="4CD5C81C">
      <w:pPr>
        <w:rPr>
          <w:sz w:val="28"/>
          <w:szCs w:val="28"/>
        </w:rPr>
      </w:pPr>
    </w:p>
    <w:p w14:paraId="0F4ABF4C">
      <w:pPr>
        <w:rPr>
          <w:sz w:val="28"/>
          <w:szCs w:val="28"/>
        </w:rPr>
      </w:pPr>
    </w:p>
    <w:p w14:paraId="452891F5">
      <w:pPr>
        <w:rPr>
          <w:sz w:val="28"/>
          <w:szCs w:val="28"/>
        </w:rPr>
      </w:pPr>
    </w:p>
    <w:p w14:paraId="263B6804">
      <w:pPr>
        <w:rPr>
          <w:sz w:val="28"/>
          <w:szCs w:val="28"/>
        </w:rPr>
      </w:pPr>
    </w:p>
    <w:p w14:paraId="0C347150">
      <w:pPr>
        <w:rPr>
          <w:sz w:val="28"/>
          <w:szCs w:val="28"/>
        </w:rPr>
      </w:pPr>
    </w:p>
    <w:p w14:paraId="79A1F2BC">
      <w:pPr>
        <w:ind w:firstLine="4900" w:firstLineChars="1750"/>
        <w:rPr>
          <w:sz w:val="28"/>
          <w:szCs w:val="28"/>
        </w:rPr>
      </w:pPr>
    </w:p>
    <w:p w14:paraId="72A379AC">
      <w:pPr>
        <w:jc w:val="center"/>
        <w:rPr>
          <w:sz w:val="28"/>
          <w:szCs w:val="28"/>
        </w:rPr>
      </w:pPr>
      <w:r>
        <w:rPr>
          <w:sz w:val="28"/>
          <w:szCs w:val="28"/>
        </w:rPr>
        <w:t xml:space="preserve">                   </w:t>
      </w:r>
      <w:r>
        <w:rPr>
          <w:rFonts w:hint="eastAsia"/>
          <w:sz w:val="28"/>
          <w:szCs w:val="28"/>
        </w:rPr>
        <w:t>供应商</w:t>
      </w:r>
      <w:r>
        <w:rPr>
          <w:sz w:val="28"/>
          <w:szCs w:val="28"/>
        </w:rPr>
        <w:t>全称：（盖章）</w:t>
      </w:r>
    </w:p>
    <w:p w14:paraId="4A4CEB0E">
      <w:pPr>
        <w:jc w:val="left"/>
        <w:rPr>
          <w:sz w:val="28"/>
          <w:szCs w:val="28"/>
        </w:rPr>
      </w:pPr>
    </w:p>
    <w:p w14:paraId="53387E67">
      <w:pPr>
        <w:jc w:val="center"/>
        <w:rPr>
          <w:sz w:val="28"/>
          <w:szCs w:val="28"/>
        </w:rPr>
      </w:pPr>
      <w:r>
        <w:rPr>
          <w:sz w:val="28"/>
          <w:szCs w:val="28"/>
        </w:rPr>
        <w:t xml:space="preserve">                         年  月  日</w:t>
      </w:r>
    </w:p>
    <w:p w14:paraId="1C3C50D2">
      <w:pPr>
        <w:ind w:firstLine="5980" w:firstLineChars="1869"/>
        <w:jc w:val="left"/>
        <w:rPr>
          <w:sz w:val="32"/>
          <w:szCs w:val="32"/>
        </w:rPr>
      </w:pPr>
    </w:p>
    <w:p w14:paraId="0B21559A">
      <w:pPr>
        <w:rPr>
          <w:rFonts w:ascii="宋体" w:hAnsi="宋体"/>
          <w:b/>
          <w:sz w:val="24"/>
        </w:rPr>
      </w:pPr>
      <w:r>
        <w:rPr>
          <w:rFonts w:eastAsia="黑体"/>
          <w:sz w:val="28"/>
          <w:szCs w:val="28"/>
        </w:rPr>
        <w:br w:type="page"/>
      </w:r>
      <w:r>
        <w:rPr>
          <w:rFonts w:hint="eastAsia" w:ascii="宋体" w:hAnsi="宋体"/>
          <w:b/>
          <w:sz w:val="24"/>
        </w:rPr>
        <w:t>附件三、法定代表人授权书</w:t>
      </w:r>
    </w:p>
    <w:p w14:paraId="5C3D5057">
      <w:pPr>
        <w:rPr>
          <w:rFonts w:ascii="宋体" w:hAnsi="宋体"/>
          <w:b/>
          <w:sz w:val="24"/>
        </w:rPr>
      </w:pPr>
    </w:p>
    <w:p w14:paraId="7A35393F">
      <w:pPr>
        <w:spacing w:after="312" w:afterLines="100"/>
        <w:jc w:val="center"/>
        <w:rPr>
          <w:rFonts w:ascii="宋体" w:hAnsi="宋体" w:cs="宋体"/>
          <w:b/>
          <w:bCs/>
          <w:sz w:val="32"/>
          <w:szCs w:val="32"/>
        </w:rPr>
      </w:pPr>
      <w:r>
        <w:rPr>
          <w:rFonts w:hint="eastAsia" w:ascii="宋体" w:hAnsi="宋体" w:cs="宋体"/>
          <w:b/>
          <w:bCs/>
          <w:sz w:val="32"/>
          <w:szCs w:val="32"/>
        </w:rPr>
        <w:t>法定代表人授权书</w:t>
      </w:r>
    </w:p>
    <w:p w14:paraId="525CACCD">
      <w:pPr>
        <w:spacing w:line="560" w:lineRule="exact"/>
        <w:rPr>
          <w:rFonts w:ascii="华文中宋" w:hAnsi="华文中宋" w:eastAsia="华文中宋" w:cs="华文中宋"/>
          <w:b/>
          <w:sz w:val="28"/>
          <w:szCs w:val="28"/>
        </w:rPr>
      </w:pPr>
    </w:p>
    <w:p w14:paraId="0948D88A">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14:paraId="703E81E3">
      <w:pPr>
        <w:spacing w:line="600" w:lineRule="exact"/>
        <w:ind w:firstLine="596" w:firstLineChars="213"/>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5FD67982">
      <w:pPr>
        <w:spacing w:line="560" w:lineRule="exact"/>
        <w:ind w:firstLine="600"/>
        <w:rPr>
          <w:sz w:val="28"/>
          <w:szCs w:val="28"/>
        </w:rPr>
      </w:pPr>
    </w:p>
    <w:p w14:paraId="4A5E3244">
      <w:pPr>
        <w:spacing w:line="560" w:lineRule="exact"/>
        <w:ind w:left="-2" w:leftChars="-1" w:firstLine="3512"/>
        <w:rPr>
          <w:sz w:val="28"/>
          <w:szCs w:val="28"/>
        </w:rPr>
      </w:pPr>
      <w:r>
        <w:rPr>
          <w:rFonts w:hint="eastAsia"/>
          <w:sz w:val="28"/>
          <w:szCs w:val="28"/>
        </w:rPr>
        <w:t>供应商</w:t>
      </w:r>
      <w:r>
        <w:rPr>
          <w:sz w:val="28"/>
          <w:szCs w:val="28"/>
        </w:rPr>
        <w:t>全称：（盖章）</w:t>
      </w:r>
    </w:p>
    <w:p w14:paraId="221FB7C5">
      <w:pPr>
        <w:spacing w:line="560" w:lineRule="exact"/>
        <w:ind w:left="6360" w:leftChars="1413" w:hanging="3393"/>
        <w:rPr>
          <w:sz w:val="28"/>
          <w:szCs w:val="28"/>
        </w:rPr>
      </w:pPr>
      <w:r>
        <w:rPr>
          <w:sz w:val="28"/>
          <w:szCs w:val="28"/>
        </w:rPr>
        <w:t xml:space="preserve">                            </w:t>
      </w:r>
    </w:p>
    <w:p w14:paraId="21597711">
      <w:pPr>
        <w:spacing w:line="560" w:lineRule="exact"/>
        <w:ind w:left="6339" w:leftChars="1471" w:hanging="3250" w:hangingChars="1161"/>
        <w:rPr>
          <w:sz w:val="28"/>
          <w:szCs w:val="28"/>
        </w:rPr>
      </w:pPr>
      <w:r>
        <w:rPr>
          <w:sz w:val="28"/>
          <w:szCs w:val="28"/>
        </w:rPr>
        <w:t>法定代表人：（签字或盖章）</w:t>
      </w:r>
    </w:p>
    <w:p w14:paraId="57DDE722">
      <w:pPr>
        <w:spacing w:line="560" w:lineRule="exact"/>
        <w:ind w:left="6360" w:leftChars="1413" w:hanging="3393"/>
        <w:rPr>
          <w:sz w:val="28"/>
          <w:szCs w:val="28"/>
        </w:rPr>
      </w:pPr>
      <w:r>
        <w:rPr>
          <w:sz w:val="28"/>
          <w:szCs w:val="28"/>
        </w:rPr>
        <w:t xml:space="preserve">                     年    月    日</w:t>
      </w:r>
    </w:p>
    <w:p w14:paraId="1DB3E591">
      <w:pPr>
        <w:spacing w:line="560" w:lineRule="exact"/>
        <w:rPr>
          <w:sz w:val="28"/>
          <w:szCs w:val="28"/>
        </w:rPr>
      </w:pPr>
      <w:r>
        <w:rPr>
          <w:sz w:val="28"/>
          <w:szCs w:val="28"/>
        </w:rPr>
        <w:t>附：</w:t>
      </w:r>
    </w:p>
    <w:p w14:paraId="2DBD8477">
      <w:pPr>
        <w:spacing w:line="560" w:lineRule="exact"/>
        <w:ind w:firstLine="573"/>
        <w:rPr>
          <w:sz w:val="28"/>
          <w:szCs w:val="28"/>
        </w:rPr>
      </w:pPr>
      <w:r>
        <w:rPr>
          <w:sz w:val="28"/>
          <w:szCs w:val="28"/>
        </w:rPr>
        <w:t xml:space="preserve">授权代表姓名：              </w:t>
      </w:r>
    </w:p>
    <w:p w14:paraId="7DF156FE">
      <w:pPr>
        <w:spacing w:line="560" w:lineRule="exact"/>
        <w:ind w:firstLine="573"/>
        <w:rPr>
          <w:sz w:val="28"/>
          <w:szCs w:val="28"/>
        </w:rPr>
      </w:pPr>
      <w:r>
        <w:rPr>
          <w:sz w:val="28"/>
          <w:szCs w:val="28"/>
        </w:rPr>
        <w:t>职    务：                  电    话：</w:t>
      </w:r>
    </w:p>
    <w:p w14:paraId="0C52FAE1">
      <w:pPr>
        <w:spacing w:line="560" w:lineRule="exact"/>
        <w:ind w:firstLine="573"/>
        <w:rPr>
          <w:sz w:val="28"/>
          <w:szCs w:val="28"/>
        </w:rPr>
      </w:pPr>
      <w:r>
        <w:rPr>
          <w:sz w:val="28"/>
          <w:szCs w:val="28"/>
        </w:rPr>
        <w:t>传    真：                  邮    编：</w:t>
      </w:r>
    </w:p>
    <w:p w14:paraId="250063F3">
      <w:pPr>
        <w:spacing w:line="560" w:lineRule="exact"/>
        <w:ind w:firstLine="573"/>
        <w:rPr>
          <w:sz w:val="28"/>
          <w:szCs w:val="28"/>
        </w:rPr>
      </w:pPr>
      <w:r>
        <w:rPr>
          <w:sz w:val="28"/>
          <w:szCs w:val="28"/>
        </w:rPr>
        <w:t>通讯地址：</w:t>
      </w:r>
    </w:p>
    <w:p w14:paraId="68888DAD">
      <w:pPr>
        <w:spacing w:line="560" w:lineRule="exact"/>
        <w:ind w:firstLine="573"/>
      </w:pPr>
      <w: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03615A79">
                            <w:pPr>
                              <w:jc w:val="center"/>
                              <w:rPr>
                                <w:rFonts w:ascii="宋体"/>
                              </w:rPr>
                            </w:pPr>
                          </w:p>
                          <w:p w14:paraId="736FFC78">
                            <w:pPr>
                              <w:jc w:val="center"/>
                              <w:rPr>
                                <w:rFonts w:ascii="宋体" w:hAnsi="宋体"/>
                                <w:sz w:val="28"/>
                                <w:szCs w:val="28"/>
                              </w:rPr>
                            </w:pPr>
                            <w:r>
                              <w:rPr>
                                <w:rFonts w:hint="eastAsia" w:ascii="宋体" w:hAnsi="宋体"/>
                                <w:sz w:val="28"/>
                                <w:szCs w:val="28"/>
                              </w:rPr>
                              <w:t>授权代表身份证复印件</w:t>
                            </w:r>
                          </w:p>
                          <w:p w14:paraId="10103DC7">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45pt;margin-top:9.4pt;height:88.65pt;width:176.45pt;z-index:251663360;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pjHct1QAAAAoBAAAP&#10;AAAAAAAAAAEAIAAAACIAAABkcnMvZG93bnJldi54bWxQSwECFAAUAAAACACHTuJAj3GF8VQCAACt&#10;BAAADgAAAAAAAAABACAAAAAkAQAAZHJzL2Uyb0RvYy54bWxQSwUGAAAAAAYABgBZAQAA6gUAAAAA&#10;">
                <v:fill on="t" focussize="0,0"/>
                <v:stroke color="#000000" miterlimit="8" joinstyle="miter" dashstyle="dash"/>
                <v:imagedata o:title=""/>
                <o:lock v:ext="edit" aspectratio="f"/>
                <v:textbox>
                  <w:txbxContent>
                    <w:p w14:paraId="03615A79">
                      <w:pPr>
                        <w:jc w:val="center"/>
                        <w:rPr>
                          <w:rFonts w:ascii="宋体"/>
                        </w:rPr>
                      </w:pPr>
                    </w:p>
                    <w:p w14:paraId="736FFC78">
                      <w:pPr>
                        <w:jc w:val="center"/>
                        <w:rPr>
                          <w:rFonts w:ascii="宋体" w:hAnsi="宋体"/>
                          <w:sz w:val="28"/>
                          <w:szCs w:val="28"/>
                        </w:rPr>
                      </w:pPr>
                      <w:r>
                        <w:rPr>
                          <w:rFonts w:hint="eastAsia" w:ascii="宋体" w:hAnsi="宋体"/>
                          <w:sz w:val="28"/>
                          <w:szCs w:val="28"/>
                        </w:rPr>
                        <w:t>授权代表身份证复印件</w:t>
                      </w:r>
                    </w:p>
                    <w:p w14:paraId="10103DC7">
                      <w:pPr>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0CF7A005">
                            <w:pPr>
                              <w:jc w:val="center"/>
                              <w:rPr>
                                <w:rFonts w:ascii="宋体"/>
                              </w:rPr>
                            </w:pPr>
                          </w:p>
                          <w:p w14:paraId="3028BCB6">
                            <w:pPr>
                              <w:jc w:val="center"/>
                              <w:rPr>
                                <w:rFonts w:ascii="宋体" w:hAnsi="宋体"/>
                                <w:sz w:val="28"/>
                                <w:szCs w:val="28"/>
                              </w:rPr>
                            </w:pPr>
                            <w:r>
                              <w:rPr>
                                <w:rFonts w:hint="eastAsia" w:ascii="宋体" w:hAnsi="宋体"/>
                                <w:sz w:val="28"/>
                                <w:szCs w:val="28"/>
                              </w:rPr>
                              <w:t>授权代表身份证复印件</w:t>
                            </w:r>
                          </w:p>
                          <w:p w14:paraId="7B73A588">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6pt;margin-top:9.25pt;height:88.65pt;width:176.45pt;z-index:251662336;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2rYYW1QAAAAkBAAAP&#10;AAAAAAAAAAEAIAAAACIAAABkcnMvZG93bnJldi54bWxQSwECFAAUAAAACACHTuJAzhZBGVQCAACt&#10;BAAADgAAAAAAAAABACAAAAAkAQAAZHJzL2Uyb0RvYy54bWxQSwUGAAAAAAYABgBZAQAA6gUAAAAA&#10;">
                <v:fill on="t" focussize="0,0"/>
                <v:stroke color="#000000" miterlimit="8" joinstyle="miter" dashstyle="dash"/>
                <v:imagedata o:title=""/>
                <o:lock v:ext="edit" aspectratio="f"/>
                <v:textbox>
                  <w:txbxContent>
                    <w:p w14:paraId="0CF7A005">
                      <w:pPr>
                        <w:jc w:val="center"/>
                        <w:rPr>
                          <w:rFonts w:ascii="宋体"/>
                        </w:rPr>
                      </w:pPr>
                    </w:p>
                    <w:p w14:paraId="3028BCB6">
                      <w:pPr>
                        <w:jc w:val="center"/>
                        <w:rPr>
                          <w:rFonts w:ascii="宋体" w:hAnsi="宋体"/>
                          <w:sz w:val="28"/>
                          <w:szCs w:val="28"/>
                        </w:rPr>
                      </w:pPr>
                      <w:r>
                        <w:rPr>
                          <w:rFonts w:hint="eastAsia" w:ascii="宋体" w:hAnsi="宋体"/>
                          <w:sz w:val="28"/>
                          <w:szCs w:val="28"/>
                        </w:rPr>
                        <w:t>授权代表身份证复印件</w:t>
                      </w:r>
                    </w:p>
                    <w:p w14:paraId="7B73A588">
                      <w:pPr>
                        <w:jc w:val="center"/>
                        <w:rPr>
                          <w:sz w:val="28"/>
                          <w:szCs w:val="28"/>
                        </w:rPr>
                      </w:pPr>
                      <w:r>
                        <w:rPr>
                          <w:rFonts w:hint="eastAsia" w:ascii="宋体" w:hAnsi="宋体"/>
                          <w:sz w:val="28"/>
                          <w:szCs w:val="28"/>
                        </w:rPr>
                        <w:t>（正面）</w:t>
                      </w:r>
                    </w:p>
                  </w:txbxContent>
                </v:textbox>
              </v:shape>
            </w:pict>
          </mc:Fallback>
        </mc:AlternateContent>
      </w:r>
    </w:p>
    <w:p w14:paraId="5C34AC2A">
      <w:pPr>
        <w:spacing w:line="560" w:lineRule="exact"/>
        <w:ind w:firstLine="573"/>
      </w:pPr>
    </w:p>
    <w:p w14:paraId="7214503F">
      <w:pPr>
        <w:spacing w:line="560" w:lineRule="exact"/>
        <w:ind w:firstLine="573"/>
      </w:pPr>
    </w:p>
    <w:p w14:paraId="0D1B50B7">
      <w:pPr>
        <w:spacing w:line="560" w:lineRule="exact"/>
        <w:ind w:firstLine="573"/>
      </w:pPr>
    </w:p>
    <w:p w14:paraId="1705FAAC">
      <w:pPr>
        <w:spacing w:line="560" w:lineRule="exact"/>
        <w:ind w:firstLine="573"/>
      </w:pPr>
    </w:p>
    <w:p w14:paraId="25952367">
      <w:pPr>
        <w:spacing w:line="360" w:lineRule="auto"/>
        <w:rPr>
          <w:rFonts w:ascii="宋体" w:hAnsi="宋体"/>
          <w:b/>
          <w:sz w:val="24"/>
        </w:rPr>
      </w:pPr>
      <w:r>
        <w:rPr>
          <w:rFonts w:hint="eastAsia" w:ascii="宋体" w:hAnsi="宋体"/>
          <w:b/>
          <w:color w:val="C00000"/>
          <w:sz w:val="28"/>
          <w:szCs w:val="28"/>
        </w:rPr>
        <w:t>注：授权代表需提供近六个月任意一个月在该公司社保缴纳证明。</w:t>
      </w:r>
    </w:p>
    <w:p w14:paraId="25A827C1">
      <w:pPr>
        <w:spacing w:line="360" w:lineRule="auto"/>
        <w:outlineLvl w:val="0"/>
        <w:rPr>
          <w:rFonts w:ascii="宋体" w:hAnsi="宋体" w:cs="宋体"/>
          <w:sz w:val="24"/>
        </w:rPr>
        <w:sectPr>
          <w:footerReference r:id="rId5" w:type="default"/>
          <w:pgSz w:w="11906" w:h="16838"/>
          <w:pgMar w:top="1440" w:right="1080" w:bottom="1440" w:left="1080" w:header="851" w:footer="992" w:gutter="0"/>
          <w:pgNumType w:start="1"/>
          <w:cols w:space="720" w:num="1"/>
          <w:docGrid w:type="lines" w:linePitch="312" w:charSpace="0"/>
        </w:sectPr>
      </w:pPr>
    </w:p>
    <w:p w14:paraId="2362BFA8">
      <w:pPr>
        <w:spacing w:line="360" w:lineRule="auto"/>
        <w:outlineLvl w:val="0"/>
        <w:rPr>
          <w:rFonts w:ascii="宋体" w:hAnsi="宋体"/>
          <w:b/>
          <w:sz w:val="24"/>
        </w:rPr>
      </w:pPr>
      <w:r>
        <w:rPr>
          <w:rFonts w:hint="eastAsia" w:ascii="宋体" w:hAnsi="宋体"/>
          <w:b/>
          <w:sz w:val="24"/>
        </w:rPr>
        <w:t xml:space="preserve">附件四： </w:t>
      </w:r>
    </w:p>
    <w:p w14:paraId="6C3F96A4">
      <w:pPr>
        <w:spacing w:line="360" w:lineRule="auto"/>
        <w:outlineLvl w:val="0"/>
        <w:rPr>
          <w:rFonts w:ascii="宋体" w:hAnsi="宋体"/>
          <w:b/>
          <w:sz w:val="24"/>
        </w:rPr>
      </w:pPr>
      <w:r>
        <w:rPr>
          <w:rFonts w:ascii="宋体" w:hAnsi="宋体"/>
          <w:b/>
          <w:sz w:val="24"/>
        </w:rPr>
        <w:t>表</w:t>
      </w:r>
      <w:r>
        <w:rPr>
          <w:rFonts w:hint="eastAsia" w:ascii="宋体" w:hAnsi="宋体"/>
          <w:b/>
          <w:sz w:val="24"/>
        </w:rPr>
        <w:t>1：</w:t>
      </w:r>
    </w:p>
    <w:p w14:paraId="2D23F6B5">
      <w:pPr>
        <w:spacing w:line="360" w:lineRule="auto"/>
        <w:jc w:val="center"/>
        <w:outlineLvl w:val="0"/>
        <w:rPr>
          <w:rFonts w:ascii="宋体" w:hAnsi="宋体"/>
          <w:b/>
          <w:sz w:val="24"/>
        </w:rPr>
      </w:pPr>
      <w:r>
        <w:rPr>
          <w:rFonts w:hint="eastAsia" w:ascii="宋体" w:hAnsi="宋体"/>
          <w:b/>
          <w:sz w:val="24"/>
        </w:rPr>
        <w:t>无利害关系声明和递交比价文件前3年内在经营活动中没有重大违法记录的书面声明</w:t>
      </w:r>
    </w:p>
    <w:p w14:paraId="2C8F48A8">
      <w:pPr>
        <w:spacing w:line="360" w:lineRule="auto"/>
        <w:ind w:firstLine="480" w:firstLineChars="200"/>
        <w:rPr>
          <w:rFonts w:ascii="宋体" w:hAnsi="宋体"/>
          <w:sz w:val="24"/>
        </w:rPr>
      </w:pPr>
    </w:p>
    <w:p w14:paraId="66C9EC0A">
      <w:pPr>
        <w:spacing w:line="360" w:lineRule="auto"/>
        <w:rPr>
          <w:rFonts w:ascii="宋体" w:hAnsi="宋体" w:cs="宋体"/>
          <w:sz w:val="24"/>
        </w:rPr>
      </w:pPr>
      <w:r>
        <w:rPr>
          <w:rFonts w:hint="eastAsia" w:ascii="宋体" w:hAnsi="宋体" w:cs="宋体"/>
          <w:sz w:val="24"/>
        </w:rPr>
        <w:t>我方承诺与采购人不存在隶属关系或者其他利益关系。</w:t>
      </w:r>
    </w:p>
    <w:p w14:paraId="3C392E0A">
      <w:pPr>
        <w:spacing w:line="360" w:lineRule="auto"/>
        <w:rPr>
          <w:rFonts w:ascii="宋体" w:hAnsi="宋体" w:cs="宋体"/>
          <w:sz w:val="24"/>
        </w:rPr>
      </w:pPr>
    </w:p>
    <w:p w14:paraId="3B7A9BDB">
      <w:pPr>
        <w:spacing w:line="360" w:lineRule="auto"/>
        <w:rPr>
          <w:rFonts w:ascii="宋体" w:hAnsi="宋体" w:cs="宋体"/>
          <w:sz w:val="24"/>
        </w:rPr>
      </w:pPr>
      <w:r>
        <w:rPr>
          <w:rFonts w:hint="eastAsia" w:ascii="宋体" w:hAnsi="宋体" w:cs="宋体"/>
          <w:sz w:val="24"/>
        </w:rPr>
        <w:t>我方承诺与其他报价方不存在关联关系或者其他利益关系。</w:t>
      </w:r>
    </w:p>
    <w:p w14:paraId="43A2E034">
      <w:pPr>
        <w:spacing w:line="360" w:lineRule="auto"/>
        <w:rPr>
          <w:rFonts w:ascii="宋体" w:hAnsi="宋体" w:cs="宋体"/>
          <w:sz w:val="24"/>
        </w:rPr>
      </w:pPr>
    </w:p>
    <w:p w14:paraId="4135E81B">
      <w:pPr>
        <w:spacing w:line="360" w:lineRule="auto"/>
        <w:rPr>
          <w:rFonts w:ascii="宋体" w:hAnsi="宋体" w:cs="宋体"/>
          <w:sz w:val="24"/>
        </w:rPr>
      </w:pPr>
      <w:r>
        <w:rPr>
          <w:rFonts w:hint="eastAsia" w:ascii="宋体" w:hAnsi="宋体" w:cs="宋体"/>
          <w:sz w:val="24"/>
        </w:rPr>
        <w:t>我方承诺递交比价文件前3年内在经营活动中没有重大违法记录。</w:t>
      </w:r>
    </w:p>
    <w:p w14:paraId="50FFA6B9">
      <w:pPr>
        <w:spacing w:line="360" w:lineRule="auto"/>
        <w:outlineLvl w:val="0"/>
        <w:rPr>
          <w:rFonts w:ascii="宋体" w:hAnsi="宋体" w:cs="宋体"/>
          <w:sz w:val="24"/>
        </w:rPr>
      </w:pPr>
    </w:p>
    <w:p w14:paraId="1F67670C">
      <w:pPr>
        <w:spacing w:line="360" w:lineRule="auto"/>
        <w:rPr>
          <w:rFonts w:ascii="宋体" w:hAnsi="宋体" w:cs="宋体"/>
          <w:sz w:val="24"/>
        </w:rPr>
      </w:pPr>
      <w:r>
        <w:rPr>
          <w:rFonts w:hint="eastAsia" w:ascii="宋体" w:hAnsi="宋体" w:cs="宋体"/>
          <w:sz w:val="24"/>
        </w:rPr>
        <w:t>供应商名称：（公章）</w:t>
      </w:r>
    </w:p>
    <w:p w14:paraId="0F934A06">
      <w:pPr>
        <w:spacing w:line="360" w:lineRule="auto"/>
        <w:rPr>
          <w:rFonts w:ascii="宋体" w:hAnsi="宋体" w:cs="宋体"/>
          <w:sz w:val="24"/>
        </w:rPr>
        <w:sectPr>
          <w:pgSz w:w="11906" w:h="16838"/>
          <w:pgMar w:top="1418" w:right="1134" w:bottom="1134" w:left="1134" w:header="851" w:footer="992" w:gutter="0"/>
          <w:cols w:space="720" w:num="1"/>
          <w:docGrid w:type="linesAndChars" w:linePitch="312" w:charSpace="0"/>
        </w:sectPr>
      </w:pPr>
      <w:r>
        <w:rPr>
          <w:rFonts w:hint="eastAsia" w:ascii="宋体" w:hAnsi="宋体" w:cs="宋体"/>
          <w:sz w:val="24"/>
        </w:rPr>
        <w:t>日期：</w:t>
      </w:r>
    </w:p>
    <w:p w14:paraId="2E483CC4">
      <w:pPr>
        <w:spacing w:line="360" w:lineRule="auto"/>
        <w:jc w:val="left"/>
        <w:outlineLvl w:val="0"/>
        <w:rPr>
          <w:rFonts w:ascii="宋体" w:hAnsi="宋体"/>
          <w:b/>
          <w:sz w:val="24"/>
        </w:rPr>
      </w:pPr>
      <w:r>
        <w:rPr>
          <w:rFonts w:hint="eastAsia" w:ascii="宋体" w:hAnsi="宋体"/>
          <w:b/>
          <w:sz w:val="24"/>
        </w:rPr>
        <w:t>表2：对比价文件的真实性、合法性承诺函</w:t>
      </w:r>
    </w:p>
    <w:p w14:paraId="2C12A272">
      <w:pPr>
        <w:spacing w:line="360" w:lineRule="auto"/>
        <w:rPr>
          <w:rFonts w:ascii="宋体" w:hAnsi="宋体" w:cs="宋体"/>
          <w:sz w:val="24"/>
        </w:rPr>
      </w:pPr>
    </w:p>
    <w:p w14:paraId="42D7C6BC">
      <w:pPr>
        <w:spacing w:line="360" w:lineRule="auto"/>
        <w:rPr>
          <w:rFonts w:ascii="宋体" w:hAnsi="宋体" w:cs="宋体"/>
          <w:sz w:val="24"/>
        </w:rPr>
      </w:pPr>
      <w:r>
        <w:rPr>
          <w:rFonts w:hint="eastAsia" w:ascii="宋体" w:hAnsi="宋体" w:cs="宋体"/>
          <w:sz w:val="24"/>
        </w:rPr>
        <w:t>我方承诺对所递交比价文件的真实性、合法性承担法律责任。</w:t>
      </w:r>
    </w:p>
    <w:p w14:paraId="7B466A8C">
      <w:pPr>
        <w:spacing w:line="360" w:lineRule="auto"/>
        <w:rPr>
          <w:rFonts w:ascii="宋体" w:hAnsi="宋体" w:cs="宋体"/>
          <w:sz w:val="24"/>
        </w:rPr>
      </w:pPr>
    </w:p>
    <w:p w14:paraId="55A33182">
      <w:pPr>
        <w:spacing w:line="360" w:lineRule="auto"/>
        <w:rPr>
          <w:rFonts w:ascii="宋体" w:hAnsi="宋体" w:cs="宋体"/>
          <w:sz w:val="24"/>
        </w:rPr>
      </w:pPr>
      <w:r>
        <w:rPr>
          <w:rFonts w:hint="eastAsia" w:ascii="宋体" w:hAnsi="宋体" w:cs="宋体"/>
          <w:sz w:val="24"/>
        </w:rPr>
        <w:t>供应商名称：（公章）</w:t>
      </w:r>
    </w:p>
    <w:p w14:paraId="683B9D71">
      <w:pPr>
        <w:spacing w:line="360" w:lineRule="auto"/>
        <w:rPr>
          <w:rFonts w:ascii="宋体" w:hAnsi="宋体" w:cs="宋体"/>
          <w:sz w:val="24"/>
        </w:rPr>
      </w:pPr>
      <w:r>
        <w:rPr>
          <w:rFonts w:hint="eastAsia" w:ascii="宋体" w:hAnsi="宋体" w:cs="宋体"/>
          <w:sz w:val="24"/>
        </w:rPr>
        <w:t>日期：</w:t>
      </w:r>
    </w:p>
    <w:p w14:paraId="6389B19C">
      <w:pPr>
        <w:spacing w:line="360" w:lineRule="auto"/>
        <w:rPr>
          <w:rFonts w:ascii="宋体" w:hAnsi="宋体"/>
          <w:sz w:val="24"/>
        </w:rPr>
      </w:pPr>
    </w:p>
    <w:p w14:paraId="09B0980E"/>
    <w:p w14:paraId="7349C3BE">
      <w:pPr>
        <w:widowControl/>
        <w:jc w:val="left"/>
        <w:rPr>
          <w:rFonts w:ascii="宋体" w:hAnsi="宋体"/>
          <w:b/>
          <w:kern w:val="0"/>
          <w:sz w:val="24"/>
        </w:rPr>
      </w:pPr>
      <w:r>
        <w:rPr>
          <w:rFonts w:ascii="宋体" w:hAnsi="宋体"/>
          <w:b/>
          <w:sz w:val="24"/>
        </w:rPr>
        <w:br w:type="page"/>
      </w:r>
    </w:p>
    <w:p w14:paraId="45B0EBFD">
      <w:pPr>
        <w:pStyle w:val="19"/>
        <w:spacing w:after="156" w:line="360" w:lineRule="auto"/>
        <w:ind w:firstLine="0" w:firstLineChars="0"/>
        <w:rPr>
          <w:rFonts w:ascii="宋体" w:hAnsi="宋体"/>
          <w:b/>
          <w:sz w:val="24"/>
          <w:szCs w:val="24"/>
          <w:lang w:eastAsia="zh-CN"/>
        </w:rPr>
      </w:pPr>
      <w:r>
        <w:rPr>
          <w:rFonts w:hint="eastAsia" w:ascii="宋体" w:hAnsi="宋体"/>
          <w:b/>
          <w:sz w:val="24"/>
          <w:szCs w:val="24"/>
          <w:lang w:eastAsia="zh-CN"/>
        </w:rPr>
        <w:t>附件五、报价一览表</w:t>
      </w:r>
    </w:p>
    <w:tbl>
      <w:tblPr>
        <w:tblStyle w:val="10"/>
        <w:tblpPr w:leftFromText="180" w:rightFromText="180" w:vertAnchor="text" w:horzAnchor="margin" w:tblpXSpec="center" w:tblpY="264"/>
        <w:tblW w:w="4124"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Layout w:type="autofit"/>
        <w:tblCellMar>
          <w:top w:w="0" w:type="dxa"/>
          <w:left w:w="108" w:type="dxa"/>
          <w:bottom w:w="0" w:type="dxa"/>
          <w:right w:w="108" w:type="dxa"/>
        </w:tblCellMar>
      </w:tblPr>
      <w:tblGrid>
        <w:gridCol w:w="1325"/>
        <w:gridCol w:w="2317"/>
        <w:gridCol w:w="2545"/>
        <w:gridCol w:w="1941"/>
      </w:tblGrid>
      <w:tr w14:paraId="0E4B79F0">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cantSplit/>
          <w:trHeight w:val="508" w:hRule="atLeast"/>
        </w:trPr>
        <w:tc>
          <w:tcPr>
            <w:tcW w:w="815" w:type="pct"/>
            <w:vAlign w:val="center"/>
          </w:tcPr>
          <w:p w14:paraId="644BD367">
            <w:pPr>
              <w:widowControl/>
              <w:spacing w:line="360" w:lineRule="auto"/>
              <w:jc w:val="center"/>
              <w:rPr>
                <w:rFonts w:ascii="宋体" w:hAnsi="宋体"/>
                <w:b/>
                <w:sz w:val="24"/>
                <w:u w:val="single"/>
              </w:rPr>
            </w:pPr>
            <w:r>
              <w:rPr>
                <w:rFonts w:hint="eastAsia" w:ascii="宋体" w:hAnsi="宋体"/>
                <w:b/>
                <w:sz w:val="24"/>
                <w:u w:val="single"/>
              </w:rPr>
              <w:t>序号</w:t>
            </w:r>
          </w:p>
        </w:tc>
        <w:tc>
          <w:tcPr>
            <w:tcW w:w="1425" w:type="pct"/>
            <w:vAlign w:val="center"/>
          </w:tcPr>
          <w:p w14:paraId="21055789">
            <w:pPr>
              <w:widowControl/>
              <w:spacing w:line="360" w:lineRule="auto"/>
              <w:jc w:val="center"/>
              <w:rPr>
                <w:rFonts w:ascii="宋体" w:hAnsi="宋体"/>
                <w:b/>
                <w:sz w:val="24"/>
                <w:u w:val="single"/>
              </w:rPr>
            </w:pPr>
            <w:r>
              <w:rPr>
                <w:rFonts w:hint="eastAsia" w:ascii="宋体" w:hAnsi="宋体"/>
                <w:b/>
                <w:sz w:val="24"/>
                <w:u w:val="single"/>
              </w:rPr>
              <w:t>总报价（RMB）</w:t>
            </w:r>
          </w:p>
        </w:tc>
        <w:tc>
          <w:tcPr>
            <w:tcW w:w="1565" w:type="pct"/>
            <w:vAlign w:val="center"/>
          </w:tcPr>
          <w:p w14:paraId="6FFBC3EE">
            <w:pPr>
              <w:widowControl/>
              <w:spacing w:line="360" w:lineRule="auto"/>
              <w:jc w:val="center"/>
              <w:rPr>
                <w:rFonts w:ascii="宋体" w:hAnsi="宋体"/>
                <w:b/>
                <w:sz w:val="24"/>
                <w:u w:val="single"/>
              </w:rPr>
            </w:pPr>
            <w:r>
              <w:rPr>
                <w:rFonts w:hint="eastAsia" w:ascii="宋体" w:hAnsi="宋体"/>
                <w:b/>
                <w:sz w:val="24"/>
                <w:u w:val="single"/>
              </w:rPr>
              <w:t>其它优惠承诺</w:t>
            </w:r>
          </w:p>
        </w:tc>
        <w:tc>
          <w:tcPr>
            <w:tcW w:w="1193" w:type="pct"/>
            <w:vAlign w:val="center"/>
          </w:tcPr>
          <w:p w14:paraId="0E3E5255">
            <w:pPr>
              <w:widowControl/>
              <w:spacing w:line="360" w:lineRule="auto"/>
              <w:jc w:val="center"/>
              <w:rPr>
                <w:rFonts w:ascii="宋体" w:hAnsi="宋体"/>
                <w:b/>
                <w:sz w:val="24"/>
                <w:u w:val="single"/>
              </w:rPr>
            </w:pPr>
            <w:r>
              <w:rPr>
                <w:rFonts w:hint="eastAsia" w:ascii="宋体" w:hAnsi="宋体"/>
                <w:b/>
                <w:sz w:val="24"/>
                <w:u w:val="single"/>
              </w:rPr>
              <w:t>备注</w:t>
            </w:r>
          </w:p>
        </w:tc>
      </w:tr>
      <w:tr w14:paraId="5CF206E6">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cantSplit/>
          <w:trHeight w:val="850" w:hRule="atLeast"/>
        </w:trPr>
        <w:tc>
          <w:tcPr>
            <w:tcW w:w="815" w:type="pct"/>
            <w:vAlign w:val="center"/>
          </w:tcPr>
          <w:p w14:paraId="573E04FA">
            <w:pPr>
              <w:pStyle w:val="5"/>
              <w:spacing w:line="360" w:lineRule="auto"/>
              <w:ind w:left="72" w:right="72"/>
              <w:jc w:val="center"/>
              <w:rPr>
                <w:rFonts w:ascii="宋体" w:hAnsi="宋体" w:eastAsia="宋体"/>
                <w:color w:val="auto"/>
                <w:sz w:val="24"/>
                <w:u w:val="single"/>
              </w:rPr>
            </w:pPr>
            <w:r>
              <w:rPr>
                <w:rFonts w:hint="eastAsia" w:ascii="宋体" w:hAnsi="宋体" w:eastAsia="宋体"/>
                <w:color w:val="auto"/>
                <w:sz w:val="24"/>
                <w:u w:val="single"/>
              </w:rPr>
              <w:t>1</w:t>
            </w:r>
          </w:p>
        </w:tc>
        <w:tc>
          <w:tcPr>
            <w:tcW w:w="1425" w:type="pct"/>
            <w:vAlign w:val="center"/>
          </w:tcPr>
          <w:p w14:paraId="0EB45150">
            <w:pPr>
              <w:spacing w:line="360" w:lineRule="auto"/>
              <w:jc w:val="left"/>
              <w:rPr>
                <w:rFonts w:ascii="宋体" w:hAnsi="宋体"/>
                <w:sz w:val="24"/>
                <w:u w:val="single"/>
              </w:rPr>
            </w:pPr>
            <w:r>
              <w:rPr>
                <w:rFonts w:hint="eastAsia" w:ascii="宋体" w:hAnsi="宋体"/>
                <w:sz w:val="24"/>
                <w:u w:val="single"/>
              </w:rPr>
              <w:t>大写：</w:t>
            </w:r>
          </w:p>
          <w:p w14:paraId="12E252EC">
            <w:pPr>
              <w:spacing w:line="360" w:lineRule="auto"/>
              <w:jc w:val="left"/>
              <w:rPr>
                <w:rFonts w:ascii="宋体" w:hAnsi="宋体"/>
                <w:sz w:val="24"/>
                <w:u w:val="single"/>
              </w:rPr>
            </w:pPr>
            <w:r>
              <w:rPr>
                <w:rFonts w:hint="eastAsia" w:ascii="宋体" w:hAnsi="宋体"/>
                <w:sz w:val="24"/>
                <w:u w:val="single"/>
              </w:rPr>
              <w:t>小写：</w:t>
            </w:r>
          </w:p>
        </w:tc>
        <w:tc>
          <w:tcPr>
            <w:tcW w:w="1565" w:type="pct"/>
            <w:vAlign w:val="center"/>
          </w:tcPr>
          <w:p w14:paraId="738A0300">
            <w:pPr>
              <w:spacing w:line="360" w:lineRule="auto"/>
              <w:jc w:val="left"/>
              <w:rPr>
                <w:rFonts w:ascii="宋体" w:hAnsi="宋体"/>
                <w:sz w:val="24"/>
                <w:u w:val="single"/>
              </w:rPr>
            </w:pPr>
          </w:p>
          <w:p w14:paraId="1CD21217">
            <w:pPr>
              <w:spacing w:line="360" w:lineRule="auto"/>
              <w:jc w:val="left"/>
              <w:rPr>
                <w:rFonts w:ascii="宋体" w:hAnsi="宋体"/>
                <w:sz w:val="24"/>
                <w:u w:val="single"/>
              </w:rPr>
            </w:pPr>
          </w:p>
          <w:p w14:paraId="10D3C4E4">
            <w:pPr>
              <w:spacing w:line="360" w:lineRule="auto"/>
              <w:jc w:val="left"/>
              <w:rPr>
                <w:rFonts w:ascii="宋体" w:hAnsi="宋体"/>
                <w:sz w:val="24"/>
                <w:u w:val="single"/>
              </w:rPr>
            </w:pPr>
          </w:p>
          <w:p w14:paraId="1899CA25">
            <w:pPr>
              <w:spacing w:line="360" w:lineRule="auto"/>
              <w:jc w:val="left"/>
              <w:rPr>
                <w:rFonts w:ascii="宋体" w:hAnsi="宋体"/>
                <w:sz w:val="24"/>
                <w:u w:val="single"/>
              </w:rPr>
            </w:pPr>
          </w:p>
          <w:p w14:paraId="7D050D50">
            <w:pPr>
              <w:spacing w:line="360" w:lineRule="auto"/>
              <w:jc w:val="left"/>
              <w:rPr>
                <w:rFonts w:ascii="宋体" w:hAnsi="宋体"/>
                <w:sz w:val="24"/>
                <w:u w:val="single"/>
              </w:rPr>
            </w:pPr>
          </w:p>
        </w:tc>
        <w:tc>
          <w:tcPr>
            <w:tcW w:w="1193" w:type="pct"/>
            <w:vAlign w:val="center"/>
          </w:tcPr>
          <w:p w14:paraId="50D482E2">
            <w:pPr>
              <w:pStyle w:val="20"/>
              <w:spacing w:after="156" w:line="360" w:lineRule="auto"/>
              <w:ind w:firstLine="0" w:firstLineChars="0"/>
              <w:rPr>
                <w:rFonts w:ascii="宋体" w:hAnsi="宋体"/>
                <w:sz w:val="24"/>
                <w:szCs w:val="24"/>
                <w:u w:val="single"/>
              </w:rPr>
            </w:pPr>
          </w:p>
        </w:tc>
      </w:tr>
    </w:tbl>
    <w:p w14:paraId="2B141A9C">
      <w:pPr>
        <w:spacing w:line="380" w:lineRule="exact"/>
        <w:rPr>
          <w:rFonts w:ascii="仿宋" w:hAnsi="仿宋"/>
          <w:sz w:val="28"/>
          <w:szCs w:val="28"/>
        </w:rPr>
      </w:pPr>
    </w:p>
    <w:p w14:paraId="51F70778">
      <w:pPr>
        <w:spacing w:line="380" w:lineRule="exact"/>
        <w:rPr>
          <w:rFonts w:ascii="仿宋" w:hAnsi="仿宋"/>
          <w:sz w:val="28"/>
          <w:szCs w:val="28"/>
        </w:rPr>
      </w:pPr>
    </w:p>
    <w:p w14:paraId="220E9C21">
      <w:pPr>
        <w:pStyle w:val="4"/>
        <w:spacing w:line="360" w:lineRule="auto"/>
        <w:ind w:firstLine="480"/>
        <w:rPr>
          <w:rFonts w:ascii="宋体" w:hAnsi="宋体"/>
          <w:sz w:val="24"/>
          <w:szCs w:val="24"/>
        </w:rPr>
      </w:pPr>
      <w:r>
        <w:rPr>
          <w:rFonts w:hint="eastAsia" w:ascii="宋体" w:hAnsi="宋体"/>
          <w:sz w:val="24"/>
          <w:szCs w:val="24"/>
        </w:rPr>
        <w:t>（1）若本表与报价格式其他部分在内容上有出入，以本表为准。</w:t>
      </w:r>
    </w:p>
    <w:p w14:paraId="0CC34003">
      <w:pPr>
        <w:spacing w:line="360" w:lineRule="auto"/>
        <w:ind w:firstLine="480" w:firstLineChars="200"/>
        <w:rPr>
          <w:rFonts w:ascii="宋体" w:hAnsi="宋体"/>
          <w:sz w:val="24"/>
        </w:rPr>
      </w:pPr>
      <w:r>
        <w:rPr>
          <w:rFonts w:hint="eastAsia" w:ascii="宋体" w:hAnsi="宋体"/>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66D98548">
      <w:pPr>
        <w:spacing w:line="360" w:lineRule="auto"/>
        <w:rPr>
          <w:rFonts w:ascii="宋体" w:hAnsi="宋体" w:cs="宋体"/>
          <w:sz w:val="24"/>
        </w:rPr>
      </w:pPr>
    </w:p>
    <w:p w14:paraId="0B8F111C">
      <w:pPr>
        <w:spacing w:line="360" w:lineRule="auto"/>
        <w:rPr>
          <w:rFonts w:ascii="宋体" w:hAnsi="宋体" w:cs="宋体"/>
          <w:sz w:val="24"/>
        </w:rPr>
      </w:pPr>
      <w:r>
        <w:rPr>
          <w:rFonts w:hint="eastAsia" w:ascii="宋体" w:hAnsi="宋体" w:cs="宋体"/>
          <w:sz w:val="24"/>
        </w:rPr>
        <w:t>供应商名称：（公章）</w:t>
      </w:r>
    </w:p>
    <w:p w14:paraId="3CBCEE7D">
      <w:pPr>
        <w:spacing w:line="360" w:lineRule="auto"/>
        <w:rPr>
          <w:rFonts w:ascii="宋体" w:hAnsi="宋体" w:cs="宋体"/>
          <w:sz w:val="24"/>
        </w:rPr>
      </w:pPr>
      <w:r>
        <w:rPr>
          <w:rFonts w:hint="eastAsia" w:ascii="宋体" w:hAnsi="宋体" w:cs="宋体"/>
          <w:sz w:val="24"/>
        </w:rPr>
        <w:t>日期：</w:t>
      </w:r>
    </w:p>
    <w:p w14:paraId="25D15141">
      <w:pPr>
        <w:spacing w:line="360" w:lineRule="auto"/>
        <w:rPr>
          <w:rFonts w:ascii="宋体" w:hAnsi="宋体" w:cs="宋体"/>
          <w:sz w:val="24"/>
        </w:rPr>
      </w:pPr>
    </w:p>
    <w:p w14:paraId="6DBC5C35">
      <w:pPr>
        <w:spacing w:line="360" w:lineRule="auto"/>
        <w:rPr>
          <w:rFonts w:ascii="宋体" w:hAnsi="宋体" w:cs="宋体"/>
          <w:sz w:val="24"/>
        </w:rPr>
      </w:pPr>
    </w:p>
    <w:p w14:paraId="3706C4F9">
      <w:pPr>
        <w:spacing w:line="360" w:lineRule="auto"/>
        <w:rPr>
          <w:rFonts w:ascii="宋体" w:hAnsi="宋体" w:cs="宋体"/>
          <w:sz w:val="24"/>
        </w:rPr>
      </w:pPr>
    </w:p>
    <w:p w14:paraId="0668F63D">
      <w:pPr>
        <w:spacing w:line="360" w:lineRule="auto"/>
        <w:rPr>
          <w:rFonts w:ascii="宋体" w:hAnsi="宋体" w:cs="宋体"/>
          <w:sz w:val="24"/>
        </w:rPr>
      </w:pPr>
    </w:p>
    <w:p w14:paraId="2A5EF8B4">
      <w:pPr>
        <w:spacing w:line="360" w:lineRule="auto"/>
        <w:rPr>
          <w:rFonts w:ascii="宋体" w:hAnsi="宋体"/>
          <w:b/>
          <w:sz w:val="24"/>
        </w:rPr>
      </w:pPr>
      <w:r>
        <w:rPr>
          <w:rFonts w:ascii="宋体" w:hAnsi="宋体"/>
          <w:b/>
          <w:sz w:val="24"/>
        </w:rPr>
        <w:br w:type="page"/>
      </w:r>
      <w:r>
        <w:rPr>
          <w:rFonts w:hint="eastAsia" w:ascii="宋体" w:hAnsi="宋体"/>
          <w:b/>
          <w:sz w:val="24"/>
        </w:rPr>
        <w:t>附件六、分项报价表</w:t>
      </w:r>
    </w:p>
    <w:tbl>
      <w:tblPr>
        <w:tblStyle w:val="10"/>
        <w:tblW w:w="9724" w:type="dxa"/>
        <w:tblInd w:w="0" w:type="dxa"/>
        <w:tblLayout w:type="autofit"/>
        <w:tblCellMar>
          <w:top w:w="0" w:type="dxa"/>
          <w:left w:w="108" w:type="dxa"/>
          <w:bottom w:w="0" w:type="dxa"/>
          <w:right w:w="108" w:type="dxa"/>
        </w:tblCellMar>
      </w:tblPr>
      <w:tblGrid>
        <w:gridCol w:w="507"/>
        <w:gridCol w:w="1893"/>
        <w:gridCol w:w="1701"/>
        <w:gridCol w:w="1418"/>
        <w:gridCol w:w="1701"/>
        <w:gridCol w:w="2504"/>
      </w:tblGrid>
      <w:tr w14:paraId="08365622">
        <w:tblPrEx>
          <w:tblCellMar>
            <w:top w:w="0" w:type="dxa"/>
            <w:left w:w="108" w:type="dxa"/>
            <w:bottom w:w="0" w:type="dxa"/>
            <w:right w:w="108" w:type="dxa"/>
          </w:tblCellMar>
        </w:tblPrEx>
        <w:trPr>
          <w:trHeight w:val="285" w:hRule="atLeast"/>
        </w:trPr>
        <w:tc>
          <w:tcPr>
            <w:tcW w:w="50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4719668B">
            <w:pPr>
              <w:widowControl/>
              <w:jc w:val="center"/>
              <w:rPr>
                <w:rFonts w:ascii="宋体" w:hAnsi="宋体"/>
                <w:bCs/>
                <w:kern w:val="0"/>
                <w:sz w:val="24"/>
              </w:rPr>
            </w:pPr>
            <w:r>
              <w:rPr>
                <w:rFonts w:hint="eastAsia" w:ascii="宋体" w:hAnsi="宋体"/>
                <w:bCs/>
                <w:kern w:val="0"/>
                <w:sz w:val="24"/>
              </w:rPr>
              <w:t>序号</w:t>
            </w:r>
          </w:p>
        </w:tc>
        <w:tc>
          <w:tcPr>
            <w:tcW w:w="1893"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14:paraId="18AD8E08">
            <w:pPr>
              <w:widowControl/>
              <w:jc w:val="center"/>
              <w:rPr>
                <w:rFonts w:ascii="宋体" w:hAnsi="宋体"/>
                <w:bCs/>
                <w:kern w:val="0"/>
                <w:sz w:val="24"/>
              </w:rPr>
            </w:pPr>
            <w:r>
              <w:rPr>
                <w:rFonts w:hint="eastAsia" w:ascii="宋体" w:hAnsi="宋体"/>
                <w:bCs/>
                <w:kern w:val="0"/>
                <w:sz w:val="24"/>
              </w:rPr>
              <w:t>监理职级</w:t>
            </w:r>
          </w:p>
        </w:tc>
        <w:tc>
          <w:tcPr>
            <w:tcW w:w="1701"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14:paraId="4099F438">
            <w:pPr>
              <w:widowControl/>
              <w:jc w:val="center"/>
              <w:rPr>
                <w:rFonts w:ascii="宋体" w:hAnsi="宋体"/>
                <w:bCs/>
                <w:kern w:val="0"/>
                <w:sz w:val="24"/>
              </w:rPr>
            </w:pPr>
            <w:r>
              <w:rPr>
                <w:rFonts w:hint="eastAsia" w:ascii="宋体" w:hAnsi="宋体"/>
                <w:bCs/>
                <w:kern w:val="0"/>
                <w:sz w:val="24"/>
              </w:rPr>
              <w:t>A:月工资标准（元/人）</w:t>
            </w:r>
          </w:p>
        </w:tc>
        <w:tc>
          <w:tcPr>
            <w:tcW w:w="1418"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14:paraId="4F104060">
            <w:pPr>
              <w:widowControl/>
              <w:jc w:val="center"/>
              <w:rPr>
                <w:rFonts w:ascii="宋体" w:hAnsi="宋体"/>
                <w:bCs/>
                <w:kern w:val="0"/>
                <w:sz w:val="24"/>
              </w:rPr>
            </w:pPr>
            <w:r>
              <w:rPr>
                <w:rFonts w:hint="eastAsia" w:ascii="宋体" w:hAnsi="宋体"/>
                <w:bCs/>
                <w:kern w:val="0"/>
                <w:sz w:val="24"/>
              </w:rPr>
              <w:t>B:暂定工期（月）</w:t>
            </w:r>
          </w:p>
        </w:tc>
        <w:tc>
          <w:tcPr>
            <w:tcW w:w="1701"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666D430E">
            <w:pPr>
              <w:widowControl/>
              <w:jc w:val="center"/>
              <w:rPr>
                <w:rFonts w:ascii="宋体" w:hAnsi="宋体"/>
                <w:bCs/>
                <w:kern w:val="0"/>
                <w:sz w:val="24"/>
              </w:rPr>
            </w:pPr>
            <w:r>
              <w:rPr>
                <w:rFonts w:hint="eastAsia" w:ascii="宋体" w:hAnsi="宋体"/>
                <w:bCs/>
                <w:kern w:val="0"/>
                <w:sz w:val="24"/>
              </w:rPr>
              <w:t>C:暂定配置标准(个)</w:t>
            </w:r>
          </w:p>
        </w:tc>
        <w:tc>
          <w:tcPr>
            <w:tcW w:w="2504" w:type="dxa"/>
            <w:tcBorders>
              <w:top w:val="single" w:color="auto" w:sz="8" w:space="0"/>
              <w:left w:val="nil"/>
              <w:bottom w:val="nil"/>
              <w:right w:val="single" w:color="auto" w:sz="8" w:space="0"/>
            </w:tcBorders>
            <w:shd w:val="clear" w:color="auto" w:fill="auto"/>
            <w:vAlign w:val="center"/>
          </w:tcPr>
          <w:p w14:paraId="50A9C013">
            <w:pPr>
              <w:widowControl/>
              <w:jc w:val="center"/>
              <w:rPr>
                <w:rFonts w:ascii="宋体" w:hAnsi="宋体"/>
                <w:bCs/>
                <w:kern w:val="0"/>
                <w:sz w:val="24"/>
              </w:rPr>
            </w:pPr>
            <w:r>
              <w:rPr>
                <w:rFonts w:hint="eastAsia" w:ascii="宋体" w:hAnsi="宋体"/>
                <w:bCs/>
                <w:kern w:val="0"/>
                <w:sz w:val="24"/>
              </w:rPr>
              <w:t>D:总价（含税，元）</w:t>
            </w:r>
          </w:p>
        </w:tc>
      </w:tr>
      <w:tr w14:paraId="0131C814">
        <w:tblPrEx>
          <w:tblCellMar>
            <w:top w:w="0" w:type="dxa"/>
            <w:left w:w="108" w:type="dxa"/>
            <w:bottom w:w="0" w:type="dxa"/>
            <w:right w:w="108" w:type="dxa"/>
          </w:tblCellMar>
        </w:tblPrEx>
        <w:trPr>
          <w:trHeight w:val="292" w:hRule="atLeast"/>
        </w:trPr>
        <w:tc>
          <w:tcPr>
            <w:tcW w:w="507" w:type="dxa"/>
            <w:vMerge w:val="continue"/>
            <w:tcBorders>
              <w:top w:val="single" w:color="auto" w:sz="8" w:space="0"/>
              <w:left w:val="single" w:color="auto" w:sz="8" w:space="0"/>
              <w:bottom w:val="single" w:color="000000" w:sz="8" w:space="0"/>
              <w:right w:val="single" w:color="auto" w:sz="8" w:space="0"/>
            </w:tcBorders>
            <w:vAlign w:val="center"/>
          </w:tcPr>
          <w:p w14:paraId="3329E177">
            <w:pPr>
              <w:widowControl/>
              <w:jc w:val="left"/>
              <w:rPr>
                <w:rFonts w:ascii="宋体" w:hAnsi="宋体"/>
                <w:bCs/>
                <w:kern w:val="0"/>
                <w:sz w:val="24"/>
              </w:rPr>
            </w:pPr>
          </w:p>
        </w:tc>
        <w:tc>
          <w:tcPr>
            <w:tcW w:w="1893" w:type="dxa"/>
            <w:vMerge w:val="continue"/>
            <w:tcBorders>
              <w:top w:val="single" w:color="auto" w:sz="8" w:space="0"/>
              <w:left w:val="single" w:color="auto" w:sz="8" w:space="0"/>
              <w:bottom w:val="single" w:color="000000" w:sz="8" w:space="0"/>
              <w:right w:val="single" w:color="auto" w:sz="8" w:space="0"/>
            </w:tcBorders>
            <w:vAlign w:val="center"/>
          </w:tcPr>
          <w:p w14:paraId="2053035F">
            <w:pPr>
              <w:widowControl/>
              <w:jc w:val="left"/>
              <w:rPr>
                <w:rFonts w:ascii="宋体" w:hAnsi="宋体"/>
                <w:bCs/>
                <w:kern w:val="0"/>
                <w:sz w:val="24"/>
              </w:rPr>
            </w:pPr>
          </w:p>
        </w:tc>
        <w:tc>
          <w:tcPr>
            <w:tcW w:w="1701" w:type="dxa"/>
            <w:vMerge w:val="continue"/>
            <w:tcBorders>
              <w:top w:val="single" w:color="auto" w:sz="8" w:space="0"/>
              <w:left w:val="single" w:color="auto" w:sz="8" w:space="0"/>
              <w:bottom w:val="single" w:color="000000" w:sz="8" w:space="0"/>
              <w:right w:val="single" w:color="auto" w:sz="8" w:space="0"/>
            </w:tcBorders>
            <w:vAlign w:val="center"/>
          </w:tcPr>
          <w:p w14:paraId="4D47CB44">
            <w:pPr>
              <w:widowControl/>
              <w:jc w:val="left"/>
              <w:rPr>
                <w:rFonts w:ascii="宋体" w:hAnsi="宋体"/>
                <w:bCs/>
                <w:kern w:val="0"/>
                <w:sz w:val="24"/>
              </w:rPr>
            </w:pPr>
          </w:p>
        </w:tc>
        <w:tc>
          <w:tcPr>
            <w:tcW w:w="1418" w:type="dxa"/>
            <w:vMerge w:val="continue"/>
            <w:tcBorders>
              <w:top w:val="single" w:color="auto" w:sz="8" w:space="0"/>
              <w:left w:val="single" w:color="auto" w:sz="8" w:space="0"/>
              <w:bottom w:val="single" w:color="000000" w:sz="8" w:space="0"/>
              <w:right w:val="single" w:color="auto" w:sz="8" w:space="0"/>
            </w:tcBorders>
            <w:vAlign w:val="center"/>
          </w:tcPr>
          <w:p w14:paraId="1B283523">
            <w:pPr>
              <w:widowControl/>
              <w:jc w:val="left"/>
              <w:rPr>
                <w:rFonts w:ascii="宋体" w:hAnsi="宋体"/>
                <w:bCs/>
                <w:kern w:val="0"/>
                <w:sz w:val="24"/>
              </w:rPr>
            </w:pPr>
          </w:p>
        </w:tc>
        <w:tc>
          <w:tcPr>
            <w:tcW w:w="1701" w:type="dxa"/>
            <w:vMerge w:val="continue"/>
            <w:tcBorders>
              <w:top w:val="single" w:color="auto" w:sz="8" w:space="0"/>
              <w:left w:val="single" w:color="auto" w:sz="8" w:space="0"/>
              <w:bottom w:val="single" w:color="000000" w:sz="8" w:space="0"/>
              <w:right w:val="single" w:color="auto" w:sz="8" w:space="0"/>
            </w:tcBorders>
            <w:vAlign w:val="center"/>
          </w:tcPr>
          <w:p w14:paraId="7DD97D67">
            <w:pPr>
              <w:widowControl/>
              <w:jc w:val="left"/>
              <w:rPr>
                <w:rFonts w:ascii="宋体" w:hAnsi="宋体"/>
                <w:bCs/>
                <w:kern w:val="0"/>
                <w:sz w:val="24"/>
              </w:rPr>
            </w:pPr>
          </w:p>
        </w:tc>
        <w:tc>
          <w:tcPr>
            <w:tcW w:w="2504" w:type="dxa"/>
            <w:tcBorders>
              <w:top w:val="nil"/>
              <w:left w:val="nil"/>
              <w:bottom w:val="single" w:color="auto" w:sz="8" w:space="0"/>
              <w:right w:val="single" w:color="auto" w:sz="8" w:space="0"/>
            </w:tcBorders>
            <w:shd w:val="clear" w:color="auto" w:fill="auto"/>
            <w:vAlign w:val="center"/>
          </w:tcPr>
          <w:p w14:paraId="30136A4A">
            <w:pPr>
              <w:widowControl/>
              <w:jc w:val="center"/>
              <w:rPr>
                <w:rFonts w:ascii="宋体" w:hAnsi="宋体"/>
                <w:bCs/>
                <w:kern w:val="0"/>
                <w:sz w:val="24"/>
              </w:rPr>
            </w:pPr>
            <w:r>
              <w:rPr>
                <w:rFonts w:hint="eastAsia" w:ascii="宋体" w:hAnsi="宋体"/>
                <w:bCs/>
                <w:kern w:val="0"/>
                <w:sz w:val="24"/>
              </w:rPr>
              <w:t>(D=A×B×C)</w:t>
            </w:r>
          </w:p>
        </w:tc>
      </w:tr>
      <w:tr w14:paraId="089501B7">
        <w:tblPrEx>
          <w:tblCellMar>
            <w:top w:w="0" w:type="dxa"/>
            <w:left w:w="108" w:type="dxa"/>
            <w:bottom w:w="0" w:type="dxa"/>
            <w:right w:w="108" w:type="dxa"/>
          </w:tblCellMar>
        </w:tblPrEx>
        <w:trPr>
          <w:trHeight w:val="331" w:hRule="atLeast"/>
        </w:trPr>
        <w:tc>
          <w:tcPr>
            <w:tcW w:w="507" w:type="dxa"/>
            <w:tcBorders>
              <w:top w:val="nil"/>
              <w:left w:val="single" w:color="auto" w:sz="8" w:space="0"/>
              <w:bottom w:val="single" w:color="auto" w:sz="8" w:space="0"/>
              <w:right w:val="single" w:color="auto" w:sz="8" w:space="0"/>
            </w:tcBorders>
            <w:shd w:val="clear" w:color="auto" w:fill="auto"/>
            <w:vAlign w:val="center"/>
          </w:tcPr>
          <w:p w14:paraId="35DF02CA">
            <w:pPr>
              <w:widowControl/>
              <w:jc w:val="center"/>
              <w:rPr>
                <w:rFonts w:ascii="宋体" w:hAnsi="宋体"/>
                <w:bCs/>
                <w:kern w:val="0"/>
                <w:sz w:val="24"/>
              </w:rPr>
            </w:pPr>
            <w:r>
              <w:rPr>
                <w:rFonts w:hint="eastAsia" w:ascii="宋体" w:hAnsi="宋体"/>
                <w:bCs/>
                <w:kern w:val="0"/>
                <w:sz w:val="24"/>
              </w:rPr>
              <w:t>1</w:t>
            </w:r>
          </w:p>
        </w:tc>
        <w:tc>
          <w:tcPr>
            <w:tcW w:w="1893" w:type="dxa"/>
            <w:tcBorders>
              <w:top w:val="nil"/>
              <w:left w:val="nil"/>
              <w:bottom w:val="single" w:color="auto" w:sz="8" w:space="0"/>
              <w:right w:val="single" w:color="auto" w:sz="8" w:space="0"/>
            </w:tcBorders>
            <w:shd w:val="clear" w:color="auto" w:fill="auto"/>
            <w:vAlign w:val="center"/>
          </w:tcPr>
          <w:p w14:paraId="268DEDFE">
            <w:pPr>
              <w:widowControl/>
              <w:jc w:val="center"/>
              <w:rPr>
                <w:rFonts w:ascii="宋体" w:hAnsi="宋体"/>
                <w:bCs/>
                <w:kern w:val="0"/>
                <w:sz w:val="24"/>
              </w:rPr>
            </w:pPr>
            <w:r>
              <w:rPr>
                <w:rFonts w:hint="eastAsia" w:ascii="宋体" w:hAnsi="宋体"/>
                <w:bCs/>
                <w:kern w:val="0"/>
                <w:sz w:val="24"/>
              </w:rPr>
              <w:t>总监理工程师</w:t>
            </w:r>
          </w:p>
        </w:tc>
        <w:tc>
          <w:tcPr>
            <w:tcW w:w="1701" w:type="dxa"/>
            <w:tcBorders>
              <w:top w:val="nil"/>
              <w:left w:val="nil"/>
              <w:bottom w:val="single" w:color="auto" w:sz="8" w:space="0"/>
              <w:right w:val="single" w:color="auto" w:sz="8" w:space="0"/>
            </w:tcBorders>
            <w:shd w:val="clear" w:color="auto" w:fill="auto"/>
            <w:vAlign w:val="center"/>
          </w:tcPr>
          <w:p w14:paraId="42AD08EC">
            <w:pPr>
              <w:widowControl/>
              <w:jc w:val="center"/>
              <w:rPr>
                <w:rFonts w:ascii="宋体" w:hAnsi="宋体"/>
                <w:bCs/>
                <w:kern w:val="0"/>
                <w:sz w:val="24"/>
              </w:rPr>
            </w:pPr>
          </w:p>
        </w:tc>
        <w:tc>
          <w:tcPr>
            <w:tcW w:w="1418" w:type="dxa"/>
            <w:tcBorders>
              <w:top w:val="nil"/>
              <w:left w:val="nil"/>
              <w:bottom w:val="single" w:color="auto" w:sz="8" w:space="0"/>
              <w:right w:val="single" w:color="auto" w:sz="8" w:space="0"/>
            </w:tcBorders>
            <w:shd w:val="clear" w:color="auto" w:fill="auto"/>
            <w:vAlign w:val="center"/>
          </w:tcPr>
          <w:p w14:paraId="25C20059">
            <w:pPr>
              <w:widowControl/>
              <w:jc w:val="center"/>
              <w:rPr>
                <w:rFonts w:ascii="宋体" w:hAnsi="宋体"/>
                <w:bCs/>
                <w:kern w:val="0"/>
                <w:sz w:val="24"/>
              </w:rPr>
            </w:pPr>
          </w:p>
        </w:tc>
        <w:tc>
          <w:tcPr>
            <w:tcW w:w="1701" w:type="dxa"/>
            <w:tcBorders>
              <w:top w:val="nil"/>
              <w:left w:val="nil"/>
              <w:bottom w:val="single" w:color="auto" w:sz="8" w:space="0"/>
              <w:right w:val="single" w:color="auto" w:sz="8" w:space="0"/>
            </w:tcBorders>
            <w:shd w:val="clear" w:color="auto" w:fill="auto"/>
            <w:vAlign w:val="center"/>
          </w:tcPr>
          <w:p w14:paraId="20A0A54E">
            <w:pPr>
              <w:widowControl/>
              <w:jc w:val="center"/>
              <w:rPr>
                <w:rFonts w:ascii="宋体" w:hAnsi="宋体"/>
                <w:bCs/>
                <w:kern w:val="0"/>
                <w:sz w:val="24"/>
              </w:rPr>
            </w:pPr>
          </w:p>
        </w:tc>
        <w:tc>
          <w:tcPr>
            <w:tcW w:w="2504" w:type="dxa"/>
            <w:tcBorders>
              <w:top w:val="nil"/>
              <w:left w:val="nil"/>
              <w:bottom w:val="single" w:color="auto" w:sz="8" w:space="0"/>
              <w:right w:val="single" w:color="auto" w:sz="8" w:space="0"/>
            </w:tcBorders>
            <w:shd w:val="clear" w:color="auto" w:fill="auto"/>
            <w:vAlign w:val="center"/>
          </w:tcPr>
          <w:p w14:paraId="02809980">
            <w:pPr>
              <w:widowControl/>
              <w:jc w:val="center"/>
              <w:rPr>
                <w:rFonts w:ascii="宋体" w:hAnsi="宋体" w:cs="宋体"/>
                <w:color w:val="000000"/>
                <w:kern w:val="0"/>
                <w:sz w:val="20"/>
                <w:szCs w:val="20"/>
              </w:rPr>
            </w:pPr>
          </w:p>
        </w:tc>
      </w:tr>
      <w:tr w14:paraId="47F3722E">
        <w:tblPrEx>
          <w:tblCellMar>
            <w:top w:w="0" w:type="dxa"/>
            <w:left w:w="108" w:type="dxa"/>
            <w:bottom w:w="0" w:type="dxa"/>
            <w:right w:w="108" w:type="dxa"/>
          </w:tblCellMar>
        </w:tblPrEx>
        <w:trPr>
          <w:trHeight w:val="331" w:hRule="atLeast"/>
        </w:trPr>
        <w:tc>
          <w:tcPr>
            <w:tcW w:w="507" w:type="dxa"/>
            <w:tcBorders>
              <w:top w:val="nil"/>
              <w:left w:val="single" w:color="auto" w:sz="8" w:space="0"/>
              <w:bottom w:val="single" w:color="auto" w:sz="8" w:space="0"/>
              <w:right w:val="single" w:color="auto" w:sz="8" w:space="0"/>
            </w:tcBorders>
            <w:shd w:val="clear" w:color="auto" w:fill="auto"/>
            <w:vAlign w:val="center"/>
          </w:tcPr>
          <w:p w14:paraId="0715E8AB">
            <w:pPr>
              <w:widowControl/>
              <w:jc w:val="center"/>
              <w:rPr>
                <w:rFonts w:ascii="宋体" w:hAnsi="宋体"/>
                <w:bCs/>
                <w:kern w:val="0"/>
                <w:sz w:val="24"/>
              </w:rPr>
            </w:pPr>
            <w:r>
              <w:rPr>
                <w:rFonts w:hint="eastAsia" w:ascii="宋体" w:hAnsi="宋体"/>
                <w:bCs/>
                <w:kern w:val="0"/>
                <w:sz w:val="24"/>
              </w:rPr>
              <w:t>2</w:t>
            </w:r>
          </w:p>
        </w:tc>
        <w:tc>
          <w:tcPr>
            <w:tcW w:w="1893" w:type="dxa"/>
            <w:tcBorders>
              <w:top w:val="nil"/>
              <w:left w:val="nil"/>
              <w:bottom w:val="single" w:color="auto" w:sz="8" w:space="0"/>
              <w:right w:val="single" w:color="auto" w:sz="8" w:space="0"/>
            </w:tcBorders>
            <w:shd w:val="clear" w:color="auto" w:fill="auto"/>
            <w:vAlign w:val="center"/>
          </w:tcPr>
          <w:p w14:paraId="75D8798A">
            <w:pPr>
              <w:widowControl/>
              <w:jc w:val="center"/>
              <w:rPr>
                <w:rFonts w:ascii="宋体" w:hAnsi="宋体"/>
                <w:bCs/>
                <w:kern w:val="0"/>
                <w:sz w:val="24"/>
              </w:rPr>
            </w:pPr>
            <w:r>
              <w:rPr>
                <w:rFonts w:hint="eastAsia" w:ascii="宋体" w:hAnsi="宋体"/>
                <w:bCs/>
                <w:kern w:val="0"/>
                <w:sz w:val="24"/>
              </w:rPr>
              <w:t>（专业）监理工程师</w:t>
            </w:r>
          </w:p>
        </w:tc>
        <w:tc>
          <w:tcPr>
            <w:tcW w:w="1701" w:type="dxa"/>
            <w:tcBorders>
              <w:top w:val="nil"/>
              <w:left w:val="nil"/>
              <w:bottom w:val="single" w:color="auto" w:sz="8" w:space="0"/>
              <w:right w:val="single" w:color="auto" w:sz="8" w:space="0"/>
            </w:tcBorders>
            <w:shd w:val="clear" w:color="auto" w:fill="auto"/>
            <w:vAlign w:val="center"/>
          </w:tcPr>
          <w:p w14:paraId="276EACD7">
            <w:pPr>
              <w:widowControl/>
              <w:jc w:val="center"/>
              <w:rPr>
                <w:rFonts w:ascii="宋体" w:hAnsi="宋体"/>
                <w:bCs/>
                <w:kern w:val="0"/>
                <w:sz w:val="24"/>
              </w:rPr>
            </w:pPr>
          </w:p>
        </w:tc>
        <w:tc>
          <w:tcPr>
            <w:tcW w:w="1418" w:type="dxa"/>
            <w:tcBorders>
              <w:top w:val="nil"/>
              <w:left w:val="nil"/>
              <w:bottom w:val="single" w:color="auto" w:sz="8" w:space="0"/>
              <w:right w:val="single" w:color="auto" w:sz="8" w:space="0"/>
            </w:tcBorders>
            <w:shd w:val="clear" w:color="auto" w:fill="auto"/>
            <w:vAlign w:val="center"/>
          </w:tcPr>
          <w:p w14:paraId="2AB87392">
            <w:pPr>
              <w:widowControl/>
              <w:jc w:val="center"/>
              <w:rPr>
                <w:rFonts w:ascii="宋体" w:hAnsi="宋体"/>
                <w:bCs/>
                <w:kern w:val="0"/>
                <w:sz w:val="24"/>
              </w:rPr>
            </w:pPr>
          </w:p>
        </w:tc>
        <w:tc>
          <w:tcPr>
            <w:tcW w:w="1701" w:type="dxa"/>
            <w:tcBorders>
              <w:top w:val="nil"/>
              <w:left w:val="nil"/>
              <w:bottom w:val="single" w:color="auto" w:sz="8" w:space="0"/>
              <w:right w:val="single" w:color="auto" w:sz="8" w:space="0"/>
            </w:tcBorders>
            <w:shd w:val="clear" w:color="auto" w:fill="auto"/>
            <w:vAlign w:val="center"/>
          </w:tcPr>
          <w:p w14:paraId="13A9A645">
            <w:pPr>
              <w:widowControl/>
              <w:jc w:val="center"/>
              <w:rPr>
                <w:rFonts w:ascii="宋体" w:hAnsi="宋体"/>
                <w:bCs/>
                <w:kern w:val="0"/>
                <w:sz w:val="24"/>
              </w:rPr>
            </w:pPr>
          </w:p>
        </w:tc>
        <w:tc>
          <w:tcPr>
            <w:tcW w:w="2504" w:type="dxa"/>
            <w:tcBorders>
              <w:top w:val="nil"/>
              <w:left w:val="nil"/>
              <w:bottom w:val="single" w:color="auto" w:sz="8" w:space="0"/>
              <w:right w:val="single" w:color="auto" w:sz="8" w:space="0"/>
            </w:tcBorders>
            <w:shd w:val="clear" w:color="auto" w:fill="auto"/>
            <w:vAlign w:val="center"/>
          </w:tcPr>
          <w:p w14:paraId="380C387C">
            <w:pPr>
              <w:widowControl/>
              <w:jc w:val="center"/>
              <w:rPr>
                <w:rFonts w:ascii="宋体" w:hAnsi="宋体" w:cs="宋体"/>
                <w:color w:val="000000"/>
                <w:kern w:val="0"/>
                <w:sz w:val="20"/>
                <w:szCs w:val="20"/>
              </w:rPr>
            </w:pPr>
          </w:p>
        </w:tc>
      </w:tr>
      <w:tr w14:paraId="556C2F0F">
        <w:tblPrEx>
          <w:tblCellMar>
            <w:top w:w="0" w:type="dxa"/>
            <w:left w:w="108" w:type="dxa"/>
            <w:bottom w:w="0" w:type="dxa"/>
            <w:right w:w="108" w:type="dxa"/>
          </w:tblCellMar>
        </w:tblPrEx>
        <w:trPr>
          <w:trHeight w:val="331" w:hRule="atLeast"/>
        </w:trPr>
        <w:tc>
          <w:tcPr>
            <w:tcW w:w="507" w:type="dxa"/>
            <w:tcBorders>
              <w:top w:val="nil"/>
              <w:left w:val="single" w:color="auto" w:sz="8" w:space="0"/>
              <w:bottom w:val="single" w:color="auto" w:sz="8" w:space="0"/>
              <w:right w:val="single" w:color="auto" w:sz="8" w:space="0"/>
            </w:tcBorders>
            <w:shd w:val="clear" w:color="auto" w:fill="auto"/>
            <w:vAlign w:val="center"/>
          </w:tcPr>
          <w:p w14:paraId="1BBD4D15">
            <w:pPr>
              <w:widowControl/>
              <w:jc w:val="center"/>
              <w:rPr>
                <w:rFonts w:ascii="宋体" w:hAnsi="宋体"/>
                <w:bCs/>
                <w:kern w:val="0"/>
                <w:sz w:val="24"/>
              </w:rPr>
            </w:pPr>
            <w:r>
              <w:rPr>
                <w:rFonts w:hint="eastAsia" w:ascii="宋体" w:hAnsi="宋体"/>
                <w:bCs/>
                <w:kern w:val="0"/>
                <w:sz w:val="24"/>
              </w:rPr>
              <w:t>3</w:t>
            </w:r>
          </w:p>
        </w:tc>
        <w:tc>
          <w:tcPr>
            <w:tcW w:w="1893" w:type="dxa"/>
            <w:tcBorders>
              <w:top w:val="nil"/>
              <w:left w:val="nil"/>
              <w:bottom w:val="single" w:color="auto" w:sz="8" w:space="0"/>
              <w:right w:val="single" w:color="auto" w:sz="8" w:space="0"/>
            </w:tcBorders>
            <w:shd w:val="clear" w:color="auto" w:fill="auto"/>
            <w:noWrap/>
            <w:vAlign w:val="center"/>
          </w:tcPr>
          <w:p w14:paraId="6584A777">
            <w:pPr>
              <w:widowControl/>
              <w:jc w:val="center"/>
              <w:rPr>
                <w:rFonts w:ascii="宋体" w:hAnsi="宋体"/>
                <w:bCs/>
                <w:kern w:val="0"/>
                <w:sz w:val="24"/>
              </w:rPr>
            </w:pPr>
            <w:r>
              <w:rPr>
                <w:rFonts w:hint="eastAsia" w:ascii="宋体" w:hAnsi="宋体"/>
                <w:bCs/>
                <w:kern w:val="0"/>
                <w:sz w:val="24"/>
              </w:rPr>
              <w:t>安全监理员</w:t>
            </w:r>
          </w:p>
        </w:tc>
        <w:tc>
          <w:tcPr>
            <w:tcW w:w="1701" w:type="dxa"/>
            <w:tcBorders>
              <w:top w:val="nil"/>
              <w:left w:val="nil"/>
              <w:bottom w:val="single" w:color="auto" w:sz="8" w:space="0"/>
              <w:right w:val="single" w:color="auto" w:sz="8" w:space="0"/>
            </w:tcBorders>
            <w:shd w:val="clear" w:color="auto" w:fill="auto"/>
            <w:vAlign w:val="center"/>
          </w:tcPr>
          <w:p w14:paraId="622F9E51">
            <w:pPr>
              <w:widowControl/>
              <w:jc w:val="center"/>
              <w:rPr>
                <w:rFonts w:ascii="宋体" w:hAnsi="宋体"/>
                <w:bCs/>
                <w:kern w:val="0"/>
                <w:sz w:val="24"/>
              </w:rPr>
            </w:pPr>
          </w:p>
        </w:tc>
        <w:tc>
          <w:tcPr>
            <w:tcW w:w="1418" w:type="dxa"/>
            <w:tcBorders>
              <w:top w:val="nil"/>
              <w:left w:val="nil"/>
              <w:bottom w:val="single" w:color="auto" w:sz="8" w:space="0"/>
              <w:right w:val="single" w:color="auto" w:sz="8" w:space="0"/>
            </w:tcBorders>
            <w:shd w:val="clear" w:color="auto" w:fill="auto"/>
            <w:vAlign w:val="center"/>
          </w:tcPr>
          <w:p w14:paraId="59D0CDC2">
            <w:pPr>
              <w:widowControl/>
              <w:jc w:val="center"/>
              <w:rPr>
                <w:rFonts w:ascii="宋体" w:hAnsi="宋体"/>
                <w:bCs/>
                <w:kern w:val="0"/>
                <w:sz w:val="24"/>
              </w:rPr>
            </w:pPr>
          </w:p>
        </w:tc>
        <w:tc>
          <w:tcPr>
            <w:tcW w:w="1701" w:type="dxa"/>
            <w:tcBorders>
              <w:top w:val="nil"/>
              <w:left w:val="nil"/>
              <w:bottom w:val="single" w:color="auto" w:sz="8" w:space="0"/>
              <w:right w:val="single" w:color="auto" w:sz="8" w:space="0"/>
            </w:tcBorders>
            <w:shd w:val="clear" w:color="auto" w:fill="auto"/>
            <w:noWrap/>
            <w:vAlign w:val="center"/>
          </w:tcPr>
          <w:p w14:paraId="377320CB">
            <w:pPr>
              <w:widowControl/>
              <w:jc w:val="center"/>
              <w:rPr>
                <w:rFonts w:ascii="宋体" w:hAnsi="宋体"/>
                <w:bCs/>
                <w:kern w:val="0"/>
                <w:sz w:val="24"/>
              </w:rPr>
            </w:pPr>
          </w:p>
        </w:tc>
        <w:tc>
          <w:tcPr>
            <w:tcW w:w="2504" w:type="dxa"/>
            <w:tcBorders>
              <w:top w:val="nil"/>
              <w:left w:val="nil"/>
              <w:bottom w:val="single" w:color="auto" w:sz="8" w:space="0"/>
              <w:right w:val="single" w:color="auto" w:sz="8" w:space="0"/>
            </w:tcBorders>
            <w:shd w:val="clear" w:color="auto" w:fill="auto"/>
            <w:vAlign w:val="center"/>
          </w:tcPr>
          <w:p w14:paraId="4F9FEF39">
            <w:pPr>
              <w:widowControl/>
              <w:jc w:val="center"/>
              <w:rPr>
                <w:rFonts w:ascii="宋体" w:hAnsi="宋体" w:cs="宋体"/>
                <w:color w:val="000000"/>
                <w:kern w:val="0"/>
                <w:sz w:val="20"/>
                <w:szCs w:val="20"/>
              </w:rPr>
            </w:pPr>
          </w:p>
        </w:tc>
      </w:tr>
      <w:tr w14:paraId="1A0B1112">
        <w:trPr>
          <w:trHeight w:val="331" w:hRule="atLeast"/>
        </w:trPr>
        <w:tc>
          <w:tcPr>
            <w:tcW w:w="507" w:type="dxa"/>
            <w:tcBorders>
              <w:top w:val="nil"/>
              <w:left w:val="single" w:color="auto" w:sz="8" w:space="0"/>
              <w:bottom w:val="single" w:color="auto" w:sz="8" w:space="0"/>
              <w:right w:val="single" w:color="auto" w:sz="8" w:space="0"/>
            </w:tcBorders>
            <w:shd w:val="clear" w:color="auto" w:fill="auto"/>
            <w:vAlign w:val="center"/>
          </w:tcPr>
          <w:p w14:paraId="3C11848A">
            <w:pPr>
              <w:widowControl/>
              <w:jc w:val="center"/>
              <w:rPr>
                <w:rFonts w:ascii="宋体" w:hAnsi="宋体"/>
                <w:bCs/>
                <w:kern w:val="0"/>
                <w:sz w:val="24"/>
              </w:rPr>
            </w:pPr>
            <w:r>
              <w:rPr>
                <w:rFonts w:hint="eastAsia" w:ascii="宋体" w:hAnsi="宋体"/>
                <w:bCs/>
                <w:kern w:val="0"/>
                <w:sz w:val="24"/>
              </w:rPr>
              <w:t>4</w:t>
            </w:r>
          </w:p>
        </w:tc>
        <w:tc>
          <w:tcPr>
            <w:tcW w:w="1893" w:type="dxa"/>
            <w:tcBorders>
              <w:top w:val="nil"/>
              <w:left w:val="nil"/>
              <w:bottom w:val="single" w:color="auto" w:sz="8" w:space="0"/>
              <w:right w:val="single" w:color="auto" w:sz="8" w:space="0"/>
            </w:tcBorders>
            <w:shd w:val="clear" w:color="auto" w:fill="auto"/>
            <w:noWrap/>
            <w:vAlign w:val="center"/>
          </w:tcPr>
          <w:p w14:paraId="1779665A">
            <w:pPr>
              <w:widowControl/>
              <w:jc w:val="center"/>
              <w:rPr>
                <w:rFonts w:ascii="宋体" w:hAnsi="宋体"/>
                <w:bCs/>
                <w:kern w:val="0"/>
                <w:sz w:val="24"/>
              </w:rPr>
            </w:pPr>
            <w:r>
              <w:rPr>
                <w:rFonts w:hint="eastAsia" w:ascii="宋体" w:hAnsi="宋体"/>
                <w:bCs/>
                <w:kern w:val="0"/>
                <w:sz w:val="24"/>
              </w:rPr>
              <w:t>见证员</w:t>
            </w:r>
          </w:p>
        </w:tc>
        <w:tc>
          <w:tcPr>
            <w:tcW w:w="1701" w:type="dxa"/>
            <w:tcBorders>
              <w:top w:val="nil"/>
              <w:left w:val="nil"/>
              <w:bottom w:val="single" w:color="auto" w:sz="8" w:space="0"/>
              <w:right w:val="single" w:color="auto" w:sz="8" w:space="0"/>
            </w:tcBorders>
            <w:shd w:val="clear" w:color="auto" w:fill="auto"/>
            <w:vAlign w:val="center"/>
          </w:tcPr>
          <w:p w14:paraId="7301B06D">
            <w:pPr>
              <w:widowControl/>
              <w:jc w:val="center"/>
              <w:rPr>
                <w:rFonts w:ascii="宋体" w:hAnsi="宋体"/>
                <w:bCs/>
                <w:kern w:val="0"/>
                <w:sz w:val="24"/>
              </w:rPr>
            </w:pPr>
          </w:p>
        </w:tc>
        <w:tc>
          <w:tcPr>
            <w:tcW w:w="1418" w:type="dxa"/>
            <w:tcBorders>
              <w:top w:val="nil"/>
              <w:left w:val="nil"/>
              <w:bottom w:val="single" w:color="auto" w:sz="8" w:space="0"/>
              <w:right w:val="single" w:color="auto" w:sz="8" w:space="0"/>
            </w:tcBorders>
            <w:shd w:val="clear" w:color="auto" w:fill="auto"/>
            <w:vAlign w:val="center"/>
          </w:tcPr>
          <w:p w14:paraId="75C0043F">
            <w:pPr>
              <w:widowControl/>
              <w:jc w:val="center"/>
              <w:rPr>
                <w:rFonts w:ascii="宋体" w:hAnsi="宋体"/>
                <w:bCs/>
                <w:kern w:val="0"/>
                <w:sz w:val="24"/>
              </w:rPr>
            </w:pPr>
          </w:p>
        </w:tc>
        <w:tc>
          <w:tcPr>
            <w:tcW w:w="1701" w:type="dxa"/>
            <w:tcBorders>
              <w:top w:val="nil"/>
              <w:left w:val="nil"/>
              <w:bottom w:val="single" w:color="auto" w:sz="8" w:space="0"/>
              <w:right w:val="single" w:color="auto" w:sz="8" w:space="0"/>
            </w:tcBorders>
            <w:shd w:val="clear" w:color="auto" w:fill="auto"/>
            <w:noWrap/>
            <w:vAlign w:val="center"/>
          </w:tcPr>
          <w:p w14:paraId="56702406">
            <w:pPr>
              <w:widowControl/>
              <w:jc w:val="center"/>
              <w:rPr>
                <w:rFonts w:ascii="宋体" w:hAnsi="宋体"/>
                <w:bCs/>
                <w:kern w:val="0"/>
                <w:sz w:val="24"/>
              </w:rPr>
            </w:pPr>
          </w:p>
        </w:tc>
        <w:tc>
          <w:tcPr>
            <w:tcW w:w="2504" w:type="dxa"/>
            <w:tcBorders>
              <w:top w:val="nil"/>
              <w:left w:val="nil"/>
              <w:bottom w:val="single" w:color="auto" w:sz="8" w:space="0"/>
              <w:right w:val="single" w:color="auto" w:sz="8" w:space="0"/>
            </w:tcBorders>
            <w:shd w:val="clear" w:color="auto" w:fill="auto"/>
            <w:vAlign w:val="center"/>
          </w:tcPr>
          <w:p w14:paraId="4911C78F">
            <w:pPr>
              <w:widowControl/>
              <w:jc w:val="center"/>
              <w:rPr>
                <w:rFonts w:ascii="宋体" w:hAnsi="宋体" w:cs="宋体"/>
                <w:color w:val="000000"/>
                <w:kern w:val="0"/>
                <w:sz w:val="20"/>
                <w:szCs w:val="20"/>
              </w:rPr>
            </w:pPr>
          </w:p>
        </w:tc>
      </w:tr>
      <w:tr w14:paraId="6095023F">
        <w:tblPrEx>
          <w:tblCellMar>
            <w:top w:w="0" w:type="dxa"/>
            <w:left w:w="108" w:type="dxa"/>
            <w:bottom w:w="0" w:type="dxa"/>
            <w:right w:w="108" w:type="dxa"/>
          </w:tblCellMar>
        </w:tblPrEx>
        <w:trPr>
          <w:trHeight w:val="292" w:hRule="atLeast"/>
        </w:trPr>
        <w:tc>
          <w:tcPr>
            <w:tcW w:w="507" w:type="dxa"/>
            <w:tcBorders>
              <w:top w:val="nil"/>
              <w:left w:val="single" w:color="auto" w:sz="8" w:space="0"/>
              <w:bottom w:val="single" w:color="auto" w:sz="8" w:space="0"/>
              <w:right w:val="single" w:color="auto" w:sz="8" w:space="0"/>
            </w:tcBorders>
            <w:shd w:val="clear" w:color="auto" w:fill="auto"/>
            <w:vAlign w:val="center"/>
          </w:tcPr>
          <w:p w14:paraId="0E295BAA">
            <w:pPr>
              <w:widowControl/>
              <w:jc w:val="center"/>
              <w:rPr>
                <w:rFonts w:ascii="宋体" w:hAnsi="宋体"/>
                <w:bCs/>
                <w:kern w:val="0"/>
                <w:sz w:val="24"/>
              </w:rPr>
            </w:pPr>
            <w:r>
              <w:rPr>
                <w:rFonts w:hint="eastAsia" w:ascii="宋体" w:hAnsi="宋体"/>
                <w:bCs/>
                <w:kern w:val="0"/>
                <w:sz w:val="24"/>
              </w:rPr>
              <w:t>5</w:t>
            </w:r>
          </w:p>
        </w:tc>
        <w:tc>
          <w:tcPr>
            <w:tcW w:w="1893" w:type="dxa"/>
            <w:tcBorders>
              <w:top w:val="nil"/>
              <w:left w:val="nil"/>
              <w:bottom w:val="single" w:color="auto" w:sz="8" w:space="0"/>
              <w:right w:val="single" w:color="auto" w:sz="8" w:space="0"/>
            </w:tcBorders>
            <w:shd w:val="clear" w:color="auto" w:fill="auto"/>
            <w:noWrap/>
            <w:vAlign w:val="center"/>
          </w:tcPr>
          <w:p w14:paraId="60832AA9">
            <w:pPr>
              <w:widowControl/>
              <w:jc w:val="center"/>
              <w:rPr>
                <w:rFonts w:ascii="宋体" w:hAnsi="宋体"/>
                <w:bCs/>
                <w:kern w:val="0"/>
                <w:sz w:val="24"/>
              </w:rPr>
            </w:pPr>
            <w:r>
              <w:rPr>
                <w:rFonts w:hint="eastAsia" w:ascii="宋体" w:hAnsi="宋体"/>
                <w:bCs/>
                <w:kern w:val="0"/>
                <w:sz w:val="24"/>
              </w:rPr>
              <w:t>资料员</w:t>
            </w:r>
          </w:p>
        </w:tc>
        <w:tc>
          <w:tcPr>
            <w:tcW w:w="1701" w:type="dxa"/>
            <w:tcBorders>
              <w:top w:val="nil"/>
              <w:left w:val="nil"/>
              <w:bottom w:val="single" w:color="auto" w:sz="8" w:space="0"/>
              <w:right w:val="single" w:color="auto" w:sz="8" w:space="0"/>
            </w:tcBorders>
            <w:shd w:val="clear" w:color="auto" w:fill="auto"/>
            <w:vAlign w:val="center"/>
          </w:tcPr>
          <w:p w14:paraId="2C8E5D0C">
            <w:pPr>
              <w:widowControl/>
              <w:jc w:val="center"/>
              <w:rPr>
                <w:rFonts w:ascii="宋体" w:hAnsi="宋体"/>
                <w:bCs/>
                <w:kern w:val="0"/>
                <w:sz w:val="24"/>
              </w:rPr>
            </w:pPr>
          </w:p>
        </w:tc>
        <w:tc>
          <w:tcPr>
            <w:tcW w:w="1418" w:type="dxa"/>
            <w:tcBorders>
              <w:top w:val="nil"/>
              <w:left w:val="nil"/>
              <w:bottom w:val="single" w:color="auto" w:sz="8" w:space="0"/>
              <w:right w:val="single" w:color="auto" w:sz="8" w:space="0"/>
            </w:tcBorders>
            <w:shd w:val="clear" w:color="auto" w:fill="auto"/>
            <w:vAlign w:val="center"/>
          </w:tcPr>
          <w:p w14:paraId="282F18F6">
            <w:pPr>
              <w:widowControl/>
              <w:jc w:val="center"/>
              <w:rPr>
                <w:rFonts w:ascii="宋体" w:hAnsi="宋体"/>
                <w:bCs/>
                <w:kern w:val="0"/>
                <w:sz w:val="24"/>
              </w:rPr>
            </w:pPr>
          </w:p>
        </w:tc>
        <w:tc>
          <w:tcPr>
            <w:tcW w:w="1701" w:type="dxa"/>
            <w:tcBorders>
              <w:top w:val="nil"/>
              <w:left w:val="nil"/>
              <w:bottom w:val="single" w:color="auto" w:sz="8" w:space="0"/>
              <w:right w:val="single" w:color="auto" w:sz="8" w:space="0"/>
            </w:tcBorders>
            <w:shd w:val="clear" w:color="auto" w:fill="auto"/>
            <w:noWrap/>
            <w:vAlign w:val="center"/>
          </w:tcPr>
          <w:p w14:paraId="48AC82C9">
            <w:pPr>
              <w:widowControl/>
              <w:jc w:val="center"/>
              <w:rPr>
                <w:rFonts w:ascii="宋体" w:hAnsi="宋体"/>
                <w:bCs/>
                <w:kern w:val="0"/>
                <w:sz w:val="24"/>
              </w:rPr>
            </w:pPr>
          </w:p>
        </w:tc>
        <w:tc>
          <w:tcPr>
            <w:tcW w:w="2504" w:type="dxa"/>
            <w:tcBorders>
              <w:top w:val="nil"/>
              <w:left w:val="nil"/>
              <w:bottom w:val="single" w:color="auto" w:sz="8" w:space="0"/>
              <w:right w:val="single" w:color="auto" w:sz="8" w:space="0"/>
            </w:tcBorders>
            <w:shd w:val="clear" w:color="auto" w:fill="auto"/>
            <w:vAlign w:val="center"/>
          </w:tcPr>
          <w:p w14:paraId="74794A46">
            <w:pPr>
              <w:widowControl/>
              <w:jc w:val="center"/>
              <w:rPr>
                <w:rFonts w:ascii="宋体" w:hAnsi="宋体" w:cs="宋体"/>
                <w:color w:val="000000"/>
                <w:kern w:val="0"/>
                <w:sz w:val="20"/>
                <w:szCs w:val="20"/>
              </w:rPr>
            </w:pPr>
          </w:p>
        </w:tc>
      </w:tr>
      <w:tr w14:paraId="67360F58">
        <w:tblPrEx>
          <w:tblCellMar>
            <w:top w:w="0" w:type="dxa"/>
            <w:left w:w="108" w:type="dxa"/>
            <w:bottom w:w="0" w:type="dxa"/>
            <w:right w:w="108" w:type="dxa"/>
          </w:tblCellMar>
        </w:tblPrEx>
        <w:trPr>
          <w:trHeight w:val="292" w:hRule="atLeast"/>
        </w:trPr>
        <w:tc>
          <w:tcPr>
            <w:tcW w:w="507" w:type="dxa"/>
            <w:tcBorders>
              <w:top w:val="nil"/>
              <w:left w:val="single" w:color="auto" w:sz="8" w:space="0"/>
              <w:bottom w:val="single" w:color="auto" w:sz="8" w:space="0"/>
              <w:right w:val="single" w:color="auto" w:sz="8" w:space="0"/>
            </w:tcBorders>
            <w:shd w:val="clear" w:color="auto" w:fill="auto"/>
            <w:vAlign w:val="center"/>
          </w:tcPr>
          <w:p w14:paraId="76A8D817">
            <w:pPr>
              <w:widowControl/>
              <w:jc w:val="center"/>
              <w:rPr>
                <w:rFonts w:ascii="宋体" w:hAnsi="宋体"/>
                <w:bCs/>
                <w:kern w:val="0"/>
                <w:sz w:val="24"/>
              </w:rPr>
            </w:pPr>
            <w:r>
              <w:rPr>
                <w:rFonts w:hint="eastAsia" w:ascii="宋体" w:hAnsi="宋体"/>
                <w:bCs/>
                <w:kern w:val="0"/>
                <w:sz w:val="24"/>
              </w:rPr>
              <w:t>6</w:t>
            </w:r>
          </w:p>
        </w:tc>
        <w:tc>
          <w:tcPr>
            <w:tcW w:w="1893" w:type="dxa"/>
            <w:tcBorders>
              <w:top w:val="nil"/>
              <w:left w:val="nil"/>
              <w:bottom w:val="single" w:color="auto" w:sz="8" w:space="0"/>
              <w:right w:val="single" w:color="auto" w:sz="8" w:space="0"/>
            </w:tcBorders>
            <w:shd w:val="clear" w:color="auto" w:fill="auto"/>
            <w:noWrap/>
            <w:vAlign w:val="center"/>
          </w:tcPr>
          <w:p w14:paraId="58DF30BD">
            <w:pPr>
              <w:widowControl/>
              <w:jc w:val="center"/>
              <w:rPr>
                <w:rFonts w:ascii="宋体" w:hAnsi="宋体"/>
                <w:bCs/>
                <w:kern w:val="0"/>
                <w:sz w:val="24"/>
              </w:rPr>
            </w:pPr>
            <w:r>
              <w:rPr>
                <w:rFonts w:hint="eastAsia" w:ascii="宋体" w:hAnsi="宋体"/>
                <w:bCs/>
                <w:kern w:val="0"/>
                <w:sz w:val="24"/>
              </w:rPr>
              <w:t>其他人员请自行补充并计入总价</w:t>
            </w:r>
          </w:p>
        </w:tc>
        <w:tc>
          <w:tcPr>
            <w:tcW w:w="1701" w:type="dxa"/>
            <w:tcBorders>
              <w:top w:val="nil"/>
              <w:left w:val="nil"/>
              <w:bottom w:val="single" w:color="auto" w:sz="8" w:space="0"/>
              <w:right w:val="single" w:color="auto" w:sz="8" w:space="0"/>
            </w:tcBorders>
            <w:shd w:val="clear" w:color="auto" w:fill="auto"/>
            <w:vAlign w:val="center"/>
          </w:tcPr>
          <w:p w14:paraId="2592297D">
            <w:pPr>
              <w:widowControl/>
              <w:jc w:val="center"/>
              <w:rPr>
                <w:rFonts w:ascii="宋体" w:hAnsi="宋体"/>
                <w:bCs/>
                <w:kern w:val="0"/>
                <w:sz w:val="24"/>
              </w:rPr>
            </w:pPr>
          </w:p>
        </w:tc>
        <w:tc>
          <w:tcPr>
            <w:tcW w:w="1418" w:type="dxa"/>
            <w:tcBorders>
              <w:top w:val="nil"/>
              <w:left w:val="nil"/>
              <w:bottom w:val="single" w:color="auto" w:sz="8" w:space="0"/>
              <w:right w:val="single" w:color="auto" w:sz="8" w:space="0"/>
            </w:tcBorders>
            <w:shd w:val="clear" w:color="auto" w:fill="auto"/>
            <w:vAlign w:val="center"/>
          </w:tcPr>
          <w:p w14:paraId="5E56B868">
            <w:pPr>
              <w:widowControl/>
              <w:jc w:val="center"/>
              <w:rPr>
                <w:rFonts w:ascii="宋体" w:hAnsi="宋体"/>
                <w:bCs/>
                <w:kern w:val="0"/>
                <w:sz w:val="24"/>
              </w:rPr>
            </w:pPr>
          </w:p>
        </w:tc>
        <w:tc>
          <w:tcPr>
            <w:tcW w:w="1701" w:type="dxa"/>
            <w:tcBorders>
              <w:top w:val="nil"/>
              <w:left w:val="nil"/>
              <w:bottom w:val="single" w:color="auto" w:sz="8" w:space="0"/>
              <w:right w:val="single" w:color="auto" w:sz="8" w:space="0"/>
            </w:tcBorders>
            <w:shd w:val="clear" w:color="auto" w:fill="auto"/>
            <w:noWrap/>
            <w:vAlign w:val="center"/>
          </w:tcPr>
          <w:p w14:paraId="78BDD803">
            <w:pPr>
              <w:widowControl/>
              <w:jc w:val="center"/>
              <w:rPr>
                <w:rFonts w:ascii="宋体" w:hAnsi="宋体"/>
                <w:bCs/>
                <w:kern w:val="0"/>
                <w:sz w:val="24"/>
              </w:rPr>
            </w:pPr>
          </w:p>
        </w:tc>
        <w:tc>
          <w:tcPr>
            <w:tcW w:w="2504" w:type="dxa"/>
            <w:tcBorders>
              <w:top w:val="nil"/>
              <w:left w:val="nil"/>
              <w:bottom w:val="single" w:color="auto" w:sz="8" w:space="0"/>
              <w:right w:val="single" w:color="auto" w:sz="8" w:space="0"/>
            </w:tcBorders>
            <w:shd w:val="clear" w:color="auto" w:fill="auto"/>
            <w:vAlign w:val="center"/>
          </w:tcPr>
          <w:p w14:paraId="1D6732D5">
            <w:pPr>
              <w:widowControl/>
              <w:jc w:val="center"/>
              <w:rPr>
                <w:rFonts w:ascii="宋体" w:hAnsi="宋体" w:cs="宋体"/>
                <w:color w:val="000000"/>
                <w:kern w:val="0"/>
                <w:sz w:val="20"/>
                <w:szCs w:val="20"/>
              </w:rPr>
            </w:pPr>
          </w:p>
        </w:tc>
      </w:tr>
      <w:tr w14:paraId="0410EA78">
        <w:tblPrEx>
          <w:tblCellMar>
            <w:top w:w="0" w:type="dxa"/>
            <w:left w:w="108" w:type="dxa"/>
            <w:bottom w:w="0" w:type="dxa"/>
            <w:right w:w="108" w:type="dxa"/>
          </w:tblCellMar>
        </w:tblPrEx>
        <w:trPr>
          <w:trHeight w:val="292" w:hRule="atLeast"/>
        </w:trPr>
        <w:tc>
          <w:tcPr>
            <w:tcW w:w="2400"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41A11100">
            <w:pPr>
              <w:widowControl/>
              <w:jc w:val="center"/>
              <w:rPr>
                <w:rFonts w:ascii="宋体" w:hAnsi="宋体"/>
                <w:bCs/>
                <w:kern w:val="0"/>
                <w:sz w:val="24"/>
              </w:rPr>
            </w:pPr>
            <w:r>
              <w:rPr>
                <w:rFonts w:hint="eastAsia" w:ascii="宋体" w:hAnsi="宋体"/>
                <w:bCs/>
                <w:kern w:val="0"/>
                <w:sz w:val="24"/>
              </w:rPr>
              <w:t>合计</w:t>
            </w:r>
          </w:p>
        </w:tc>
        <w:tc>
          <w:tcPr>
            <w:tcW w:w="1701" w:type="dxa"/>
            <w:tcBorders>
              <w:top w:val="nil"/>
              <w:left w:val="nil"/>
              <w:bottom w:val="single" w:color="auto" w:sz="8" w:space="0"/>
              <w:right w:val="single" w:color="auto" w:sz="8" w:space="0"/>
            </w:tcBorders>
            <w:shd w:val="clear" w:color="auto" w:fill="auto"/>
            <w:noWrap/>
            <w:vAlign w:val="center"/>
          </w:tcPr>
          <w:p w14:paraId="5294E7F6">
            <w:pPr>
              <w:widowControl/>
              <w:jc w:val="center"/>
              <w:rPr>
                <w:rFonts w:ascii="宋体" w:hAnsi="宋体"/>
                <w:bCs/>
                <w:kern w:val="0"/>
                <w:sz w:val="24"/>
              </w:rPr>
            </w:pPr>
            <w:r>
              <w:rPr>
                <w:rFonts w:hint="eastAsia" w:ascii="宋体" w:hAnsi="宋体"/>
                <w:bCs/>
                <w:kern w:val="0"/>
                <w:sz w:val="24"/>
              </w:rPr>
              <w:t>　</w:t>
            </w:r>
          </w:p>
        </w:tc>
        <w:tc>
          <w:tcPr>
            <w:tcW w:w="5623" w:type="dxa"/>
            <w:gridSpan w:val="3"/>
            <w:tcBorders>
              <w:top w:val="single" w:color="auto" w:sz="8" w:space="0"/>
              <w:left w:val="nil"/>
              <w:bottom w:val="single" w:color="auto" w:sz="8" w:space="0"/>
              <w:right w:val="single" w:color="000000" w:sz="8" w:space="0"/>
            </w:tcBorders>
            <w:shd w:val="clear" w:color="auto" w:fill="auto"/>
            <w:noWrap/>
            <w:vAlign w:val="center"/>
          </w:tcPr>
          <w:p w14:paraId="1DB4C19F">
            <w:pPr>
              <w:widowControl/>
              <w:rPr>
                <w:rFonts w:ascii="宋体" w:hAnsi="宋体"/>
                <w:bCs/>
                <w:kern w:val="0"/>
                <w:sz w:val="24"/>
              </w:rPr>
            </w:pPr>
          </w:p>
        </w:tc>
      </w:tr>
    </w:tbl>
    <w:p w14:paraId="60588A74">
      <w:pPr>
        <w:spacing w:line="360" w:lineRule="auto"/>
        <w:rPr>
          <w:rFonts w:ascii="宋体" w:hAnsi="宋体"/>
          <w:sz w:val="24"/>
        </w:rPr>
      </w:pPr>
    </w:p>
    <w:p w14:paraId="7B9DFC77">
      <w:pPr>
        <w:spacing w:line="360" w:lineRule="auto"/>
        <w:rPr>
          <w:rFonts w:ascii="宋体" w:hAnsi="宋体"/>
          <w:sz w:val="24"/>
        </w:rPr>
      </w:pPr>
      <w:r>
        <w:rPr>
          <w:rFonts w:hint="eastAsia" w:ascii="宋体" w:hAnsi="宋体"/>
          <w:sz w:val="24"/>
        </w:rPr>
        <w:t>本项目为总价包干，本表仅作为组价依据。供应商需确认总价中包含本项目全部范围内的工程施工监理工作内容。</w:t>
      </w:r>
    </w:p>
    <w:p w14:paraId="2143AF66">
      <w:pPr>
        <w:spacing w:line="360" w:lineRule="auto"/>
        <w:rPr>
          <w:rFonts w:ascii="宋体" w:hAnsi="宋体"/>
          <w:sz w:val="24"/>
        </w:rPr>
      </w:pPr>
    </w:p>
    <w:p w14:paraId="5865DE30">
      <w:pPr>
        <w:spacing w:line="360" w:lineRule="auto"/>
        <w:rPr>
          <w:rFonts w:ascii="宋体" w:hAnsi="宋体" w:cs="宋体"/>
          <w:sz w:val="24"/>
        </w:rPr>
      </w:pPr>
      <w:r>
        <w:rPr>
          <w:rFonts w:hint="eastAsia" w:ascii="宋体" w:hAnsi="宋体" w:cs="宋体"/>
          <w:sz w:val="24"/>
        </w:rPr>
        <w:t>供应商名称：（公章）</w:t>
      </w:r>
    </w:p>
    <w:p w14:paraId="2E189668">
      <w:pPr>
        <w:spacing w:line="360" w:lineRule="auto"/>
        <w:rPr>
          <w:rFonts w:ascii="宋体" w:hAnsi="宋体" w:cs="宋体"/>
          <w:sz w:val="24"/>
        </w:rPr>
      </w:pPr>
      <w:r>
        <w:rPr>
          <w:rFonts w:hint="eastAsia" w:ascii="宋体" w:hAnsi="宋体" w:cs="宋体"/>
          <w:sz w:val="24"/>
        </w:rPr>
        <w:t>日期：</w:t>
      </w:r>
    </w:p>
    <w:p w14:paraId="2BF17103">
      <w:pPr>
        <w:spacing w:line="360" w:lineRule="auto"/>
        <w:rPr>
          <w:rFonts w:ascii="宋体" w:hAnsi="宋体" w:cs="宋体"/>
          <w:sz w:val="24"/>
        </w:rPr>
      </w:pPr>
    </w:p>
    <w:p w14:paraId="6C33794B">
      <w:pPr>
        <w:spacing w:line="360" w:lineRule="auto"/>
        <w:outlineLvl w:val="0"/>
        <w:rPr>
          <w:rFonts w:ascii="宋体" w:hAnsi="宋体"/>
          <w:sz w:val="24"/>
        </w:rPr>
      </w:pPr>
      <w:r>
        <w:rPr>
          <w:rFonts w:ascii="宋体" w:hAnsi="宋体"/>
          <w:sz w:val="24"/>
        </w:rPr>
        <w:br w:type="page"/>
      </w:r>
      <w:r>
        <w:rPr>
          <w:rFonts w:hint="eastAsia" w:ascii="宋体" w:hAnsi="宋体"/>
          <w:b/>
          <w:sz w:val="24"/>
        </w:rPr>
        <w:t>附件七、报价承诺函</w:t>
      </w:r>
    </w:p>
    <w:p w14:paraId="4CBB5BC5">
      <w:pPr>
        <w:snapToGrid w:val="0"/>
        <w:spacing w:line="360" w:lineRule="auto"/>
        <w:ind w:firstLine="480" w:firstLineChars="200"/>
        <w:rPr>
          <w:rFonts w:ascii="宋体" w:hAnsi="宋体"/>
          <w:sz w:val="24"/>
        </w:rPr>
      </w:pPr>
      <w:r>
        <w:rPr>
          <w:rFonts w:hint="eastAsia" w:ascii="宋体" w:hAnsi="宋体"/>
          <w:sz w:val="24"/>
        </w:rPr>
        <w:t>我司承诺：完全理解和满足本次比价邀请文件的所有要求，并基于此做出的合理报价。</w:t>
      </w:r>
    </w:p>
    <w:p w14:paraId="5595A8FB">
      <w:pPr>
        <w:snapToGrid w:val="0"/>
        <w:spacing w:line="360" w:lineRule="auto"/>
        <w:ind w:firstLine="480" w:firstLineChars="200"/>
        <w:rPr>
          <w:rFonts w:ascii="宋体" w:hAnsi="宋体"/>
          <w:sz w:val="24"/>
        </w:rPr>
      </w:pPr>
      <w:r>
        <w:rPr>
          <w:rFonts w:hint="eastAsia" w:ascii="宋体" w:hAnsi="宋体"/>
          <w:sz w:val="24"/>
        </w:rPr>
        <w:t>本项目报价应包含所有设备、人员及一切有可能发生的所有费用。</w:t>
      </w:r>
    </w:p>
    <w:p w14:paraId="25EA68D0">
      <w:pPr>
        <w:spacing w:line="360" w:lineRule="auto"/>
        <w:rPr>
          <w:rFonts w:ascii="宋体" w:hAnsi="宋体" w:cs="宋体"/>
          <w:sz w:val="24"/>
        </w:rPr>
      </w:pPr>
      <w:r>
        <w:rPr>
          <w:rFonts w:hint="eastAsia" w:ascii="宋体" w:hAnsi="宋体" w:cs="宋体"/>
          <w:sz w:val="24"/>
        </w:rPr>
        <w:t>供应商名称：（公章）</w:t>
      </w:r>
    </w:p>
    <w:p w14:paraId="00F25953">
      <w:pPr>
        <w:spacing w:line="360" w:lineRule="auto"/>
        <w:rPr>
          <w:rFonts w:ascii="宋体" w:hAnsi="宋体" w:cs="宋体"/>
          <w:sz w:val="24"/>
        </w:rPr>
      </w:pPr>
      <w:r>
        <w:rPr>
          <w:rFonts w:hint="eastAsia" w:ascii="宋体" w:hAnsi="宋体" w:cs="宋体"/>
          <w:sz w:val="24"/>
        </w:rPr>
        <w:t>日期：</w:t>
      </w:r>
    </w:p>
    <w:p w14:paraId="1FDBDEAD">
      <w:pPr>
        <w:widowControl/>
        <w:jc w:val="left"/>
        <w:rPr>
          <w:rFonts w:ascii="宋体" w:hAnsi="宋体"/>
          <w:b/>
          <w:sz w:val="24"/>
        </w:rPr>
      </w:pPr>
      <w:r>
        <w:rPr>
          <w:rFonts w:ascii="宋体" w:hAnsi="宋体"/>
          <w:b/>
          <w:sz w:val="24"/>
        </w:rPr>
        <w:br w:type="page"/>
      </w:r>
    </w:p>
    <w:p w14:paraId="05AE334C">
      <w:pPr>
        <w:pStyle w:val="19"/>
        <w:spacing w:after="156" w:line="360" w:lineRule="auto"/>
        <w:ind w:firstLine="482"/>
        <w:rPr>
          <w:rFonts w:ascii="宋体" w:hAnsi="宋体"/>
          <w:b/>
          <w:sz w:val="24"/>
          <w:lang w:eastAsia="zh-CN"/>
        </w:rPr>
      </w:pPr>
      <w:r>
        <w:rPr>
          <w:rFonts w:hint="eastAsia" w:ascii="宋体" w:hAnsi="宋体"/>
          <w:b/>
          <w:sz w:val="24"/>
          <w:lang w:eastAsia="zh-CN"/>
        </w:rPr>
        <w:t>附件八、监理工作服务标准</w:t>
      </w:r>
    </w:p>
    <w:p w14:paraId="472B848B">
      <w:pPr>
        <w:pStyle w:val="19"/>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hint="eastAsia" w:ascii="宋体" w:hAnsi="宋体"/>
          <w:bCs/>
          <w:sz w:val="24"/>
          <w:szCs w:val="24"/>
          <w:lang w:eastAsia="zh-CN"/>
        </w:rPr>
        <w:t>、质量控制</w:t>
      </w:r>
    </w:p>
    <w:p w14:paraId="23874BD6">
      <w:pPr>
        <w:pStyle w:val="19"/>
        <w:spacing w:after="156" w:line="360" w:lineRule="auto"/>
        <w:ind w:firstLine="480"/>
        <w:rPr>
          <w:rFonts w:ascii="宋体" w:hAnsi="宋体"/>
          <w:bCs/>
          <w:sz w:val="24"/>
          <w:szCs w:val="24"/>
          <w:lang w:eastAsia="zh-CN"/>
        </w:rPr>
      </w:pPr>
      <w:r>
        <w:rPr>
          <w:rFonts w:hint="eastAsia" w:ascii="宋体" w:hAnsi="宋体"/>
          <w:bCs/>
          <w:sz w:val="24"/>
          <w:szCs w:val="24"/>
          <w:lang w:eastAsia="zh-CN"/>
        </w:rPr>
        <w:t>1）熟悉施工图，参加设计交底会议，提出相关建议或意见；</w:t>
      </w:r>
    </w:p>
    <w:p w14:paraId="5C5BE3FD">
      <w:pPr>
        <w:pStyle w:val="19"/>
        <w:spacing w:after="156" w:line="360" w:lineRule="auto"/>
        <w:ind w:firstLine="480"/>
        <w:rPr>
          <w:rFonts w:ascii="宋体" w:hAnsi="宋体"/>
          <w:bCs/>
          <w:sz w:val="24"/>
          <w:szCs w:val="24"/>
          <w:lang w:eastAsia="zh-CN"/>
        </w:rPr>
      </w:pPr>
      <w:r>
        <w:rPr>
          <w:rFonts w:hint="eastAsia" w:ascii="宋体" w:hAnsi="宋体"/>
          <w:bCs/>
          <w:sz w:val="24"/>
          <w:szCs w:val="24"/>
          <w:lang w:eastAsia="zh-CN"/>
        </w:rPr>
        <w:t>2）审查和批准施工组织设计，核实并签发施工必须遵循的设计要求、采用的技术标准、技术规程规范等质量文件；</w:t>
      </w:r>
    </w:p>
    <w:p w14:paraId="6BAAE5C6">
      <w:pPr>
        <w:pStyle w:val="19"/>
        <w:spacing w:after="156" w:line="360" w:lineRule="auto"/>
        <w:ind w:firstLine="480"/>
        <w:rPr>
          <w:rFonts w:ascii="宋体" w:hAnsi="宋体"/>
          <w:bCs/>
          <w:sz w:val="24"/>
          <w:szCs w:val="24"/>
          <w:lang w:eastAsia="zh-CN"/>
        </w:rPr>
      </w:pPr>
      <w:r>
        <w:rPr>
          <w:rFonts w:hint="eastAsia" w:ascii="宋体" w:hAnsi="宋体"/>
          <w:bCs/>
          <w:sz w:val="24"/>
          <w:szCs w:val="24"/>
          <w:lang w:eastAsia="zh-CN"/>
        </w:rPr>
        <w:t>3）检查施工许可等手续的办理情况，向委托人提交检查报告；</w:t>
      </w:r>
    </w:p>
    <w:p w14:paraId="21CA35D7">
      <w:pPr>
        <w:pStyle w:val="19"/>
        <w:spacing w:after="156" w:line="360" w:lineRule="auto"/>
        <w:ind w:firstLine="480"/>
        <w:rPr>
          <w:rFonts w:ascii="宋体" w:hAnsi="宋体"/>
          <w:bCs/>
          <w:sz w:val="24"/>
          <w:szCs w:val="24"/>
          <w:lang w:eastAsia="zh-CN"/>
        </w:rPr>
      </w:pPr>
      <w:r>
        <w:rPr>
          <w:rFonts w:hint="eastAsia" w:ascii="宋体" w:hAnsi="宋体"/>
          <w:bCs/>
          <w:sz w:val="24"/>
          <w:szCs w:val="24"/>
          <w:lang w:eastAsia="zh-CN"/>
        </w:rPr>
        <w:t>4）审查工程开工条件，检查施工前的各项准备工作</w:t>
      </w:r>
    </w:p>
    <w:p w14:paraId="791B2AE7">
      <w:pPr>
        <w:pStyle w:val="19"/>
        <w:spacing w:after="156" w:line="360" w:lineRule="auto"/>
        <w:ind w:firstLine="480"/>
        <w:rPr>
          <w:rFonts w:ascii="宋体" w:hAnsi="宋体"/>
          <w:bCs/>
          <w:sz w:val="24"/>
          <w:szCs w:val="24"/>
          <w:lang w:eastAsia="zh-CN"/>
        </w:rPr>
      </w:pPr>
      <w:r>
        <w:rPr>
          <w:rFonts w:hint="eastAsia" w:ascii="宋体" w:hAnsi="宋体"/>
          <w:bCs/>
          <w:sz w:val="24"/>
          <w:szCs w:val="24"/>
          <w:lang w:eastAsia="zh-CN"/>
        </w:rPr>
        <w:t>5）复核和审查承包人、分包人以及材料、设备、构配件等供应单位的资格及发包手续、备案情况等；</w:t>
      </w:r>
    </w:p>
    <w:p w14:paraId="48683359">
      <w:pPr>
        <w:pStyle w:val="19"/>
        <w:spacing w:after="156" w:line="360" w:lineRule="auto"/>
        <w:ind w:firstLine="480"/>
        <w:rPr>
          <w:rFonts w:ascii="宋体" w:hAnsi="宋体"/>
          <w:bCs/>
          <w:sz w:val="24"/>
          <w:szCs w:val="24"/>
          <w:lang w:eastAsia="zh-CN"/>
        </w:rPr>
      </w:pPr>
      <w:r>
        <w:rPr>
          <w:rFonts w:hint="eastAsia" w:ascii="宋体" w:hAnsi="宋体"/>
          <w:bCs/>
          <w:sz w:val="24"/>
          <w:szCs w:val="24"/>
          <w:lang w:eastAsia="zh-CN"/>
        </w:rPr>
        <w:t>6）审批工程项目单位工程、分部分项工程和检验批的划分，并依据监理规划分析、调整和确定质量控制重点、质量控制工作流程和监理措施，制定质量控制的各项实施细则、规定及其他管理制度；</w:t>
      </w:r>
    </w:p>
    <w:p w14:paraId="1596CAE7">
      <w:pPr>
        <w:pStyle w:val="19"/>
        <w:spacing w:after="156" w:line="360" w:lineRule="auto"/>
        <w:ind w:firstLine="480"/>
        <w:rPr>
          <w:rFonts w:ascii="宋体" w:hAnsi="宋体"/>
          <w:bCs/>
          <w:sz w:val="24"/>
          <w:szCs w:val="24"/>
          <w:lang w:eastAsia="zh-CN"/>
        </w:rPr>
      </w:pPr>
      <w:r>
        <w:rPr>
          <w:rFonts w:ascii="宋体" w:hAnsi="宋体"/>
          <w:bCs/>
          <w:sz w:val="24"/>
          <w:szCs w:val="24"/>
          <w:lang w:eastAsia="zh-CN"/>
        </w:rPr>
        <w:t>7</w:t>
      </w:r>
      <w:r>
        <w:rPr>
          <w:rFonts w:hint="eastAsia" w:ascii="宋体" w:hAnsi="宋体"/>
          <w:bCs/>
          <w:sz w:val="24"/>
          <w:szCs w:val="24"/>
          <w:lang w:eastAsia="zh-CN"/>
        </w:rPr>
        <w:t>）检查督促承包人建立健全适合于本工程的质量管理体系，并能切实发挥作用，督促承包人进行全面质量管理工作；</w:t>
      </w:r>
    </w:p>
    <w:p w14:paraId="1D29E468">
      <w:pPr>
        <w:pStyle w:val="19"/>
        <w:spacing w:after="156" w:line="360" w:lineRule="auto"/>
        <w:ind w:firstLine="480"/>
        <w:rPr>
          <w:rFonts w:ascii="宋体" w:hAnsi="宋体"/>
          <w:bCs/>
          <w:sz w:val="24"/>
          <w:szCs w:val="24"/>
          <w:lang w:eastAsia="zh-CN"/>
        </w:rPr>
      </w:pPr>
      <w:r>
        <w:rPr>
          <w:rFonts w:ascii="宋体" w:hAnsi="宋体"/>
          <w:bCs/>
          <w:sz w:val="24"/>
          <w:szCs w:val="24"/>
          <w:lang w:eastAsia="zh-CN"/>
        </w:rPr>
        <w:t>8</w:t>
      </w:r>
      <w:r>
        <w:rPr>
          <w:rFonts w:hint="eastAsia" w:ascii="宋体" w:hAnsi="宋体"/>
          <w:bCs/>
          <w:sz w:val="24"/>
          <w:szCs w:val="24"/>
          <w:lang w:eastAsia="zh-CN"/>
        </w:rPr>
        <w:t>）协助委托人移交与项目施工有关的测量控制网点；审查承包人提交的测量实施报告，并依据监理规范要求检查和复合有关测量成果；</w:t>
      </w:r>
    </w:p>
    <w:p w14:paraId="18051526">
      <w:pPr>
        <w:pStyle w:val="19"/>
        <w:spacing w:after="156" w:line="360" w:lineRule="auto"/>
        <w:ind w:firstLine="480"/>
        <w:rPr>
          <w:rFonts w:ascii="宋体" w:hAnsi="宋体"/>
          <w:bCs/>
          <w:sz w:val="24"/>
          <w:szCs w:val="24"/>
          <w:lang w:eastAsia="zh-CN"/>
        </w:rPr>
      </w:pPr>
      <w:r>
        <w:rPr>
          <w:rFonts w:ascii="宋体" w:hAnsi="宋体"/>
          <w:bCs/>
          <w:sz w:val="24"/>
          <w:szCs w:val="24"/>
          <w:lang w:eastAsia="zh-CN"/>
        </w:rPr>
        <w:t>9</w:t>
      </w:r>
      <w:r>
        <w:rPr>
          <w:rFonts w:hint="eastAsia" w:ascii="宋体" w:hAnsi="宋体"/>
          <w:bCs/>
          <w:sz w:val="24"/>
          <w:szCs w:val="24"/>
          <w:lang w:eastAsia="zh-CN"/>
        </w:rPr>
        <w:t>）审查承包人自建的试验室或委托试验的试验室；审查批准承包人按合同规定进行的材料、工艺试验及确定各项施工参数的试验；</w:t>
      </w:r>
    </w:p>
    <w:p w14:paraId="4FBBF53A">
      <w:pPr>
        <w:pStyle w:val="19"/>
        <w:spacing w:after="156" w:line="360" w:lineRule="auto"/>
        <w:ind w:firstLine="480"/>
        <w:rPr>
          <w:rFonts w:ascii="宋体" w:hAnsi="宋体"/>
          <w:bCs/>
          <w:sz w:val="24"/>
          <w:szCs w:val="24"/>
          <w:lang w:eastAsia="zh-CN"/>
        </w:rPr>
      </w:pPr>
      <w:r>
        <w:rPr>
          <w:rFonts w:ascii="宋体" w:hAnsi="宋体"/>
          <w:bCs/>
          <w:sz w:val="24"/>
          <w:szCs w:val="24"/>
          <w:lang w:eastAsia="zh-CN"/>
        </w:rPr>
        <w:t>10</w:t>
      </w:r>
      <w:r>
        <w:rPr>
          <w:rFonts w:hint="eastAsia" w:ascii="宋体" w:hAnsi="宋体"/>
          <w:bCs/>
          <w:sz w:val="24"/>
          <w:szCs w:val="24"/>
          <w:lang w:eastAsia="zh-CN"/>
        </w:rPr>
        <w:t>）审查进场工程材料的质量证明文件及施工承包人按有关规定进行的试验检测结果。必要时，监理人可按合同约定进行一定数量的抽样检测试验；</w:t>
      </w:r>
    </w:p>
    <w:p w14:paraId="785D8FC6">
      <w:pPr>
        <w:pStyle w:val="19"/>
        <w:spacing w:after="156" w:line="360" w:lineRule="auto"/>
        <w:ind w:firstLine="480"/>
        <w:rPr>
          <w:rFonts w:ascii="宋体" w:hAnsi="宋体"/>
          <w:bCs/>
          <w:sz w:val="24"/>
          <w:szCs w:val="24"/>
          <w:lang w:eastAsia="zh-CN"/>
        </w:rPr>
      </w:pPr>
      <w:r>
        <w:rPr>
          <w:rFonts w:ascii="宋体" w:hAnsi="宋体"/>
          <w:bCs/>
          <w:sz w:val="24"/>
          <w:szCs w:val="24"/>
          <w:lang w:eastAsia="zh-CN"/>
        </w:rPr>
        <w:t>11</w:t>
      </w:r>
      <w:r>
        <w:rPr>
          <w:rFonts w:hint="eastAsia" w:ascii="宋体" w:hAnsi="宋体"/>
          <w:bCs/>
          <w:sz w:val="24"/>
          <w:szCs w:val="24"/>
          <w:lang w:eastAsia="zh-CN"/>
        </w:rPr>
        <w:t>）施工质量进行全过程的监督管理，在加强现场管理工作的前提下对重要部位和关键工序应采取旁站监理；对施工质量情况及时作好记录和统计工作，对发现质量问题的施工现场及时进行拍照或录相；</w:t>
      </w:r>
    </w:p>
    <w:p w14:paraId="450E1783">
      <w:pPr>
        <w:pStyle w:val="19"/>
        <w:spacing w:after="156" w:line="360" w:lineRule="auto"/>
        <w:ind w:firstLine="480"/>
        <w:rPr>
          <w:rFonts w:ascii="宋体" w:hAnsi="宋体"/>
          <w:bCs/>
          <w:sz w:val="24"/>
          <w:szCs w:val="24"/>
          <w:lang w:eastAsia="zh-CN"/>
        </w:rPr>
      </w:pPr>
      <w:r>
        <w:rPr>
          <w:rFonts w:ascii="宋体" w:hAnsi="宋体"/>
          <w:bCs/>
          <w:sz w:val="24"/>
          <w:szCs w:val="24"/>
          <w:lang w:eastAsia="zh-CN"/>
        </w:rPr>
        <w:t>12</w:t>
      </w:r>
      <w:r>
        <w:rPr>
          <w:rFonts w:hint="eastAsia" w:ascii="宋体" w:hAnsi="宋体"/>
          <w:bCs/>
          <w:sz w:val="24"/>
          <w:szCs w:val="24"/>
          <w:lang w:eastAsia="zh-CN"/>
        </w:rPr>
        <w:t>）组织或参与质量事故的调查，审批事故处理方案，并监督质量事故的处理；</w:t>
      </w:r>
    </w:p>
    <w:p w14:paraId="1EF173C3">
      <w:pPr>
        <w:pStyle w:val="19"/>
        <w:spacing w:after="156" w:line="360" w:lineRule="auto"/>
        <w:ind w:firstLine="480"/>
        <w:rPr>
          <w:rFonts w:ascii="宋体" w:hAnsi="宋体"/>
          <w:bCs/>
          <w:sz w:val="24"/>
          <w:szCs w:val="24"/>
          <w:lang w:eastAsia="zh-CN"/>
        </w:rPr>
      </w:pPr>
      <w:r>
        <w:rPr>
          <w:rFonts w:ascii="宋体" w:hAnsi="宋体"/>
          <w:bCs/>
          <w:sz w:val="24"/>
          <w:szCs w:val="24"/>
          <w:lang w:eastAsia="zh-CN"/>
        </w:rPr>
        <w:t>13</w:t>
      </w:r>
      <w:r>
        <w:rPr>
          <w:rFonts w:hint="eastAsia" w:ascii="宋体" w:hAnsi="宋体"/>
          <w:bCs/>
          <w:sz w:val="24"/>
          <w:szCs w:val="24"/>
          <w:lang w:eastAsia="zh-CN"/>
        </w:rPr>
        <w:t>）组织并主持定期或不定期的质量检查会和分析会，分析、通报施工质量情况，协调有关单位间的施工活动以消除影响质量的各种外部干扰因素；</w:t>
      </w:r>
    </w:p>
    <w:p w14:paraId="5BAEA9EF">
      <w:pPr>
        <w:pStyle w:val="19"/>
        <w:spacing w:after="156" w:line="360" w:lineRule="auto"/>
        <w:ind w:firstLine="480"/>
        <w:rPr>
          <w:rFonts w:ascii="宋体" w:hAnsi="宋体"/>
          <w:bCs/>
          <w:sz w:val="24"/>
          <w:szCs w:val="24"/>
          <w:lang w:eastAsia="zh-CN"/>
        </w:rPr>
      </w:pPr>
      <w:r>
        <w:rPr>
          <w:rFonts w:ascii="宋体" w:hAnsi="宋体"/>
          <w:bCs/>
          <w:sz w:val="24"/>
          <w:szCs w:val="24"/>
          <w:lang w:eastAsia="zh-CN"/>
        </w:rPr>
        <w:t>14</w:t>
      </w:r>
      <w:r>
        <w:rPr>
          <w:rFonts w:hint="eastAsia" w:ascii="宋体" w:hAnsi="宋体"/>
          <w:bCs/>
          <w:sz w:val="24"/>
          <w:szCs w:val="24"/>
          <w:lang w:eastAsia="zh-CN"/>
        </w:rPr>
        <w:t>）对工程项目的检验批、分部分项工程、单位工程等及时进行施工质量验收和质量评定工作；</w:t>
      </w:r>
    </w:p>
    <w:p w14:paraId="1A7BD3D9">
      <w:pPr>
        <w:pStyle w:val="19"/>
        <w:spacing w:after="156" w:line="360" w:lineRule="auto"/>
        <w:ind w:firstLine="480"/>
        <w:rPr>
          <w:rFonts w:ascii="宋体" w:hAnsi="宋体"/>
          <w:bCs/>
          <w:sz w:val="24"/>
          <w:szCs w:val="24"/>
          <w:lang w:eastAsia="zh-CN"/>
        </w:rPr>
      </w:pPr>
      <w:r>
        <w:rPr>
          <w:rFonts w:ascii="宋体" w:hAnsi="宋体"/>
          <w:bCs/>
          <w:sz w:val="24"/>
          <w:szCs w:val="24"/>
          <w:lang w:eastAsia="zh-CN"/>
        </w:rPr>
        <w:t>15</w:t>
      </w:r>
      <w:r>
        <w:rPr>
          <w:rFonts w:hint="eastAsia" w:ascii="宋体" w:hAnsi="宋体"/>
          <w:bCs/>
          <w:sz w:val="24"/>
          <w:szCs w:val="24"/>
          <w:lang w:eastAsia="zh-CN"/>
        </w:rPr>
        <w:t>）审查竣工资料，协助委托人组织竣工预验收；</w:t>
      </w:r>
    </w:p>
    <w:p w14:paraId="4D24450F">
      <w:pPr>
        <w:pStyle w:val="19"/>
        <w:spacing w:after="156" w:line="360" w:lineRule="auto"/>
        <w:ind w:firstLine="480"/>
        <w:rPr>
          <w:rFonts w:ascii="宋体" w:hAnsi="宋体"/>
          <w:bCs/>
          <w:sz w:val="24"/>
          <w:szCs w:val="24"/>
          <w:lang w:eastAsia="zh-CN"/>
        </w:rPr>
      </w:pPr>
      <w:r>
        <w:rPr>
          <w:rFonts w:ascii="宋体" w:hAnsi="宋体"/>
          <w:bCs/>
          <w:sz w:val="24"/>
          <w:szCs w:val="24"/>
          <w:lang w:eastAsia="zh-CN"/>
        </w:rPr>
        <w:t>16</w:t>
      </w:r>
      <w:r>
        <w:rPr>
          <w:rFonts w:hint="eastAsia" w:ascii="宋体" w:hAnsi="宋体"/>
          <w:bCs/>
          <w:sz w:val="24"/>
          <w:szCs w:val="24"/>
          <w:lang w:eastAsia="zh-CN"/>
        </w:rPr>
        <w:t>）参与委托人组织的竣工验收，提交质量评估报告；</w:t>
      </w:r>
    </w:p>
    <w:p w14:paraId="645BEA34">
      <w:pPr>
        <w:pStyle w:val="19"/>
        <w:spacing w:after="156" w:line="360" w:lineRule="auto"/>
        <w:ind w:firstLine="480"/>
        <w:rPr>
          <w:rFonts w:ascii="宋体" w:hAnsi="宋体"/>
          <w:bCs/>
          <w:sz w:val="24"/>
          <w:szCs w:val="24"/>
          <w:lang w:eastAsia="zh-CN"/>
        </w:rPr>
      </w:pPr>
    </w:p>
    <w:p w14:paraId="00F1CCE6">
      <w:pPr>
        <w:pStyle w:val="19"/>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hint="eastAsia" w:ascii="宋体" w:hAnsi="宋体"/>
          <w:bCs/>
          <w:sz w:val="24"/>
          <w:szCs w:val="24"/>
          <w:lang w:eastAsia="zh-CN"/>
        </w:rPr>
        <w:t>、进度控制</w:t>
      </w:r>
    </w:p>
    <w:p w14:paraId="621C28B0">
      <w:pPr>
        <w:spacing w:after="120" w:line="360" w:lineRule="auto"/>
        <w:ind w:firstLine="420" w:firstLineChars="175"/>
        <w:rPr>
          <w:rFonts w:ascii="宋体" w:hAnsi="宋体"/>
          <w:bCs/>
          <w:sz w:val="24"/>
        </w:rPr>
      </w:pPr>
      <w:r>
        <w:rPr>
          <w:rFonts w:hint="eastAsia" w:ascii="宋体" w:hAnsi="宋体"/>
          <w:bCs/>
          <w:sz w:val="24"/>
        </w:rPr>
        <w:t>1）熟悉招标文件和合同文件中有关进度的条款；</w:t>
      </w:r>
    </w:p>
    <w:p w14:paraId="73CEA6C7">
      <w:pPr>
        <w:pStyle w:val="19"/>
        <w:spacing w:after="156" w:line="360" w:lineRule="auto"/>
        <w:ind w:firstLine="480"/>
        <w:rPr>
          <w:rFonts w:ascii="宋体" w:hAnsi="宋体"/>
          <w:bCs/>
          <w:sz w:val="24"/>
          <w:szCs w:val="24"/>
          <w:lang w:eastAsia="zh-CN"/>
        </w:rPr>
      </w:pPr>
      <w:r>
        <w:rPr>
          <w:rFonts w:ascii="宋体" w:hAnsi="宋体"/>
          <w:bCs/>
          <w:sz w:val="24"/>
          <w:lang w:eastAsia="zh-CN"/>
        </w:rPr>
        <w:t>2</w:t>
      </w:r>
      <w:r>
        <w:rPr>
          <w:rFonts w:hint="eastAsia" w:ascii="宋体" w:hAnsi="宋体"/>
          <w:bCs/>
          <w:sz w:val="24"/>
          <w:lang w:eastAsia="zh-CN"/>
        </w:rPr>
        <w:t>）</w:t>
      </w:r>
      <w:r>
        <w:rPr>
          <w:rFonts w:hint="eastAsia" w:ascii="宋体" w:hAnsi="宋体"/>
          <w:bCs/>
          <w:sz w:val="24"/>
          <w:szCs w:val="24"/>
          <w:lang w:eastAsia="zh-CN"/>
        </w:rPr>
        <w:t>审核、分析施工总承包单位及各专业分包单位、设备供应商的进度计划；</w:t>
      </w:r>
    </w:p>
    <w:p w14:paraId="732830B2">
      <w:pPr>
        <w:pStyle w:val="19"/>
        <w:spacing w:after="156" w:line="360" w:lineRule="auto"/>
        <w:ind w:firstLine="480"/>
        <w:rPr>
          <w:rFonts w:ascii="宋体" w:hAnsi="宋体"/>
          <w:bCs/>
          <w:sz w:val="24"/>
          <w:szCs w:val="24"/>
          <w:lang w:eastAsia="zh-CN"/>
        </w:rPr>
      </w:pPr>
      <w:r>
        <w:rPr>
          <w:rFonts w:ascii="宋体" w:hAnsi="宋体"/>
          <w:bCs/>
          <w:sz w:val="24"/>
          <w:lang w:eastAsia="zh-CN"/>
        </w:rPr>
        <w:t>3</w:t>
      </w:r>
      <w:r>
        <w:rPr>
          <w:rFonts w:hint="eastAsia" w:ascii="宋体" w:hAnsi="宋体"/>
          <w:bCs/>
          <w:sz w:val="24"/>
          <w:lang w:eastAsia="zh-CN"/>
        </w:rPr>
        <w:t>）</w:t>
      </w:r>
      <w:r>
        <w:rPr>
          <w:rFonts w:hint="eastAsia" w:ascii="宋体" w:hAnsi="宋体"/>
          <w:bCs/>
          <w:sz w:val="24"/>
          <w:szCs w:val="24"/>
          <w:lang w:eastAsia="zh-CN"/>
        </w:rPr>
        <w:t>审核施工总进度计划，并在项目施工过程中控制其执行，必要时，监理及时提出施工总进度调整建议；</w:t>
      </w:r>
    </w:p>
    <w:p w14:paraId="464710F3">
      <w:pPr>
        <w:pStyle w:val="19"/>
        <w:spacing w:after="156" w:line="360" w:lineRule="auto"/>
        <w:ind w:firstLine="480"/>
        <w:rPr>
          <w:rFonts w:ascii="宋体" w:hAnsi="宋体"/>
          <w:bCs/>
          <w:sz w:val="24"/>
          <w:szCs w:val="24"/>
          <w:lang w:eastAsia="zh-CN"/>
        </w:rPr>
      </w:pPr>
      <w:r>
        <w:rPr>
          <w:rFonts w:ascii="宋体" w:hAnsi="宋体"/>
          <w:bCs/>
          <w:sz w:val="24"/>
          <w:lang w:eastAsia="zh-CN"/>
        </w:rPr>
        <w:t>4</w:t>
      </w:r>
      <w:r>
        <w:rPr>
          <w:rFonts w:hint="eastAsia" w:ascii="宋体" w:hAnsi="宋体"/>
          <w:bCs/>
          <w:sz w:val="24"/>
          <w:lang w:eastAsia="zh-CN"/>
        </w:rPr>
        <w:t>）</w:t>
      </w:r>
      <w:r>
        <w:rPr>
          <w:rFonts w:hint="eastAsia" w:ascii="宋体" w:hAnsi="宋体"/>
          <w:bCs/>
          <w:sz w:val="24"/>
          <w:szCs w:val="24"/>
          <w:lang w:eastAsia="zh-CN"/>
        </w:rPr>
        <w:t>审核项目施工各阶段、年、季、月度的进度计划，并控制其执行，必要时作调整建议；</w:t>
      </w:r>
    </w:p>
    <w:p w14:paraId="7BDB54B1">
      <w:pPr>
        <w:pStyle w:val="19"/>
        <w:spacing w:after="156" w:line="360" w:lineRule="auto"/>
        <w:ind w:firstLine="480"/>
        <w:rPr>
          <w:rFonts w:ascii="宋体" w:hAnsi="宋体"/>
          <w:bCs/>
          <w:sz w:val="24"/>
          <w:szCs w:val="24"/>
          <w:lang w:eastAsia="zh-CN"/>
        </w:rPr>
      </w:pPr>
      <w:r>
        <w:rPr>
          <w:rFonts w:ascii="宋体" w:hAnsi="宋体"/>
          <w:bCs/>
          <w:sz w:val="24"/>
          <w:lang w:eastAsia="zh-CN"/>
        </w:rPr>
        <w:t>5</w:t>
      </w:r>
      <w:r>
        <w:rPr>
          <w:rFonts w:hint="eastAsia" w:ascii="宋体" w:hAnsi="宋体"/>
          <w:bCs/>
          <w:sz w:val="24"/>
          <w:lang w:eastAsia="zh-CN"/>
        </w:rPr>
        <w:t>）</w:t>
      </w:r>
      <w:r>
        <w:rPr>
          <w:rFonts w:hint="eastAsia" w:ascii="宋体" w:hAnsi="宋体"/>
          <w:bCs/>
          <w:sz w:val="24"/>
          <w:szCs w:val="24"/>
          <w:lang w:eastAsia="zh-CN"/>
        </w:rPr>
        <w:t>在项目实施过程中，必要时采用计算机辅助进行进度计划值与实际值的比较，每月、季、年提交各种进度控制报告。</w:t>
      </w:r>
    </w:p>
    <w:p w14:paraId="2A47B30F">
      <w:pPr>
        <w:pStyle w:val="19"/>
        <w:spacing w:after="156" w:line="360" w:lineRule="auto"/>
        <w:ind w:firstLine="480"/>
        <w:rPr>
          <w:rFonts w:ascii="宋体" w:hAnsi="宋体"/>
          <w:bCs/>
          <w:sz w:val="24"/>
          <w:szCs w:val="24"/>
          <w:lang w:eastAsia="zh-CN"/>
        </w:rPr>
      </w:pPr>
    </w:p>
    <w:p w14:paraId="4E7F2E1A">
      <w:pPr>
        <w:pStyle w:val="19"/>
        <w:spacing w:after="156" w:line="360" w:lineRule="auto"/>
        <w:ind w:firstLine="480"/>
        <w:rPr>
          <w:rFonts w:ascii="宋体" w:hAnsi="宋体"/>
          <w:bCs/>
          <w:sz w:val="24"/>
          <w:szCs w:val="24"/>
          <w:lang w:eastAsia="zh-CN"/>
        </w:rPr>
      </w:pPr>
      <w:r>
        <w:rPr>
          <w:rFonts w:ascii="宋体" w:hAnsi="宋体"/>
          <w:bCs/>
          <w:sz w:val="24"/>
          <w:szCs w:val="24"/>
          <w:lang w:eastAsia="zh-CN"/>
        </w:rPr>
        <w:t>3</w:t>
      </w:r>
      <w:r>
        <w:rPr>
          <w:rFonts w:hint="eastAsia" w:ascii="宋体" w:hAnsi="宋体"/>
          <w:bCs/>
          <w:sz w:val="24"/>
          <w:szCs w:val="24"/>
          <w:lang w:eastAsia="zh-CN"/>
        </w:rPr>
        <w:t>、造价控制</w:t>
      </w:r>
    </w:p>
    <w:p w14:paraId="191AE09E">
      <w:pPr>
        <w:pStyle w:val="19"/>
        <w:spacing w:after="156" w:line="360" w:lineRule="auto"/>
        <w:ind w:firstLine="480"/>
        <w:rPr>
          <w:rFonts w:ascii="宋体" w:hAnsi="宋体"/>
          <w:bCs/>
          <w:sz w:val="24"/>
          <w:szCs w:val="24"/>
          <w:lang w:eastAsia="zh-CN"/>
        </w:rPr>
      </w:pPr>
      <w:r>
        <w:rPr>
          <w:rFonts w:hint="eastAsia" w:ascii="宋体" w:hAnsi="宋体"/>
          <w:bCs/>
          <w:sz w:val="24"/>
          <w:lang w:eastAsia="zh-CN"/>
        </w:rPr>
        <w:t>1）</w:t>
      </w:r>
      <w:r>
        <w:rPr>
          <w:rFonts w:hint="eastAsia" w:ascii="宋体" w:hAnsi="宋体"/>
          <w:bCs/>
          <w:sz w:val="24"/>
          <w:szCs w:val="24"/>
          <w:lang w:eastAsia="zh-CN"/>
        </w:rPr>
        <w:t>对工程实际进展情况作好完善的记录和必要的签证；</w:t>
      </w:r>
    </w:p>
    <w:p w14:paraId="048B5102">
      <w:pPr>
        <w:pStyle w:val="19"/>
        <w:spacing w:after="156" w:line="360" w:lineRule="auto"/>
        <w:ind w:firstLine="480"/>
        <w:rPr>
          <w:rFonts w:ascii="宋体" w:hAnsi="宋体"/>
          <w:bCs/>
          <w:sz w:val="24"/>
          <w:szCs w:val="24"/>
          <w:lang w:eastAsia="zh-CN"/>
        </w:rPr>
      </w:pPr>
      <w:r>
        <w:rPr>
          <w:rFonts w:ascii="宋体" w:hAnsi="宋体"/>
          <w:bCs/>
          <w:sz w:val="24"/>
          <w:lang w:eastAsia="zh-CN"/>
        </w:rPr>
        <w:t>2</w:t>
      </w:r>
      <w:r>
        <w:rPr>
          <w:rFonts w:hint="eastAsia" w:ascii="宋体" w:hAnsi="宋体"/>
          <w:bCs/>
          <w:sz w:val="24"/>
          <w:lang w:eastAsia="zh-CN"/>
        </w:rPr>
        <w:t>）</w:t>
      </w:r>
      <w:r>
        <w:rPr>
          <w:rFonts w:hint="eastAsia" w:ascii="宋体" w:hAnsi="宋体"/>
          <w:bCs/>
          <w:sz w:val="24"/>
          <w:szCs w:val="24"/>
          <w:lang w:eastAsia="zh-CN"/>
        </w:rPr>
        <w:t>对工程的修改、变更以及返工等情况作好完善的记录和必要的签证；</w:t>
      </w:r>
    </w:p>
    <w:p w14:paraId="42065C59">
      <w:pPr>
        <w:pStyle w:val="19"/>
        <w:spacing w:after="156" w:line="360" w:lineRule="auto"/>
        <w:ind w:firstLine="480"/>
        <w:rPr>
          <w:rFonts w:ascii="宋体" w:hAnsi="宋体"/>
          <w:bCs/>
          <w:sz w:val="24"/>
          <w:szCs w:val="24"/>
          <w:lang w:eastAsia="zh-CN"/>
        </w:rPr>
      </w:pPr>
      <w:r>
        <w:rPr>
          <w:rFonts w:ascii="宋体" w:hAnsi="宋体"/>
          <w:bCs/>
          <w:sz w:val="24"/>
          <w:lang w:eastAsia="zh-CN"/>
        </w:rPr>
        <w:t>3</w:t>
      </w:r>
      <w:r>
        <w:rPr>
          <w:rFonts w:hint="eastAsia" w:ascii="宋体" w:hAnsi="宋体"/>
          <w:bCs/>
          <w:sz w:val="24"/>
          <w:lang w:eastAsia="zh-CN"/>
        </w:rPr>
        <w:t>）</w:t>
      </w:r>
      <w:r>
        <w:rPr>
          <w:rFonts w:hint="eastAsia" w:ascii="宋体" w:hAnsi="宋体"/>
          <w:bCs/>
          <w:sz w:val="24"/>
          <w:szCs w:val="24"/>
          <w:lang w:eastAsia="zh-CN"/>
        </w:rPr>
        <w:t>对与工程有关的措施等作好完善的记录和必要的签证；</w:t>
      </w:r>
    </w:p>
    <w:p w14:paraId="29C74788">
      <w:pPr>
        <w:pStyle w:val="19"/>
        <w:spacing w:after="156" w:line="360" w:lineRule="auto"/>
        <w:ind w:firstLine="480"/>
        <w:rPr>
          <w:rFonts w:ascii="宋体" w:hAnsi="宋体"/>
          <w:bCs/>
          <w:sz w:val="24"/>
          <w:szCs w:val="24"/>
          <w:lang w:eastAsia="zh-CN"/>
        </w:rPr>
      </w:pPr>
      <w:r>
        <w:rPr>
          <w:rFonts w:ascii="宋体" w:hAnsi="宋体"/>
          <w:bCs/>
          <w:sz w:val="24"/>
          <w:lang w:eastAsia="zh-CN"/>
        </w:rPr>
        <w:t>4</w:t>
      </w:r>
      <w:r>
        <w:rPr>
          <w:rFonts w:hint="eastAsia" w:ascii="宋体" w:hAnsi="宋体"/>
          <w:bCs/>
          <w:sz w:val="24"/>
          <w:lang w:eastAsia="zh-CN"/>
        </w:rPr>
        <w:t>）</w:t>
      </w:r>
      <w:r>
        <w:rPr>
          <w:rFonts w:hint="eastAsia" w:ascii="宋体" w:hAnsi="宋体"/>
          <w:bCs/>
          <w:sz w:val="24"/>
          <w:szCs w:val="24"/>
          <w:lang w:eastAsia="zh-CN"/>
        </w:rPr>
        <w:t>每月进行投资计划值与实际值的比较，并提供相应报表；</w:t>
      </w:r>
    </w:p>
    <w:p w14:paraId="1A2FFD89">
      <w:pPr>
        <w:pStyle w:val="19"/>
        <w:spacing w:after="156" w:line="360" w:lineRule="auto"/>
        <w:ind w:firstLine="480"/>
        <w:rPr>
          <w:rFonts w:ascii="宋体" w:hAnsi="宋体"/>
          <w:bCs/>
          <w:sz w:val="24"/>
          <w:szCs w:val="24"/>
          <w:lang w:eastAsia="zh-CN"/>
        </w:rPr>
      </w:pPr>
      <w:r>
        <w:rPr>
          <w:rFonts w:ascii="宋体" w:hAnsi="宋体"/>
          <w:bCs/>
          <w:sz w:val="24"/>
          <w:lang w:eastAsia="zh-CN"/>
        </w:rPr>
        <w:t>5</w:t>
      </w:r>
      <w:r>
        <w:rPr>
          <w:rFonts w:hint="eastAsia" w:ascii="宋体" w:hAnsi="宋体"/>
          <w:bCs/>
          <w:sz w:val="24"/>
          <w:lang w:eastAsia="zh-CN"/>
        </w:rPr>
        <w:t>）</w:t>
      </w:r>
      <w:r>
        <w:rPr>
          <w:rFonts w:hint="eastAsia" w:ascii="宋体" w:hAnsi="宋体"/>
          <w:bCs/>
          <w:sz w:val="24"/>
          <w:szCs w:val="24"/>
          <w:lang w:eastAsia="zh-CN"/>
        </w:rPr>
        <w:t>参与工程付款审核；</w:t>
      </w:r>
    </w:p>
    <w:p w14:paraId="11419CFC">
      <w:pPr>
        <w:pStyle w:val="19"/>
        <w:spacing w:after="156" w:line="360" w:lineRule="auto"/>
        <w:ind w:firstLine="480"/>
        <w:rPr>
          <w:rFonts w:ascii="宋体" w:hAnsi="宋体"/>
          <w:bCs/>
          <w:sz w:val="24"/>
          <w:szCs w:val="24"/>
          <w:lang w:eastAsia="zh-CN"/>
        </w:rPr>
      </w:pPr>
      <w:r>
        <w:rPr>
          <w:rFonts w:ascii="宋体" w:hAnsi="宋体"/>
          <w:bCs/>
          <w:sz w:val="24"/>
          <w:lang w:eastAsia="zh-CN"/>
        </w:rPr>
        <w:t>6</w:t>
      </w:r>
      <w:r>
        <w:rPr>
          <w:rFonts w:hint="eastAsia" w:ascii="宋体" w:hAnsi="宋体"/>
          <w:bCs/>
          <w:sz w:val="24"/>
          <w:lang w:eastAsia="zh-CN"/>
        </w:rPr>
        <w:t>）</w:t>
      </w:r>
      <w:r>
        <w:rPr>
          <w:rFonts w:hint="eastAsia" w:ascii="宋体" w:hAnsi="宋体"/>
          <w:bCs/>
          <w:sz w:val="24"/>
          <w:szCs w:val="24"/>
          <w:lang w:eastAsia="zh-CN"/>
        </w:rPr>
        <w:t>参与审核其他付款申请单；</w:t>
      </w:r>
    </w:p>
    <w:p w14:paraId="247989F9">
      <w:pPr>
        <w:pStyle w:val="19"/>
        <w:spacing w:after="156" w:line="360" w:lineRule="auto"/>
        <w:ind w:firstLine="480"/>
        <w:rPr>
          <w:rFonts w:ascii="宋体" w:hAnsi="宋体"/>
          <w:bCs/>
          <w:sz w:val="24"/>
          <w:szCs w:val="24"/>
          <w:lang w:eastAsia="zh-CN"/>
        </w:rPr>
      </w:pPr>
      <w:r>
        <w:rPr>
          <w:rFonts w:ascii="宋体" w:hAnsi="宋体"/>
          <w:bCs/>
          <w:sz w:val="24"/>
          <w:lang w:eastAsia="zh-CN"/>
        </w:rPr>
        <w:t>7</w:t>
      </w:r>
      <w:r>
        <w:rPr>
          <w:rFonts w:hint="eastAsia" w:ascii="宋体" w:hAnsi="宋体"/>
          <w:bCs/>
          <w:sz w:val="24"/>
          <w:lang w:eastAsia="zh-CN"/>
        </w:rPr>
        <w:t>）</w:t>
      </w:r>
      <w:r>
        <w:rPr>
          <w:rFonts w:hint="eastAsia" w:ascii="宋体" w:hAnsi="宋体"/>
          <w:bCs/>
          <w:sz w:val="24"/>
          <w:szCs w:val="24"/>
          <w:lang w:eastAsia="zh-CN"/>
        </w:rPr>
        <w:t>参与审核及处理各项施工索赔中与资金有关的事宜。</w:t>
      </w:r>
    </w:p>
    <w:p w14:paraId="13854A95">
      <w:pPr>
        <w:pStyle w:val="19"/>
        <w:spacing w:after="156" w:line="360" w:lineRule="auto"/>
        <w:ind w:firstLine="480"/>
        <w:rPr>
          <w:rFonts w:ascii="宋体" w:hAnsi="宋体"/>
          <w:bCs/>
          <w:sz w:val="24"/>
          <w:szCs w:val="24"/>
          <w:lang w:eastAsia="zh-CN"/>
        </w:rPr>
      </w:pPr>
    </w:p>
    <w:p w14:paraId="7B32B59C">
      <w:pPr>
        <w:pStyle w:val="19"/>
        <w:spacing w:after="156" w:line="360" w:lineRule="auto"/>
        <w:ind w:firstLine="480"/>
        <w:rPr>
          <w:rFonts w:ascii="宋体" w:hAnsi="宋体"/>
          <w:bCs/>
          <w:sz w:val="24"/>
          <w:szCs w:val="24"/>
          <w:lang w:eastAsia="zh-CN"/>
        </w:rPr>
      </w:pPr>
      <w:r>
        <w:rPr>
          <w:rFonts w:ascii="宋体" w:hAnsi="宋体"/>
          <w:bCs/>
          <w:sz w:val="24"/>
          <w:szCs w:val="24"/>
          <w:lang w:eastAsia="zh-CN"/>
        </w:rPr>
        <w:t>4</w:t>
      </w:r>
      <w:r>
        <w:rPr>
          <w:rFonts w:hint="eastAsia" w:ascii="宋体" w:hAnsi="宋体"/>
          <w:bCs/>
          <w:sz w:val="24"/>
          <w:szCs w:val="24"/>
          <w:lang w:eastAsia="zh-CN"/>
        </w:rPr>
        <w:t>、安全生产监督管理</w:t>
      </w:r>
    </w:p>
    <w:p w14:paraId="0F66FCF9">
      <w:pPr>
        <w:pStyle w:val="19"/>
        <w:spacing w:after="156" w:line="360" w:lineRule="auto"/>
        <w:ind w:firstLine="480"/>
        <w:rPr>
          <w:rFonts w:ascii="宋体" w:hAnsi="宋体"/>
          <w:bCs/>
          <w:sz w:val="24"/>
          <w:szCs w:val="24"/>
          <w:lang w:eastAsia="zh-CN"/>
        </w:rPr>
      </w:pPr>
      <w:r>
        <w:rPr>
          <w:rFonts w:hint="eastAsia" w:ascii="宋体" w:hAnsi="宋体"/>
          <w:bCs/>
          <w:sz w:val="24"/>
          <w:lang w:eastAsia="zh-CN"/>
        </w:rPr>
        <w:t>1）</w:t>
      </w:r>
      <w:r>
        <w:rPr>
          <w:rFonts w:hint="eastAsia" w:ascii="宋体" w:hAnsi="宋体"/>
          <w:bCs/>
          <w:sz w:val="24"/>
          <w:szCs w:val="24"/>
          <w:lang w:eastAsia="zh-CN"/>
        </w:rPr>
        <w:t>审核专项施工方案、督促承包人落实安全保证体系；</w:t>
      </w:r>
    </w:p>
    <w:p w14:paraId="6B7F7FB4">
      <w:pPr>
        <w:pStyle w:val="19"/>
        <w:spacing w:after="156" w:line="360" w:lineRule="auto"/>
        <w:ind w:firstLine="480"/>
        <w:rPr>
          <w:rFonts w:ascii="宋体" w:hAnsi="宋体"/>
          <w:bCs/>
          <w:sz w:val="24"/>
          <w:szCs w:val="24"/>
          <w:lang w:eastAsia="zh-CN"/>
        </w:rPr>
      </w:pPr>
      <w:r>
        <w:rPr>
          <w:rFonts w:ascii="宋体" w:hAnsi="宋体"/>
          <w:bCs/>
          <w:sz w:val="24"/>
          <w:lang w:eastAsia="zh-CN"/>
        </w:rPr>
        <w:t>2</w:t>
      </w:r>
      <w:r>
        <w:rPr>
          <w:rFonts w:hint="eastAsia" w:ascii="宋体" w:hAnsi="宋体"/>
          <w:bCs/>
          <w:sz w:val="24"/>
          <w:lang w:eastAsia="zh-CN"/>
        </w:rPr>
        <w:t>）</w:t>
      </w:r>
      <w:r>
        <w:rPr>
          <w:rFonts w:hint="eastAsia" w:ascii="宋体" w:hAnsi="宋体"/>
          <w:bCs/>
          <w:sz w:val="24"/>
          <w:szCs w:val="24"/>
          <w:lang w:eastAsia="zh-CN"/>
        </w:rPr>
        <w:t>督促承包人履行安全、文明施工保障义务；</w:t>
      </w:r>
    </w:p>
    <w:p w14:paraId="7C00FD7B">
      <w:pPr>
        <w:pStyle w:val="19"/>
        <w:spacing w:after="156" w:line="360" w:lineRule="auto"/>
        <w:ind w:firstLine="480"/>
        <w:rPr>
          <w:rFonts w:ascii="宋体" w:hAnsi="宋体"/>
          <w:bCs/>
          <w:sz w:val="24"/>
          <w:szCs w:val="24"/>
          <w:lang w:eastAsia="zh-CN"/>
        </w:rPr>
      </w:pPr>
      <w:r>
        <w:rPr>
          <w:rFonts w:ascii="宋体" w:hAnsi="宋体"/>
          <w:bCs/>
          <w:sz w:val="24"/>
          <w:lang w:eastAsia="zh-CN"/>
        </w:rPr>
        <w:t>3</w:t>
      </w:r>
      <w:r>
        <w:rPr>
          <w:rFonts w:hint="eastAsia" w:ascii="宋体" w:hAnsi="宋体"/>
          <w:bCs/>
          <w:sz w:val="24"/>
          <w:lang w:eastAsia="zh-CN"/>
        </w:rPr>
        <w:t>）</w:t>
      </w:r>
      <w:r>
        <w:rPr>
          <w:rFonts w:hint="eastAsia" w:ascii="宋体" w:hAnsi="宋体"/>
          <w:bCs/>
          <w:sz w:val="24"/>
          <w:szCs w:val="24"/>
          <w:lang w:eastAsia="zh-CN"/>
        </w:rPr>
        <w:t>协助招标人组织工地安全检查；</w:t>
      </w:r>
    </w:p>
    <w:p w14:paraId="48A83D51">
      <w:pPr>
        <w:pStyle w:val="19"/>
        <w:spacing w:after="156" w:line="360" w:lineRule="auto"/>
        <w:ind w:firstLine="480"/>
        <w:rPr>
          <w:rFonts w:ascii="宋体" w:hAnsi="宋体"/>
          <w:bCs/>
          <w:sz w:val="24"/>
          <w:szCs w:val="24"/>
          <w:lang w:eastAsia="zh-CN"/>
        </w:rPr>
      </w:pPr>
      <w:r>
        <w:rPr>
          <w:rFonts w:ascii="宋体" w:hAnsi="宋体"/>
          <w:bCs/>
          <w:sz w:val="24"/>
          <w:lang w:eastAsia="zh-CN"/>
        </w:rPr>
        <w:t>4</w:t>
      </w:r>
      <w:r>
        <w:rPr>
          <w:rFonts w:hint="eastAsia" w:ascii="宋体" w:hAnsi="宋体"/>
          <w:bCs/>
          <w:sz w:val="24"/>
          <w:lang w:eastAsia="zh-CN"/>
        </w:rPr>
        <w:t>）</w:t>
      </w:r>
      <w:r>
        <w:rPr>
          <w:rFonts w:hint="eastAsia" w:ascii="宋体" w:hAnsi="宋体"/>
          <w:bCs/>
          <w:sz w:val="24"/>
          <w:szCs w:val="24"/>
          <w:lang w:eastAsia="zh-CN"/>
        </w:rPr>
        <w:t>协助制订项目委托人的应急措施；</w:t>
      </w:r>
    </w:p>
    <w:p w14:paraId="17BA65C8">
      <w:pPr>
        <w:pStyle w:val="19"/>
        <w:spacing w:after="156" w:line="360" w:lineRule="auto"/>
        <w:ind w:firstLine="480"/>
        <w:rPr>
          <w:rFonts w:ascii="宋体" w:hAnsi="宋体"/>
          <w:bCs/>
          <w:sz w:val="24"/>
          <w:szCs w:val="24"/>
          <w:lang w:eastAsia="zh-CN"/>
        </w:rPr>
      </w:pPr>
      <w:r>
        <w:rPr>
          <w:rFonts w:ascii="宋体" w:hAnsi="宋体"/>
          <w:bCs/>
          <w:sz w:val="24"/>
          <w:lang w:eastAsia="zh-CN"/>
        </w:rPr>
        <w:t>5</w:t>
      </w:r>
      <w:r>
        <w:rPr>
          <w:rFonts w:hint="eastAsia" w:ascii="宋体" w:hAnsi="宋体"/>
          <w:bCs/>
          <w:sz w:val="24"/>
          <w:lang w:eastAsia="zh-CN"/>
        </w:rPr>
        <w:t>）</w:t>
      </w:r>
      <w:r>
        <w:rPr>
          <w:rFonts w:hint="eastAsia" w:ascii="宋体" w:hAnsi="宋体"/>
          <w:bCs/>
          <w:sz w:val="24"/>
          <w:szCs w:val="24"/>
          <w:lang w:eastAsia="zh-CN"/>
        </w:rPr>
        <w:t>协助处理安全事故；</w:t>
      </w:r>
    </w:p>
    <w:p w14:paraId="70E6AE6C">
      <w:pPr>
        <w:pStyle w:val="19"/>
        <w:spacing w:after="156" w:line="360" w:lineRule="auto"/>
        <w:ind w:firstLine="480"/>
        <w:rPr>
          <w:rFonts w:ascii="宋体" w:hAnsi="宋体"/>
          <w:bCs/>
          <w:sz w:val="24"/>
          <w:szCs w:val="24"/>
          <w:lang w:eastAsia="zh-CN"/>
        </w:rPr>
      </w:pPr>
      <w:r>
        <w:rPr>
          <w:rFonts w:ascii="宋体" w:hAnsi="宋体"/>
          <w:bCs/>
          <w:sz w:val="24"/>
          <w:lang w:eastAsia="zh-CN"/>
        </w:rPr>
        <w:t>6</w:t>
      </w:r>
      <w:r>
        <w:rPr>
          <w:rFonts w:hint="eastAsia" w:ascii="宋体" w:hAnsi="宋体"/>
          <w:bCs/>
          <w:sz w:val="24"/>
          <w:lang w:eastAsia="zh-CN"/>
        </w:rPr>
        <w:t>）</w:t>
      </w:r>
      <w:r>
        <w:rPr>
          <w:rFonts w:hint="eastAsia" w:ascii="宋体" w:hAnsi="宋体"/>
          <w:bCs/>
          <w:sz w:val="24"/>
          <w:szCs w:val="24"/>
          <w:lang w:eastAsia="zh-CN"/>
        </w:rPr>
        <w:t>督促承包人组织工地卫生及文明施工检查；</w:t>
      </w:r>
    </w:p>
    <w:p w14:paraId="2243EF37">
      <w:pPr>
        <w:pStyle w:val="19"/>
        <w:spacing w:after="156" w:line="360" w:lineRule="auto"/>
        <w:ind w:firstLine="480"/>
        <w:rPr>
          <w:rFonts w:ascii="宋体" w:hAnsi="宋体"/>
          <w:bCs/>
          <w:sz w:val="24"/>
          <w:szCs w:val="24"/>
          <w:lang w:eastAsia="zh-CN"/>
        </w:rPr>
      </w:pPr>
      <w:r>
        <w:rPr>
          <w:rFonts w:ascii="宋体" w:hAnsi="宋体"/>
          <w:bCs/>
          <w:sz w:val="24"/>
          <w:lang w:eastAsia="zh-CN"/>
        </w:rPr>
        <w:t>7</w:t>
      </w:r>
      <w:r>
        <w:rPr>
          <w:rFonts w:hint="eastAsia" w:ascii="宋体" w:hAnsi="宋体"/>
          <w:bCs/>
          <w:sz w:val="24"/>
          <w:lang w:eastAsia="zh-CN"/>
        </w:rPr>
        <w:t>）</w:t>
      </w:r>
      <w:r>
        <w:rPr>
          <w:rFonts w:hint="eastAsia" w:ascii="宋体" w:hAnsi="宋体"/>
          <w:bCs/>
          <w:sz w:val="24"/>
          <w:szCs w:val="24"/>
          <w:lang w:eastAsia="zh-CN"/>
        </w:rPr>
        <w:t>督促承包人协调处理工地的各种纠纷；</w:t>
      </w:r>
    </w:p>
    <w:p w14:paraId="624D41A1">
      <w:pPr>
        <w:pStyle w:val="19"/>
        <w:spacing w:after="156" w:line="360" w:lineRule="auto"/>
        <w:ind w:firstLine="480"/>
        <w:rPr>
          <w:rFonts w:ascii="宋体" w:hAnsi="宋体"/>
          <w:bCs/>
          <w:sz w:val="24"/>
          <w:szCs w:val="24"/>
          <w:lang w:eastAsia="zh-CN"/>
        </w:rPr>
      </w:pPr>
      <w:r>
        <w:rPr>
          <w:rFonts w:ascii="宋体" w:hAnsi="宋体"/>
          <w:bCs/>
          <w:sz w:val="24"/>
          <w:lang w:eastAsia="zh-CN"/>
        </w:rPr>
        <w:t>8</w:t>
      </w:r>
      <w:r>
        <w:rPr>
          <w:rFonts w:hint="eastAsia" w:ascii="宋体" w:hAnsi="宋体"/>
          <w:bCs/>
          <w:sz w:val="24"/>
          <w:lang w:eastAsia="zh-CN"/>
        </w:rPr>
        <w:t>）</w:t>
      </w:r>
      <w:r>
        <w:rPr>
          <w:rFonts w:hint="eastAsia" w:ascii="宋体" w:hAnsi="宋体"/>
          <w:bCs/>
          <w:sz w:val="24"/>
          <w:szCs w:val="24"/>
          <w:lang w:eastAsia="zh-CN"/>
        </w:rPr>
        <w:t>督促承包人组织落实工地的保卫及产品保护工作。</w:t>
      </w:r>
    </w:p>
    <w:p w14:paraId="02AA0BD9">
      <w:pPr>
        <w:pStyle w:val="19"/>
        <w:spacing w:after="156" w:line="360" w:lineRule="auto"/>
        <w:ind w:firstLine="480"/>
        <w:rPr>
          <w:rFonts w:ascii="宋体" w:hAnsi="宋体"/>
          <w:bCs/>
          <w:sz w:val="24"/>
          <w:szCs w:val="24"/>
          <w:lang w:eastAsia="zh-CN"/>
        </w:rPr>
      </w:pPr>
    </w:p>
    <w:p w14:paraId="5137EC1B">
      <w:pPr>
        <w:pStyle w:val="19"/>
        <w:spacing w:after="156" w:line="360" w:lineRule="auto"/>
        <w:ind w:firstLine="480"/>
        <w:rPr>
          <w:rFonts w:ascii="宋体" w:hAnsi="宋体"/>
          <w:bCs/>
          <w:sz w:val="24"/>
          <w:szCs w:val="24"/>
          <w:lang w:eastAsia="zh-CN"/>
        </w:rPr>
      </w:pPr>
      <w:r>
        <w:rPr>
          <w:rFonts w:ascii="宋体" w:hAnsi="宋体"/>
          <w:bCs/>
          <w:sz w:val="24"/>
          <w:szCs w:val="24"/>
          <w:lang w:eastAsia="zh-CN"/>
        </w:rPr>
        <w:t>5</w:t>
      </w:r>
      <w:r>
        <w:rPr>
          <w:rFonts w:hint="eastAsia" w:ascii="宋体" w:hAnsi="宋体"/>
          <w:bCs/>
          <w:sz w:val="24"/>
          <w:szCs w:val="24"/>
          <w:lang w:eastAsia="zh-CN"/>
        </w:rPr>
        <w:t>、合同管理</w:t>
      </w:r>
    </w:p>
    <w:p w14:paraId="46DE916C">
      <w:pPr>
        <w:pStyle w:val="19"/>
        <w:spacing w:after="156" w:line="360" w:lineRule="auto"/>
        <w:ind w:firstLine="480"/>
        <w:rPr>
          <w:rFonts w:ascii="宋体" w:hAnsi="宋体"/>
          <w:bCs/>
          <w:sz w:val="24"/>
          <w:szCs w:val="24"/>
          <w:lang w:eastAsia="zh-CN"/>
        </w:rPr>
      </w:pPr>
      <w:r>
        <w:rPr>
          <w:rFonts w:hint="eastAsia" w:ascii="宋体" w:hAnsi="宋体"/>
          <w:bCs/>
          <w:sz w:val="24"/>
          <w:lang w:eastAsia="zh-CN"/>
        </w:rPr>
        <w:t>1）</w:t>
      </w:r>
      <w:r>
        <w:rPr>
          <w:rFonts w:hint="eastAsia" w:ascii="宋体" w:hAnsi="宋体"/>
          <w:bCs/>
          <w:sz w:val="24"/>
          <w:szCs w:val="24"/>
          <w:lang w:eastAsia="zh-CN"/>
        </w:rPr>
        <w:t>协助委托方处理有关索赔事宜，并处理合同纠纷;</w:t>
      </w:r>
    </w:p>
    <w:p w14:paraId="5A0A21B8">
      <w:pPr>
        <w:pStyle w:val="19"/>
        <w:spacing w:after="156" w:line="360" w:lineRule="auto"/>
        <w:ind w:firstLine="480"/>
        <w:rPr>
          <w:rFonts w:ascii="宋体" w:hAnsi="宋体"/>
          <w:bCs/>
          <w:sz w:val="24"/>
          <w:szCs w:val="24"/>
          <w:lang w:eastAsia="zh-CN"/>
        </w:rPr>
      </w:pPr>
      <w:r>
        <w:rPr>
          <w:rFonts w:ascii="宋体" w:hAnsi="宋体"/>
          <w:bCs/>
          <w:sz w:val="24"/>
          <w:lang w:eastAsia="zh-CN"/>
        </w:rPr>
        <w:t>2</w:t>
      </w:r>
      <w:r>
        <w:rPr>
          <w:rFonts w:hint="eastAsia" w:ascii="宋体" w:hAnsi="宋体"/>
          <w:bCs/>
          <w:sz w:val="24"/>
          <w:lang w:eastAsia="zh-CN"/>
        </w:rPr>
        <w:t>）</w:t>
      </w:r>
      <w:r>
        <w:rPr>
          <w:rFonts w:hint="eastAsia" w:ascii="宋体" w:hAnsi="宋体"/>
          <w:bCs/>
          <w:sz w:val="24"/>
          <w:szCs w:val="24"/>
          <w:lang w:eastAsia="zh-CN"/>
        </w:rPr>
        <w:t>进行施工合同的跟踪管理并定期提供合同管理的各种报告。</w:t>
      </w:r>
    </w:p>
    <w:p w14:paraId="797F1240">
      <w:pPr>
        <w:pStyle w:val="19"/>
        <w:spacing w:after="156" w:line="360" w:lineRule="auto"/>
        <w:ind w:firstLine="480"/>
        <w:rPr>
          <w:rFonts w:ascii="宋体" w:hAnsi="宋体"/>
          <w:bCs/>
          <w:sz w:val="24"/>
          <w:szCs w:val="24"/>
          <w:lang w:eastAsia="zh-CN"/>
        </w:rPr>
      </w:pPr>
    </w:p>
    <w:p w14:paraId="18F2A2CF">
      <w:pPr>
        <w:pStyle w:val="19"/>
        <w:spacing w:after="156" w:line="360" w:lineRule="auto"/>
        <w:ind w:firstLine="480"/>
        <w:rPr>
          <w:rFonts w:ascii="宋体" w:hAnsi="宋体"/>
          <w:bCs/>
          <w:sz w:val="24"/>
          <w:szCs w:val="24"/>
          <w:lang w:eastAsia="zh-CN"/>
        </w:rPr>
      </w:pPr>
      <w:r>
        <w:rPr>
          <w:rFonts w:ascii="宋体" w:hAnsi="宋体"/>
          <w:bCs/>
          <w:sz w:val="24"/>
          <w:szCs w:val="24"/>
          <w:lang w:eastAsia="zh-CN"/>
        </w:rPr>
        <w:t>6</w:t>
      </w:r>
      <w:r>
        <w:rPr>
          <w:rFonts w:hint="eastAsia" w:ascii="宋体" w:hAnsi="宋体"/>
          <w:bCs/>
          <w:sz w:val="24"/>
          <w:szCs w:val="24"/>
          <w:lang w:eastAsia="zh-CN"/>
        </w:rPr>
        <w:t>、信息管理</w:t>
      </w:r>
    </w:p>
    <w:p w14:paraId="6ED7A8E6">
      <w:pPr>
        <w:pStyle w:val="19"/>
        <w:spacing w:after="156" w:line="360" w:lineRule="auto"/>
        <w:ind w:firstLine="480"/>
        <w:rPr>
          <w:rFonts w:ascii="宋体" w:hAnsi="宋体"/>
          <w:bCs/>
          <w:sz w:val="24"/>
          <w:szCs w:val="24"/>
          <w:lang w:eastAsia="zh-CN"/>
        </w:rPr>
      </w:pPr>
      <w:r>
        <w:rPr>
          <w:rFonts w:hint="eastAsia" w:ascii="宋体" w:hAnsi="宋体"/>
          <w:bCs/>
          <w:sz w:val="24"/>
          <w:lang w:eastAsia="zh-CN"/>
        </w:rPr>
        <w:t>1）</w:t>
      </w:r>
      <w:r>
        <w:rPr>
          <w:rFonts w:hint="eastAsia" w:ascii="宋体" w:hAnsi="宋体"/>
          <w:bCs/>
          <w:sz w:val="24"/>
          <w:szCs w:val="24"/>
          <w:lang w:eastAsia="zh-CN"/>
        </w:rPr>
        <w:t>进行各种工程信息的收集、整理、存档；</w:t>
      </w:r>
    </w:p>
    <w:p w14:paraId="3523DCD7">
      <w:pPr>
        <w:pStyle w:val="19"/>
        <w:spacing w:after="156" w:line="360" w:lineRule="auto"/>
        <w:ind w:firstLine="480"/>
        <w:rPr>
          <w:rFonts w:ascii="宋体" w:hAnsi="宋体"/>
          <w:bCs/>
          <w:sz w:val="24"/>
          <w:szCs w:val="24"/>
          <w:lang w:eastAsia="zh-CN"/>
        </w:rPr>
      </w:pPr>
      <w:r>
        <w:rPr>
          <w:rFonts w:ascii="宋体" w:hAnsi="宋体"/>
          <w:bCs/>
          <w:sz w:val="24"/>
          <w:lang w:eastAsia="zh-CN"/>
        </w:rPr>
        <w:t>2</w:t>
      </w:r>
      <w:r>
        <w:rPr>
          <w:rFonts w:hint="eastAsia" w:ascii="宋体" w:hAnsi="宋体"/>
          <w:bCs/>
          <w:sz w:val="24"/>
          <w:lang w:eastAsia="zh-CN"/>
        </w:rPr>
        <w:t>）</w:t>
      </w:r>
      <w:r>
        <w:rPr>
          <w:rFonts w:hint="eastAsia" w:ascii="宋体" w:hAnsi="宋体"/>
          <w:bCs/>
          <w:sz w:val="24"/>
          <w:szCs w:val="24"/>
          <w:lang w:eastAsia="zh-CN"/>
        </w:rPr>
        <w:t>定期提供各类工程项目管理报表；</w:t>
      </w:r>
    </w:p>
    <w:p w14:paraId="520ECA52">
      <w:pPr>
        <w:pStyle w:val="19"/>
        <w:spacing w:after="156" w:line="360" w:lineRule="auto"/>
        <w:ind w:firstLine="480"/>
        <w:rPr>
          <w:rFonts w:ascii="宋体" w:hAnsi="宋体"/>
          <w:bCs/>
          <w:sz w:val="24"/>
          <w:szCs w:val="24"/>
          <w:lang w:eastAsia="zh-CN"/>
        </w:rPr>
      </w:pPr>
      <w:r>
        <w:rPr>
          <w:rFonts w:ascii="宋体" w:hAnsi="宋体"/>
          <w:bCs/>
          <w:sz w:val="24"/>
          <w:lang w:eastAsia="zh-CN"/>
        </w:rPr>
        <w:t>3</w:t>
      </w:r>
      <w:r>
        <w:rPr>
          <w:rFonts w:hint="eastAsia" w:ascii="宋体" w:hAnsi="宋体"/>
          <w:bCs/>
          <w:sz w:val="24"/>
          <w:lang w:eastAsia="zh-CN"/>
        </w:rPr>
        <w:t>）</w:t>
      </w:r>
      <w:r>
        <w:rPr>
          <w:rFonts w:hint="eastAsia" w:ascii="宋体" w:hAnsi="宋体"/>
          <w:bCs/>
          <w:sz w:val="24"/>
          <w:szCs w:val="24"/>
          <w:lang w:eastAsia="zh-CN"/>
        </w:rPr>
        <w:t>建立工地例会制度,并作好会议记录；</w:t>
      </w:r>
    </w:p>
    <w:p w14:paraId="28D3FBFA">
      <w:pPr>
        <w:pStyle w:val="19"/>
        <w:spacing w:after="156" w:line="360" w:lineRule="auto"/>
        <w:ind w:firstLine="480"/>
        <w:rPr>
          <w:rFonts w:ascii="宋体" w:hAnsi="宋体"/>
          <w:bCs/>
          <w:sz w:val="24"/>
          <w:szCs w:val="24"/>
          <w:lang w:eastAsia="zh-CN"/>
        </w:rPr>
      </w:pPr>
      <w:r>
        <w:rPr>
          <w:rFonts w:ascii="宋体" w:hAnsi="宋体"/>
          <w:bCs/>
          <w:sz w:val="24"/>
          <w:lang w:eastAsia="zh-CN"/>
        </w:rPr>
        <w:t>4</w:t>
      </w:r>
      <w:r>
        <w:rPr>
          <w:rFonts w:hint="eastAsia" w:ascii="宋体" w:hAnsi="宋体"/>
          <w:bCs/>
          <w:sz w:val="24"/>
          <w:lang w:eastAsia="zh-CN"/>
        </w:rPr>
        <w:t>）</w:t>
      </w:r>
      <w:r>
        <w:rPr>
          <w:rFonts w:hint="eastAsia" w:ascii="宋体" w:hAnsi="宋体"/>
          <w:bCs/>
          <w:sz w:val="24"/>
          <w:szCs w:val="24"/>
          <w:lang w:eastAsia="zh-CN"/>
        </w:rPr>
        <w:t>督促各承包人整理工程技术资料。</w:t>
      </w:r>
    </w:p>
    <w:p w14:paraId="7EA998DD">
      <w:pPr>
        <w:pStyle w:val="19"/>
        <w:spacing w:after="156" w:line="360" w:lineRule="auto"/>
        <w:ind w:firstLine="480"/>
        <w:rPr>
          <w:rFonts w:ascii="宋体" w:hAnsi="宋体"/>
          <w:bCs/>
          <w:sz w:val="24"/>
          <w:szCs w:val="24"/>
          <w:lang w:eastAsia="zh-CN"/>
        </w:rPr>
      </w:pPr>
    </w:p>
    <w:p w14:paraId="032E8F54">
      <w:pPr>
        <w:pStyle w:val="19"/>
        <w:spacing w:after="156" w:line="360" w:lineRule="auto"/>
        <w:ind w:firstLine="482"/>
        <w:rPr>
          <w:rFonts w:ascii="宋体" w:hAnsi="宋体"/>
          <w:b/>
          <w:sz w:val="24"/>
          <w:lang w:eastAsia="zh-CN"/>
        </w:rPr>
      </w:pPr>
      <w:r>
        <w:rPr>
          <w:rFonts w:hint="eastAsia" w:ascii="宋体" w:hAnsi="宋体"/>
          <w:b/>
          <w:sz w:val="24"/>
          <w:lang w:eastAsia="zh-CN"/>
        </w:rPr>
        <w:t>附件九、监理单位考核办法</w:t>
      </w:r>
    </w:p>
    <w:p w14:paraId="120AAED9">
      <w:pPr>
        <w:widowControl/>
        <w:spacing w:line="360" w:lineRule="auto"/>
        <w:ind w:firstLine="480" w:firstLineChars="200"/>
        <w:jc w:val="left"/>
        <w:rPr>
          <w:sz w:val="24"/>
        </w:rPr>
      </w:pPr>
      <w:r>
        <w:rPr>
          <w:rFonts w:ascii="宋体" w:hAnsi="宋体" w:cs="宋体"/>
          <w:kern w:val="0"/>
          <w:sz w:val="24"/>
          <w:lang w:bidi="ar"/>
        </w:rPr>
        <w:t xml:space="preserve">为更好地发挥监理公司在工程建设实施过程中的监督、管理作用，深刻细致地落实监理委托合同及 国家法律法规规定的责任及义务，确保本工程的质量、安全、进度、投资及文明施工符合施工合同、设 计图纸、相关法律法规及业主的一些具体要求，项目建设单位根据工程建设需要对你项目部进行监理工 作考核，考核时间为每次监理费支付节点前，考核总分为100分，考核内容及评分标准如下： </w:t>
      </w:r>
    </w:p>
    <w:p w14:paraId="78FBB687">
      <w:pPr>
        <w:widowControl/>
        <w:spacing w:line="360" w:lineRule="auto"/>
        <w:jc w:val="left"/>
        <w:rPr>
          <w:sz w:val="24"/>
        </w:rPr>
      </w:pPr>
      <w:r>
        <w:rPr>
          <w:rFonts w:ascii="宋体" w:hAnsi="宋体" w:cs="宋体"/>
          <w:b/>
          <w:bCs/>
          <w:kern w:val="0"/>
          <w:sz w:val="24"/>
          <w:lang w:bidi="ar"/>
        </w:rPr>
        <w:t xml:space="preserve">一、甲方对监理委托合同执行情况的考核（考核分数为10分） </w:t>
      </w:r>
    </w:p>
    <w:p w14:paraId="14660D2A">
      <w:pPr>
        <w:widowControl/>
        <w:spacing w:line="360" w:lineRule="auto"/>
        <w:jc w:val="left"/>
        <w:rPr>
          <w:sz w:val="24"/>
        </w:rPr>
      </w:pPr>
      <w:r>
        <w:rPr>
          <w:rFonts w:ascii="宋体" w:hAnsi="宋体" w:cs="宋体"/>
          <w:kern w:val="0"/>
          <w:sz w:val="24"/>
          <w:lang w:bidi="ar"/>
        </w:rPr>
        <w:t xml:space="preserve">1、根据委托监理合同的有关规定：项目总监的到岗率，总监代表及其余人员到位率，满分3分； 2、根据施工监理合同专项条款第 条规定：不称职监理人员必须在一周内更换到位，满分3分； 3、根据施工监理合同专项条款第 条规定：乙方在责任期内如果失职，同意按以下办法承担责任，赔偿 损失，满分4分； 赔偿金=直接经济损失×酬金比率（酬金比率=监理酬金费/工程造价） 同时给予扣分处罚。 </w:t>
      </w:r>
    </w:p>
    <w:p w14:paraId="14D52EE9">
      <w:pPr>
        <w:widowControl/>
        <w:spacing w:line="360" w:lineRule="auto"/>
        <w:jc w:val="left"/>
        <w:rPr>
          <w:sz w:val="24"/>
        </w:rPr>
      </w:pPr>
      <w:r>
        <w:rPr>
          <w:rFonts w:ascii="宋体" w:hAnsi="宋体" w:cs="宋体"/>
          <w:b/>
          <w:bCs/>
          <w:kern w:val="0"/>
          <w:sz w:val="24"/>
          <w:lang w:bidi="ar"/>
        </w:rPr>
        <w:t xml:space="preserve">二、甲方对监理人员旁站制度的考核（考核分数为20分） </w:t>
      </w:r>
    </w:p>
    <w:p w14:paraId="4A7603EF">
      <w:pPr>
        <w:widowControl/>
        <w:spacing w:line="360" w:lineRule="auto"/>
        <w:jc w:val="left"/>
        <w:rPr>
          <w:sz w:val="24"/>
        </w:rPr>
      </w:pPr>
      <w:r>
        <w:rPr>
          <w:rFonts w:ascii="宋体" w:hAnsi="宋体" w:cs="宋体"/>
          <w:kern w:val="0"/>
          <w:sz w:val="24"/>
          <w:lang w:bidi="ar"/>
        </w:rPr>
        <w:t xml:space="preserve">1、监理人员在施工阶段实施监理时，应在施工现场对关键部位和关键工序的施工质量实施全过程跟班监 督，旁站监理范依据批准的监理实施细则，给予扣分处理，满分15分； 2、甲方经检查发现监理公司旁站不到位，未按批准的监理细则进行旁站监督，对监理公司予以扣分处 理，满分5分； </w:t>
      </w:r>
    </w:p>
    <w:p w14:paraId="14EE7651">
      <w:pPr>
        <w:widowControl/>
        <w:spacing w:line="360" w:lineRule="auto"/>
        <w:jc w:val="left"/>
        <w:rPr>
          <w:sz w:val="24"/>
        </w:rPr>
      </w:pPr>
      <w:r>
        <w:rPr>
          <w:rFonts w:ascii="宋体" w:hAnsi="宋体" w:cs="宋体"/>
          <w:b/>
          <w:bCs/>
          <w:kern w:val="0"/>
          <w:sz w:val="24"/>
          <w:lang w:bidi="ar"/>
        </w:rPr>
        <w:t xml:space="preserve">三、甲方对监理人员平行检查、隐检工作的考核（考核分数为10分） </w:t>
      </w:r>
    </w:p>
    <w:p w14:paraId="5A3D64C2">
      <w:pPr>
        <w:widowControl/>
        <w:spacing w:line="360" w:lineRule="auto"/>
        <w:jc w:val="left"/>
        <w:rPr>
          <w:sz w:val="24"/>
        </w:rPr>
      </w:pPr>
      <w:r>
        <w:rPr>
          <w:rFonts w:ascii="宋体" w:hAnsi="宋体" w:cs="宋体"/>
          <w:kern w:val="0"/>
          <w:sz w:val="24"/>
          <w:lang w:bidi="ar"/>
        </w:rPr>
        <w:t xml:space="preserve">项目专业监理人员在没有收到书面验收通知的情况下，根据施工现场的施工状态自行安排巡视时间，每天的巡视时间不应少于4小时。 1、现场巡视监理人员的职责（工作内容），满分10分；（1）检查施工单位现场质检人员的到岗、特殊工种人员持证上岗及施工机械、建筑材料的准备情况；（2）关键部位、关键工序的施工是否执行了已获批准的施工组织设计、方案以及工程建设强制性标准；（3）核查进场建筑材料、构配件、设备和商品砼的质量检验报告等，并可在现场监督施工单位进行检验；（4）施工操作人员的技术水平、操作条件是否满足工艺操作要求；（5）正在施工的部位或工序是否存在质量缺陷或质量隐患。对较大质量问题或隐患，监理人员宜采取录 相、摄影等手段予以记录；（6）监理人员在巡视和旁站过程中要善于及时发现问题并对其予以纠正。一旦发现问题，应先口头通知 施工单位要求其改正，必要时签发《监理工程师通知单》，并将所发现的问题及处理过程记入监理日记。当发生下列情况之一时，监理人员应申请局部工程暂停施工： ①施工出现了安全隐患； ②工程质量出现的缺陷可能引发工程质量事故； 监理人员应立即向总监理工程师申请局部工程暂停，由总监理工程师签发《暂停施工令》，紧急情况下 可由总监理工程师发出口头局部暂停施工指令，再补发书面的暂停施工指令。 （7）凡关键部位或工序均属“停工待检点”。在本点上凡旁站监理人员和施工单位质检人员未在相关过程控制记录上签字放行的，均不得进入下道工序的施工； 2、违反以上几点巡视要求对监理公司予以扣分处理； </w:t>
      </w:r>
    </w:p>
    <w:p w14:paraId="06234111">
      <w:pPr>
        <w:widowControl/>
        <w:spacing w:line="360" w:lineRule="auto"/>
        <w:jc w:val="left"/>
        <w:rPr>
          <w:sz w:val="24"/>
        </w:rPr>
      </w:pPr>
      <w:r>
        <w:rPr>
          <w:rFonts w:ascii="宋体" w:hAnsi="宋体" w:cs="宋体"/>
          <w:b/>
          <w:bCs/>
          <w:kern w:val="0"/>
          <w:sz w:val="24"/>
          <w:lang w:bidi="ar"/>
        </w:rPr>
        <w:t xml:space="preserve">四、甲方对监理人员上下班时间、工作能力、业务素质的考核（考核分数为10分） </w:t>
      </w:r>
    </w:p>
    <w:p w14:paraId="1F5068FA">
      <w:pPr>
        <w:widowControl/>
        <w:spacing w:line="360" w:lineRule="auto"/>
        <w:jc w:val="left"/>
        <w:rPr>
          <w:sz w:val="24"/>
        </w:rPr>
      </w:pPr>
      <w:r>
        <w:rPr>
          <w:rFonts w:ascii="宋体" w:hAnsi="宋体" w:cs="宋体"/>
          <w:kern w:val="0"/>
          <w:sz w:val="24"/>
          <w:lang w:bidi="ar"/>
        </w:rPr>
        <w:t xml:space="preserve">1、监理人员应熟悉工程图纸及设计变更的相关内容，了解法律法规的相关规定，监理公司违反此规定 的，对监理公司予以扣分处理，满分2分； 2、所有现场监理人员都应有国家规定的执业资格证明，监理公司违反此规定的，对监理公司予以扣分处 理，满分4分； 3、监理人员上下班、值班时间应严格遵守甲方规定，监理公司违反此规定的，对监理公司予以扣分处 理，满分2分； 4、监理人员在上班或值班时间不向业主请事假而缺勤，对监理公司予以扣分处理，满分2分； </w:t>
      </w:r>
    </w:p>
    <w:p w14:paraId="0DBA16B8">
      <w:pPr>
        <w:widowControl/>
        <w:spacing w:line="360" w:lineRule="auto"/>
        <w:jc w:val="left"/>
        <w:rPr>
          <w:sz w:val="24"/>
        </w:rPr>
      </w:pPr>
      <w:r>
        <w:rPr>
          <w:rFonts w:ascii="宋体" w:hAnsi="宋体" w:cs="宋体"/>
          <w:b/>
          <w:bCs/>
          <w:kern w:val="0"/>
          <w:sz w:val="24"/>
          <w:lang w:bidi="ar"/>
        </w:rPr>
        <w:t xml:space="preserve">五、甲方对监理公司现场材料报验、抽样检查工作的考核（考核分数为10分） </w:t>
      </w:r>
    </w:p>
    <w:p w14:paraId="0FA48BEE">
      <w:pPr>
        <w:widowControl/>
        <w:spacing w:line="360" w:lineRule="auto"/>
        <w:jc w:val="left"/>
        <w:rPr>
          <w:sz w:val="24"/>
        </w:rPr>
      </w:pPr>
      <w:r>
        <w:rPr>
          <w:rFonts w:ascii="宋体" w:hAnsi="宋体" w:cs="宋体"/>
          <w:kern w:val="0"/>
          <w:sz w:val="24"/>
          <w:lang w:bidi="ar"/>
        </w:rPr>
        <w:t xml:space="preserve">1、对用于工程上的主要材料，进场时必须具备正式的出厂合格证明和材质检测证明。对于没有检测证明 或监理人员对检测证明有疑问时，应要求施工单位或供货单位补做试验，监理公司发现施工单位违反此 规定而未及时制止的，对监理公司予以扣分处理，满分1分； 2、在主要材料进场前，施工单位要将材料的质量证明资料和报审表一并提供给监理单位，经监理工程师 审核批准后方可进场。监理公司发现施工单位违反此规定而未及时制止的，对监理公司予以扣分处理， 满分1分； 3、材料进场后，施工单位要通知监理人员到现场进行验收。对未经监理人员验收或验收不合格的材料， 监理人员应拒绝签认，并签发监理工程师通知单，书面通知施工单位限期将不合格材料撤出现场，监理 公司发现施工单位违反此规定而未及时制止的，对监理公司予以扣分处理，满分1分； 4、工程中所有由场外厂方生产的构件，必须具备厂家批号和出厂合格证。监理公司发现施工单位违反此 规定而未及时制止的，对监理公司予以扣分处理，满分1分； 5、凡标志不清或经外观检查认为其质量有问题的材料、对质量保证资料有怀疑及实物与供货合同或样品 不一致的一般材料，要按一定的比例进行抽样检测，待检测合格后方可使用到本工程中，监理公司发现 施工单位违反此规定而未及时制止的，对监理公司予以扣分处理，满分1分； 6、在现场配制的材料，如防水、保温材料，防腐、绝缘材料以及混凝土、砂浆等的配合比，应先按规定 方法试配，试配试件经检测合格后方可正式投入使用，监理公司发现施工单位违反此规定而未及时制止 的，对监理公司予以扣分处理，满分3分； 7、新材料的应用必须经过试验和鉴定，监理公司发现施工单位违反此规定而未及时制止的，对监理公司 予以扣分处理，满分1分； 8、代用材料必须通过计算和充分论证，认为达到原设计标准并经监理公司及甲方书面同意后方可使用， 及时办理技术核定单，监理公司发现施工单位违反此规定而未及时制止的，对监理公司予以扣分处理， 满分1分； </w:t>
      </w:r>
    </w:p>
    <w:p w14:paraId="76808453">
      <w:pPr>
        <w:widowControl/>
        <w:spacing w:line="360" w:lineRule="auto"/>
        <w:jc w:val="left"/>
        <w:rPr>
          <w:sz w:val="24"/>
        </w:rPr>
      </w:pPr>
      <w:r>
        <w:rPr>
          <w:rFonts w:ascii="宋体" w:hAnsi="宋体" w:cs="宋体"/>
          <w:b/>
          <w:bCs/>
          <w:kern w:val="0"/>
          <w:sz w:val="24"/>
          <w:lang w:bidi="ar"/>
        </w:rPr>
        <w:t xml:space="preserve">六、甲方对监理公司现场安全文明生产检查工作的考核（考核分数为20分） </w:t>
      </w:r>
    </w:p>
    <w:p w14:paraId="19A13E05">
      <w:pPr>
        <w:widowControl/>
        <w:spacing w:line="360" w:lineRule="auto"/>
        <w:jc w:val="left"/>
        <w:rPr>
          <w:sz w:val="24"/>
        </w:rPr>
      </w:pPr>
      <w:r>
        <w:rPr>
          <w:rFonts w:ascii="宋体" w:hAnsi="宋体" w:cs="宋体"/>
          <w:kern w:val="0"/>
          <w:sz w:val="24"/>
          <w:lang w:bidi="ar"/>
        </w:rPr>
        <w:t xml:space="preserve">1、监理公司应定期组织现场安全文明生产的检查，并对检查结果做出相应检查报告，对检查发现的问题 应及时要求施工单位整改，并将整改结果上报甲方，监理公司违反此条规定的，对监理公司予以扣分处 理，满分1分； 2、监理项目部人员应自觉遵守并严格执行安全文明管理制度，监理人员如有违反此制度的或不按此制度 执行的，对监理公司予以扣分处理，满分0.5分； 3、监理公司发现工程标牌（五牌一图）未按照创建文明工地要求进行设置，或设置在不醒目位置，或发 生破损未及时修复，未向施工单位发出整改通知单，对监理公司予以扣分处理，满分0.5分； 4、监理公司发现施工现场成品、半成品及原材料未按规定堆放，未向施工单位发出整改通知单，对监理 公司予以扣分处理，满分0.5分； 5、监理公司发现施工现场扬尘、撒土对周边公共场所造成环境污染的，未向施工单位发出整改通知单， 对监理公司予以扣分处理，满分0.5分； 6、监理公司发现生活区、办公区、施工区有随意倾倒垃圾现象，未向施工单位发出整改通知单，对监理 公司予以扣分处理，满分1分； 7、监理公司发现办公区域场地不定期打扫，损坏的设施不及时修复，未向施工单位发出整改通知单，对 监理公司予以扣分处理，满分1分； 8、监理公司发现施工现场高空抛物或从高处倾倒物体，未向施工单位发出整改通知单，对监理公司予以 扣分处理，满分1分； 9、监理公司发现围墙及周边道路、工地出入口未保持清洁，绿化、广告、灯箱等发生破损未及时修 复，未向施工单位发出整改通知单，对监理公司予以扣分处理，满分0.5分； 10、监理公司发现高层建筑无明显的楼层标识牌的，未向施工单位发出整改通知单，对监理公司予以扣 分处理，满分0.5分； 11、监理公司发现施工现场卫生间未及时清洗，未向施工单位发出整改通知单，对监理公司予以扣分处 理，满分1分； 12、监理公司发现施工现场建筑垃圾未集中堆放，未及时外运，未向施工单位发出整改通知单，对监理 公司予以扣分处理，满分0.5分； 13、监理公司发现门卫管理不到位，未建立来客登记制度，未向施工单位发出整改通知单，对监理公司 予以扣分处理，满分0.5分； 14、监理公司发现施工人员有穿拖鞋、赤膊等不安全现象，未向施工单位发出整改通知单，对监理公司 予以扣分处理，满分0.5分； 15、监理公司发现施工单位未建立安全生产责任制，未落实安全生产的组织保证体系，安全员缺岗或不 到位，未向施工单位发出整改通知单，对监理公司予以扣分处理，满分1分； 16、监理公司发现施工单位安全管理台帐未及时建立并完善，未向施工单位发出整改通知单，对监理公 司予以扣分处理，满分0.5分； 17、监理公司发现施工单位未对施工作业人员进行安全生产教育或分部分项工程的安全技术交底，未向 施工单位发出整改通知单，对监理公司予以扣分处理，满分2分； 18、监理公司发现施工单位特种作业人员未持证上岗，未向施工单位发出整改通知单，对监理公司予以 扣分处理，满分1分； 19、监理公司发现施工现场消防设施未按要求配置的，未向施工单位发出整改通知单，对监理公司予以 扣分处理，满分1分； 20、监理公司发现施工脚手架未按规范搭设、报验不及时及未能满足安全防护要求的，未向施工单位发 出整改通知单，对监理公司予以扣分处理，满分0.5分； 21、监理公司发现施工现场安全帽、安全网、安全带等未按要求佩带或配置的，未向施工单位发出整改 通知单，对监理公司予以扣分处理，满分1分； 22、监理公司发现施工现场出入口、通道口、楼梯口、井道口、预留洞口、临边洞口、基坑边缘等容易 发生坠落的地方未设置安全警示标志，临边防护未及时设置，未向施工单位发出整改通知单，对监理公司予以扣分处理，满分0.5分； 23、监理公司发现施工现场塔吊、人货电梯、物料提升机及其他施工机具未按要求配备有效的保险、限 位等安全设施和装置或超过质检期违规使用的，未向施工单位发出整改通知单，对监理公司予以扣分处 理，满分1分； 24、监理公司发现施工现场用电设备、配电箱、开关箱未采用TN-S接零保护系统，未实行三级配电、三 级保护系统，未向施工单位发出整改通知单，或整改不及时，对监理公司予以扣分处理，满分0.5分； 25、监理公司发现施工电缆随意拖拉，未架空或埋地，接头未保护，绝缘层有破损，未向施工单位发出 整改通知单，对监理公司予以扣分处理，满分0.5分； 26、监理公司发现施工现场用电设备漏电保护装置未按要求配置或失灵的，未向施工单位发出整改通知 单，，对监理公司予以扣分处理，满分0.5分； 27、监理公司发现生活区、职工集体宿舍、食堂违规使用电器，电线私拉乱接及未配设防火设备的，未 向施工单位发出整改通知单，对监理公司予以扣分处理，满分0.5分； </w:t>
      </w:r>
    </w:p>
    <w:p w14:paraId="4DF705D1">
      <w:pPr>
        <w:widowControl/>
        <w:spacing w:line="360" w:lineRule="auto"/>
        <w:jc w:val="left"/>
        <w:rPr>
          <w:sz w:val="24"/>
        </w:rPr>
      </w:pPr>
      <w:r>
        <w:rPr>
          <w:rFonts w:ascii="宋体" w:hAnsi="宋体" w:cs="宋体"/>
          <w:b/>
          <w:bCs/>
          <w:kern w:val="0"/>
          <w:sz w:val="24"/>
          <w:lang w:bidi="ar"/>
        </w:rPr>
        <w:t xml:space="preserve">七、甲方对监理人员工作态度、职业道德的考核（考核分数为10分） </w:t>
      </w:r>
    </w:p>
    <w:p w14:paraId="63C26F7F">
      <w:pPr>
        <w:widowControl/>
        <w:spacing w:line="360" w:lineRule="auto"/>
        <w:jc w:val="left"/>
        <w:rPr>
          <w:sz w:val="24"/>
        </w:rPr>
      </w:pPr>
      <w:r>
        <w:rPr>
          <w:rFonts w:ascii="宋体" w:hAnsi="宋体" w:cs="宋体"/>
          <w:kern w:val="0"/>
          <w:sz w:val="24"/>
          <w:lang w:bidi="ar"/>
        </w:rPr>
        <w:t xml:space="preserve">1、根据廉洁协议第 条的规定：甲方发现监理单位与施工单位或各配套协作单位之间存在收受贿赂， 吃喝玩乐的现象，给予经济处罚，同时给予扣分处理，满分3分； 2、监理项目部发现施工单位弄虚作假、偷工减料、不按图纸、规范、设计变更联系单施工，未向施工单 位发出整改通知单，对监理公司予以扣分处理，满分5分； 3、监理项目部人员不服从甲方管理或对甲方的指令阳奉阴违，对监理公司予以扣分处理，满分2分； </w:t>
      </w:r>
    </w:p>
    <w:p w14:paraId="49EA5DF1">
      <w:pPr>
        <w:widowControl/>
        <w:spacing w:line="360" w:lineRule="auto"/>
        <w:jc w:val="left"/>
        <w:rPr>
          <w:sz w:val="24"/>
        </w:rPr>
      </w:pPr>
      <w:r>
        <w:rPr>
          <w:rFonts w:ascii="宋体" w:hAnsi="宋体" w:cs="宋体"/>
          <w:b/>
          <w:bCs/>
          <w:kern w:val="0"/>
          <w:sz w:val="24"/>
          <w:lang w:bidi="ar"/>
        </w:rPr>
        <w:t xml:space="preserve">八、其他方面的考核（考核分数为10分） </w:t>
      </w:r>
    </w:p>
    <w:p w14:paraId="26000AC1">
      <w:pPr>
        <w:widowControl/>
        <w:spacing w:line="360" w:lineRule="auto"/>
        <w:jc w:val="left"/>
        <w:rPr>
          <w:sz w:val="24"/>
        </w:rPr>
      </w:pPr>
      <w:r>
        <w:rPr>
          <w:rFonts w:ascii="宋体" w:hAnsi="宋体" w:cs="宋体"/>
          <w:kern w:val="0"/>
          <w:sz w:val="24"/>
          <w:lang w:bidi="ar"/>
        </w:rPr>
        <w:t xml:space="preserve">1、根据施工监理合同的有关规定，监理公司须向甲方报送监理机构主要成员名单、监理大纲、监理规 划、监理实施细则，监理公司未及时提供上述相关文件，经甲方催促后仍未能提供合格文件的，对监理 公司予以扣分处理，满分2分； 2、监理公司应根据工程进度情况及时提供监理月报、各分部工程项目监理实施成果报告等，监理公司未 及时提供上述相关文件，经甲方催促后仍未能提供合格文件的，对监理公司予以扣分处理，满分3分； 3、监理公司应认真核查施工单位上报的工程资料，确保其真实可信，并满足备案归档的要求；监理公司 违反此规定的，对监理公司予以扣分处理，满分5分； </w:t>
      </w:r>
    </w:p>
    <w:p w14:paraId="0E84284F">
      <w:pPr>
        <w:widowControl/>
        <w:spacing w:line="360" w:lineRule="auto"/>
        <w:jc w:val="left"/>
        <w:rPr>
          <w:sz w:val="24"/>
        </w:rPr>
      </w:pPr>
      <w:r>
        <w:rPr>
          <w:rFonts w:ascii="宋体" w:hAnsi="宋体" w:cs="宋体"/>
          <w:b/>
          <w:bCs/>
          <w:kern w:val="0"/>
          <w:sz w:val="24"/>
          <w:lang w:bidi="ar"/>
        </w:rPr>
        <w:t xml:space="preserve">九、奖惩措施： </w:t>
      </w:r>
    </w:p>
    <w:p w14:paraId="64F032F2">
      <w:pPr>
        <w:widowControl/>
        <w:spacing w:line="360" w:lineRule="auto"/>
        <w:jc w:val="left"/>
        <w:rPr>
          <w:sz w:val="24"/>
        </w:rPr>
      </w:pPr>
      <w:r>
        <w:rPr>
          <w:rFonts w:ascii="宋体" w:hAnsi="宋体" w:cs="宋体"/>
          <w:kern w:val="0"/>
          <w:sz w:val="24"/>
          <w:lang w:bidi="ar"/>
        </w:rPr>
        <w:t xml:space="preserve">1、考核打分在91—100分及以上（A级）；合格，给予书面表扬全额支付监理服务费； 考核打分在81—90分（B级）：基本合格，支付全额监理费； 考核打分在71—80分（C级）：口头警告，提交整改报告视整改情况支付监理费，如整改不理想则扣 除总额的1－3％； 考核打分在61—70分（D级）：书面警告，并发公司红头文件给监理公司，扣监理服务费总额的 3－5％； 考核打分在61分以下（E级）：给予严重警告，停业整改。 2、考核方法：监理费支付节点前进行考核；所得的分数按等级进行监理费的支付。 </w:t>
      </w:r>
    </w:p>
    <w:p w14:paraId="15C43626">
      <w:pPr>
        <w:pStyle w:val="19"/>
        <w:spacing w:after="156" w:line="360" w:lineRule="auto"/>
        <w:ind w:firstLine="482"/>
        <w:rPr>
          <w:rFonts w:ascii="宋体" w:hAnsi="宋体"/>
          <w:b/>
          <w:sz w:val="24"/>
          <w:szCs w:val="24"/>
          <w:lang w:eastAsia="zh-CN"/>
        </w:rPr>
      </w:pPr>
      <w:r>
        <w:rPr>
          <w:rFonts w:ascii="宋体" w:hAnsi="宋体" w:cs="宋体"/>
          <w:b/>
          <w:bCs/>
          <w:sz w:val="24"/>
          <w:szCs w:val="24"/>
          <w:lang w:eastAsia="zh-CN" w:bidi="ar"/>
        </w:rPr>
        <w:t>十、本监理考核细则执行时间</w:t>
      </w:r>
      <w:r>
        <w:rPr>
          <w:rFonts w:ascii="宋体" w:hAnsi="宋体" w:cs="宋体"/>
          <w:sz w:val="24"/>
          <w:szCs w:val="24"/>
          <w:lang w:eastAsia="zh-CN" w:bidi="ar"/>
        </w:rPr>
        <w:t>： 开始时间：</w:t>
      </w:r>
      <w:r>
        <w:rPr>
          <w:rFonts w:hint="eastAsia" w:ascii="宋体" w:hAnsi="宋体" w:cs="宋体"/>
          <w:sz w:val="24"/>
          <w:szCs w:val="24"/>
          <w:lang w:eastAsia="zh-CN" w:bidi="ar"/>
        </w:rPr>
        <w:t>项目开工</w:t>
      </w:r>
      <w:r>
        <w:rPr>
          <w:rFonts w:ascii="宋体" w:hAnsi="宋体" w:cs="宋体"/>
          <w:sz w:val="24"/>
          <w:szCs w:val="24"/>
          <w:lang w:eastAsia="zh-CN" w:bidi="ar"/>
        </w:rPr>
        <w:t xml:space="preserve"> ； 结束时间：与监理服务周期同时</w:t>
      </w:r>
    </w:p>
    <w:sectPr>
      <w:headerReference r:id="rId6" w:type="default"/>
      <w:footerReference r:id="rId7" w:type="default"/>
      <w:footerReference r:id="rId8" w:type="even"/>
      <w:pgSz w:w="11906" w:h="16838"/>
      <w:pgMar w:top="1418"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华文隶书">
    <w:panose1 w:val="02010800040101010101"/>
    <w:charset w:val="86"/>
    <w:family w:val="auto"/>
    <w:pitch w:val="default"/>
    <w:sig w:usb0="00000001" w:usb1="080F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90577">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B1220">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635"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4447DF8B">
                          <w:pPr>
                            <w:pStyle w:val="8"/>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j5xr/QsCAAACBAAADgAAAAAAAAABACAAAAAfAQAA&#10;ZHJzL2Uyb0RvYy54bWxQSwUGAAAAAAYABgBZAQAAnAUAAAAA&#10;">
              <v:fill on="f" focussize="0,0"/>
              <v:stroke on="f"/>
              <v:imagedata o:title=""/>
              <o:lock v:ext="edit" aspectratio="f"/>
              <v:textbox inset="0mm,0mm,0mm,0mm" style="mso-fit-shape-to-text:t;">
                <w:txbxContent>
                  <w:p w14:paraId="4447DF8B">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7F4EA">
    <w:pPr>
      <w:pStyle w:val="8"/>
      <w:ind w:left="4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8BC0963">
                          <w:pPr>
                            <w:pStyle w:val="8"/>
                            <w:ind w:left="420"/>
                            <w:jc w:val="center"/>
                          </w:pPr>
                          <w:r>
                            <w:fldChar w:fldCharType="begin"/>
                          </w:r>
                          <w:r>
                            <w:instrText xml:space="preserve"> PAGE   \* MERGEFORMAT </w:instrText>
                          </w:r>
                          <w:r>
                            <w:fldChar w:fldCharType="separate"/>
                          </w:r>
                          <w:r>
                            <w:rPr>
                              <w:lang w:val="zh-CN"/>
                            </w:rPr>
                            <w:t>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fill on="f" focussize="0,0"/>
              <v:stroke on="f"/>
              <v:imagedata o:title=""/>
              <o:lock v:ext="edit" aspectratio="f"/>
              <v:textbox inset="0mm,0mm,0mm,0mm" style="mso-fit-shape-to-text:t;">
                <w:txbxContent>
                  <w:p w14:paraId="08BC0963">
                    <w:pPr>
                      <w:pStyle w:val="8"/>
                      <w:ind w:left="420"/>
                      <w:jc w:val="center"/>
                    </w:pPr>
                    <w:r>
                      <w:fldChar w:fldCharType="begin"/>
                    </w:r>
                    <w:r>
                      <w:instrText xml:space="preserve"> PAGE   \* MERGEFORMAT </w:instrText>
                    </w:r>
                    <w:r>
                      <w:fldChar w:fldCharType="separate"/>
                    </w:r>
                    <w:r>
                      <w:rPr>
                        <w:lang w:val="zh-CN"/>
                      </w:rPr>
                      <w:t>7</w:t>
                    </w:r>
                    <w:r>
                      <w:fldChar w:fldCharType="end"/>
                    </w:r>
                  </w:p>
                </w:txbxContent>
              </v:textbox>
            </v:shape>
          </w:pict>
        </mc:Fallback>
      </mc:AlternateContent>
    </w:r>
  </w:p>
  <w:p w14:paraId="5C1E8432">
    <w:pPr>
      <w:pStyle w:val="8"/>
      <w:ind w:left="4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FF235">
    <w:pPr>
      <w:pStyle w:val="8"/>
      <w:framePr w:wrap="around" w:vAnchor="text" w:hAnchor="margin" w:xAlign="center" w:y="1"/>
      <w:ind w:left="420"/>
      <w:rPr>
        <w:rStyle w:val="13"/>
      </w:rPr>
    </w:pPr>
    <w:r>
      <w:rPr>
        <w:rStyle w:val="13"/>
      </w:rPr>
      <w:fldChar w:fldCharType="begin"/>
    </w:r>
    <w:r>
      <w:rPr>
        <w:rStyle w:val="13"/>
      </w:rPr>
      <w:instrText xml:space="preserve">PAGE  </w:instrText>
    </w:r>
    <w:r>
      <w:rPr>
        <w:rStyle w:val="13"/>
      </w:rPr>
      <w:fldChar w:fldCharType="end"/>
    </w:r>
  </w:p>
  <w:p w14:paraId="014F7646">
    <w:pPr>
      <w:pStyle w:val="8"/>
      <w:ind w:left="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FC239">
    <w:pPr>
      <w:pStyle w:val="9"/>
      <w:jc w:val="right"/>
    </w:pPr>
    <w: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3CFDA">
    <w:pPr>
      <w:pStyle w:val="9"/>
      <w:pBdr>
        <w:bottom w:val="none" w:color="auto" w:sz="0" w:space="0"/>
      </w:pBdr>
      <w:ind w:left="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65FCC"/>
    <w:multiLevelType w:val="singleLevel"/>
    <w:tmpl w:val="24865FCC"/>
    <w:lvl w:ilvl="0" w:tentative="0">
      <w:start w:val="1"/>
      <w:numFmt w:val="decimal"/>
      <w:lvlText w:val="（%1）"/>
      <w:lvlJc w:val="left"/>
    </w:lvl>
  </w:abstractNum>
  <w:abstractNum w:abstractNumId="1">
    <w:nsid w:val="50B1E5B2"/>
    <w:multiLevelType w:val="singleLevel"/>
    <w:tmpl w:val="50B1E5B2"/>
    <w:lvl w:ilvl="0" w:tentative="0">
      <w:start w:val="1"/>
      <w:numFmt w:val="decimal"/>
      <w:suff w:val="nothing"/>
      <w:lvlText w:val="%1、"/>
      <w:lvlJc w:val="left"/>
      <w:pPr>
        <w:ind w:left="630"/>
      </w:pPr>
    </w:lvl>
  </w:abstractNum>
  <w:abstractNum w:abstractNumId="2">
    <w:nsid w:val="53581F46"/>
    <w:multiLevelType w:val="multilevel"/>
    <w:tmpl w:val="53581F46"/>
    <w:lvl w:ilvl="0" w:tentative="0">
      <w:start w:val="1"/>
      <w:numFmt w:val="japaneseCounting"/>
      <w:lvlText w:val="第%1章"/>
      <w:lvlJc w:val="left"/>
      <w:pPr>
        <w:ind w:left="2542" w:hanging="840"/>
      </w:pPr>
      <w:rPr>
        <w:rFonts w:hint="default"/>
      </w:rPr>
    </w:lvl>
    <w:lvl w:ilvl="1" w:tentative="0">
      <w:start w:val="1"/>
      <w:numFmt w:val="lowerLetter"/>
      <w:pStyle w:val="26"/>
      <w:lvlText w:val="%2)"/>
      <w:lvlJc w:val="left"/>
      <w:pPr>
        <w:ind w:left="840" w:hanging="420"/>
      </w:pPr>
    </w:lvl>
    <w:lvl w:ilvl="2" w:tentative="0">
      <w:start w:val="1"/>
      <w:numFmt w:val="lowerRoman"/>
      <w:lvlText w:val="%3."/>
      <w:lvlJc w:val="right"/>
      <w:pPr>
        <w:ind w:left="1260" w:hanging="420"/>
      </w:pPr>
    </w:lvl>
    <w:lvl w:ilvl="3" w:tentative="0">
      <w:start w:val="1"/>
      <w:numFmt w:val="decimal"/>
      <w:pStyle w:val="27"/>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E2C5D5E"/>
    <w:multiLevelType w:val="singleLevel"/>
    <w:tmpl w:val="6E2C5D5E"/>
    <w:lvl w:ilvl="0" w:tentative="0">
      <w:start w:val="1"/>
      <w:numFmt w:val="decimal"/>
      <w:suff w:val="nothing"/>
      <w:lvlText w:val="%1、"/>
      <w:lvlJc w:val="left"/>
      <w:pPr>
        <w:ind w:left="63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xZTgyY2JkM2I0Mjg0YjUxYTU5NDc3NWYyMjg5OTYifQ=="/>
  </w:docVars>
  <w:rsids>
    <w:rsidRoot w:val="002D294E"/>
    <w:rsid w:val="00051EA2"/>
    <w:rsid w:val="00057AA1"/>
    <w:rsid w:val="00067FA1"/>
    <w:rsid w:val="00083065"/>
    <w:rsid w:val="000A3A2F"/>
    <w:rsid w:val="000C0DE9"/>
    <w:rsid w:val="000C72E2"/>
    <w:rsid w:val="001135CC"/>
    <w:rsid w:val="001304A7"/>
    <w:rsid w:val="00130EFE"/>
    <w:rsid w:val="00135C31"/>
    <w:rsid w:val="0014582C"/>
    <w:rsid w:val="001469D5"/>
    <w:rsid w:val="00150767"/>
    <w:rsid w:val="0019751F"/>
    <w:rsid w:val="001A3B84"/>
    <w:rsid w:val="001B516D"/>
    <w:rsid w:val="001D4CA3"/>
    <w:rsid w:val="002010D3"/>
    <w:rsid w:val="00252904"/>
    <w:rsid w:val="00272203"/>
    <w:rsid w:val="002811B6"/>
    <w:rsid w:val="00292414"/>
    <w:rsid w:val="0029647C"/>
    <w:rsid w:val="002A6B9B"/>
    <w:rsid w:val="002B086B"/>
    <w:rsid w:val="002B652E"/>
    <w:rsid w:val="002C7371"/>
    <w:rsid w:val="002D294E"/>
    <w:rsid w:val="002D2D2A"/>
    <w:rsid w:val="0032052D"/>
    <w:rsid w:val="00321E49"/>
    <w:rsid w:val="00323F5B"/>
    <w:rsid w:val="0032476C"/>
    <w:rsid w:val="00326DC3"/>
    <w:rsid w:val="003319B7"/>
    <w:rsid w:val="00356F07"/>
    <w:rsid w:val="00372CC1"/>
    <w:rsid w:val="003878E0"/>
    <w:rsid w:val="003B3177"/>
    <w:rsid w:val="003E5086"/>
    <w:rsid w:val="003F23C3"/>
    <w:rsid w:val="003F4183"/>
    <w:rsid w:val="00403E18"/>
    <w:rsid w:val="004077EA"/>
    <w:rsid w:val="00435BF8"/>
    <w:rsid w:val="00442C93"/>
    <w:rsid w:val="004435FF"/>
    <w:rsid w:val="00451FA3"/>
    <w:rsid w:val="00480CCD"/>
    <w:rsid w:val="0049589B"/>
    <w:rsid w:val="004D6A49"/>
    <w:rsid w:val="004E4AA1"/>
    <w:rsid w:val="00537F77"/>
    <w:rsid w:val="005678A2"/>
    <w:rsid w:val="00573AEE"/>
    <w:rsid w:val="00591C00"/>
    <w:rsid w:val="00595880"/>
    <w:rsid w:val="00602524"/>
    <w:rsid w:val="006178F5"/>
    <w:rsid w:val="006200DC"/>
    <w:rsid w:val="00624C28"/>
    <w:rsid w:val="00627F04"/>
    <w:rsid w:val="006560D1"/>
    <w:rsid w:val="006A1375"/>
    <w:rsid w:val="006A445E"/>
    <w:rsid w:val="006C1677"/>
    <w:rsid w:val="006D11A9"/>
    <w:rsid w:val="006D5502"/>
    <w:rsid w:val="006E30BA"/>
    <w:rsid w:val="006E48B2"/>
    <w:rsid w:val="006F684D"/>
    <w:rsid w:val="0072216C"/>
    <w:rsid w:val="00731637"/>
    <w:rsid w:val="00737E0E"/>
    <w:rsid w:val="00743CD7"/>
    <w:rsid w:val="0074685D"/>
    <w:rsid w:val="00755B23"/>
    <w:rsid w:val="007833B2"/>
    <w:rsid w:val="007867D1"/>
    <w:rsid w:val="0079145D"/>
    <w:rsid w:val="00795456"/>
    <w:rsid w:val="00796934"/>
    <w:rsid w:val="007A2A69"/>
    <w:rsid w:val="007D55C3"/>
    <w:rsid w:val="007E4433"/>
    <w:rsid w:val="007F2106"/>
    <w:rsid w:val="007F3FE0"/>
    <w:rsid w:val="00810791"/>
    <w:rsid w:val="00833DEE"/>
    <w:rsid w:val="008733B3"/>
    <w:rsid w:val="00875DE0"/>
    <w:rsid w:val="00875E16"/>
    <w:rsid w:val="008A5D64"/>
    <w:rsid w:val="008F5B33"/>
    <w:rsid w:val="00913623"/>
    <w:rsid w:val="00922E96"/>
    <w:rsid w:val="00961602"/>
    <w:rsid w:val="00963322"/>
    <w:rsid w:val="0099341A"/>
    <w:rsid w:val="00995416"/>
    <w:rsid w:val="009C59AE"/>
    <w:rsid w:val="009D79EF"/>
    <w:rsid w:val="009F23C5"/>
    <w:rsid w:val="009F3FDF"/>
    <w:rsid w:val="00A06379"/>
    <w:rsid w:val="00A14816"/>
    <w:rsid w:val="00A24966"/>
    <w:rsid w:val="00A56DB3"/>
    <w:rsid w:val="00A63389"/>
    <w:rsid w:val="00A63F4A"/>
    <w:rsid w:val="00A71BD9"/>
    <w:rsid w:val="00A73AA1"/>
    <w:rsid w:val="00A84499"/>
    <w:rsid w:val="00A95E32"/>
    <w:rsid w:val="00AA5230"/>
    <w:rsid w:val="00AB0E98"/>
    <w:rsid w:val="00AD65F0"/>
    <w:rsid w:val="00B14C71"/>
    <w:rsid w:val="00B340D5"/>
    <w:rsid w:val="00B434A4"/>
    <w:rsid w:val="00B6178E"/>
    <w:rsid w:val="00B84278"/>
    <w:rsid w:val="00B84A45"/>
    <w:rsid w:val="00B932B9"/>
    <w:rsid w:val="00B94D7E"/>
    <w:rsid w:val="00BE3D1F"/>
    <w:rsid w:val="00BF3342"/>
    <w:rsid w:val="00C10513"/>
    <w:rsid w:val="00C13AF2"/>
    <w:rsid w:val="00C26B10"/>
    <w:rsid w:val="00C36452"/>
    <w:rsid w:val="00C80AAE"/>
    <w:rsid w:val="00C94CC7"/>
    <w:rsid w:val="00CD2C0B"/>
    <w:rsid w:val="00CE1176"/>
    <w:rsid w:val="00CF352A"/>
    <w:rsid w:val="00D129BE"/>
    <w:rsid w:val="00D17FB7"/>
    <w:rsid w:val="00D43470"/>
    <w:rsid w:val="00D44643"/>
    <w:rsid w:val="00D84E68"/>
    <w:rsid w:val="00D93BC3"/>
    <w:rsid w:val="00D955BF"/>
    <w:rsid w:val="00D95970"/>
    <w:rsid w:val="00D978E2"/>
    <w:rsid w:val="00DE58B1"/>
    <w:rsid w:val="00E133A2"/>
    <w:rsid w:val="00E249DF"/>
    <w:rsid w:val="00E44BFE"/>
    <w:rsid w:val="00E52AB2"/>
    <w:rsid w:val="00E5320A"/>
    <w:rsid w:val="00E716ED"/>
    <w:rsid w:val="00E741AB"/>
    <w:rsid w:val="00E7643E"/>
    <w:rsid w:val="00E96BC6"/>
    <w:rsid w:val="00EA0F4A"/>
    <w:rsid w:val="00EA18B3"/>
    <w:rsid w:val="00EB55A5"/>
    <w:rsid w:val="00EC4FAD"/>
    <w:rsid w:val="00ED14FE"/>
    <w:rsid w:val="00ED7E83"/>
    <w:rsid w:val="00EE23D2"/>
    <w:rsid w:val="00EF2A4D"/>
    <w:rsid w:val="00F05B3C"/>
    <w:rsid w:val="00F12D9F"/>
    <w:rsid w:val="00F20B7C"/>
    <w:rsid w:val="00F32931"/>
    <w:rsid w:val="00F56FB3"/>
    <w:rsid w:val="00F624CB"/>
    <w:rsid w:val="00F664B7"/>
    <w:rsid w:val="00F8235D"/>
    <w:rsid w:val="00F84FDB"/>
    <w:rsid w:val="00F91403"/>
    <w:rsid w:val="00FD42ED"/>
    <w:rsid w:val="00FE61A7"/>
    <w:rsid w:val="06584AA1"/>
    <w:rsid w:val="0A801C83"/>
    <w:rsid w:val="0E6E53C2"/>
    <w:rsid w:val="19D90D46"/>
    <w:rsid w:val="1A08781B"/>
    <w:rsid w:val="1BD85873"/>
    <w:rsid w:val="2A5411AB"/>
    <w:rsid w:val="2CD11ADE"/>
    <w:rsid w:val="327E1268"/>
    <w:rsid w:val="3BC94845"/>
    <w:rsid w:val="4F62701A"/>
    <w:rsid w:val="51AF240B"/>
    <w:rsid w:val="5CF20E1B"/>
    <w:rsid w:val="5DF3225A"/>
    <w:rsid w:val="6DAB6738"/>
    <w:rsid w:val="741F56FF"/>
    <w:rsid w:val="7A20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5"/>
    <w:qFormat/>
    <w:uiPriority w:val="0"/>
    <w:pPr>
      <w:keepNext/>
      <w:keepLines/>
      <w:spacing w:before="260" w:after="260" w:line="416" w:lineRule="auto"/>
      <w:outlineLvl w:val="1"/>
    </w:pPr>
    <w:rPr>
      <w:rFonts w:ascii="Cambria" w:hAnsi="Cambria"/>
      <w:b/>
      <w:bCs/>
      <w:sz w:val="32"/>
      <w:szCs w:val="32"/>
    </w:rPr>
  </w:style>
  <w:style w:type="paragraph" w:styleId="3">
    <w:name w:val="heading 4"/>
    <w:basedOn w:val="1"/>
    <w:next w:val="1"/>
    <w:link w:val="2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Normal Indent"/>
    <w:basedOn w:val="1"/>
    <w:link w:val="16"/>
    <w:qFormat/>
    <w:uiPriority w:val="0"/>
    <w:pPr>
      <w:ind w:firstLine="420" w:firstLineChars="200"/>
    </w:pPr>
    <w:rPr>
      <w:szCs w:val="20"/>
    </w:rPr>
  </w:style>
  <w:style w:type="paragraph" w:styleId="5">
    <w:name w:val="Body Text"/>
    <w:basedOn w:val="1"/>
    <w:link w:val="17"/>
    <w:qFormat/>
    <w:uiPriority w:val="0"/>
    <w:rPr>
      <w:rFonts w:eastAsia="华文隶书"/>
      <w:b/>
      <w:shadow/>
      <w:color w:val="003366"/>
      <w:spacing w:val="20"/>
      <w:sz w:val="64"/>
    </w:rPr>
  </w:style>
  <w:style w:type="paragraph" w:styleId="6">
    <w:name w:val="Plain Text"/>
    <w:basedOn w:val="1"/>
    <w:link w:val="21"/>
    <w:qFormat/>
    <w:uiPriority w:val="0"/>
    <w:rPr>
      <w:rFonts w:ascii="宋体" w:hAnsi="Courier New"/>
      <w:szCs w:val="20"/>
    </w:rPr>
  </w:style>
  <w:style w:type="paragraph" w:styleId="7">
    <w:name w:val="Balloon Text"/>
    <w:basedOn w:val="1"/>
    <w:link w:val="23"/>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 w:type="character" w:customStyle="1" w:styleId="14">
    <w:name w:val="页眉 字符"/>
    <w:basedOn w:val="12"/>
    <w:link w:val="9"/>
    <w:qFormat/>
    <w:uiPriority w:val="99"/>
    <w:rPr>
      <w:sz w:val="18"/>
      <w:szCs w:val="18"/>
    </w:rPr>
  </w:style>
  <w:style w:type="character" w:customStyle="1" w:styleId="15">
    <w:name w:val="页脚 字符"/>
    <w:basedOn w:val="12"/>
    <w:link w:val="8"/>
    <w:qFormat/>
    <w:uiPriority w:val="99"/>
    <w:rPr>
      <w:sz w:val="18"/>
      <w:szCs w:val="18"/>
    </w:rPr>
  </w:style>
  <w:style w:type="character" w:customStyle="1" w:styleId="16">
    <w:name w:val="正文缩进 字符"/>
    <w:link w:val="4"/>
    <w:qFormat/>
    <w:uiPriority w:val="0"/>
    <w:rPr>
      <w:rFonts w:ascii="Times New Roman" w:hAnsi="Times New Roman" w:eastAsia="宋体" w:cs="Times New Roman"/>
      <w:szCs w:val="20"/>
    </w:rPr>
  </w:style>
  <w:style w:type="character" w:customStyle="1" w:styleId="17">
    <w:name w:val="正文文本 字符"/>
    <w:basedOn w:val="12"/>
    <w:link w:val="5"/>
    <w:qFormat/>
    <w:uiPriority w:val="0"/>
    <w:rPr>
      <w:rFonts w:ascii="Times New Roman" w:hAnsi="Times New Roman" w:eastAsia="华文隶书" w:cs="Times New Roman"/>
      <w:b/>
      <w:shadow/>
      <w:color w:val="003366"/>
      <w:spacing w:val="20"/>
      <w:sz w:val="64"/>
      <w:szCs w:val="24"/>
    </w:rPr>
  </w:style>
  <w:style w:type="paragraph" w:customStyle="1" w:styleId="18">
    <w:name w:val="Char Char4 Char Char"/>
    <w:basedOn w:val="1"/>
    <w:qFormat/>
    <w:uiPriority w:val="0"/>
    <w:pPr>
      <w:adjustRightInd w:val="0"/>
      <w:spacing w:line="360" w:lineRule="auto"/>
    </w:pPr>
    <w:rPr>
      <w:kern w:val="0"/>
      <w:sz w:val="24"/>
      <w:szCs w:val="20"/>
    </w:rPr>
  </w:style>
  <w:style w:type="paragraph" w:styleId="19">
    <w:name w:val="List Paragraph"/>
    <w:basedOn w:val="1"/>
    <w:qFormat/>
    <w:uiPriority w:val="34"/>
    <w:pPr>
      <w:widowControl/>
      <w:spacing w:afterLines="50"/>
      <w:ind w:firstLine="420" w:firstLineChars="200"/>
      <w:jc w:val="left"/>
    </w:pPr>
    <w:rPr>
      <w:rFonts w:ascii="Book Antiqua" w:hAnsi="Book Antiqua"/>
      <w:kern w:val="0"/>
      <w:szCs w:val="21"/>
      <w:lang w:eastAsia="en-US"/>
    </w:rPr>
  </w:style>
  <w:style w:type="paragraph" w:customStyle="1" w:styleId="20">
    <w:name w:val="_Style 47"/>
    <w:basedOn w:val="1"/>
    <w:next w:val="19"/>
    <w:qFormat/>
    <w:uiPriority w:val="34"/>
    <w:pPr>
      <w:widowControl/>
      <w:spacing w:afterLines="50"/>
      <w:ind w:firstLine="420" w:firstLineChars="200"/>
      <w:jc w:val="left"/>
    </w:pPr>
    <w:rPr>
      <w:rFonts w:ascii="Book Antiqua" w:hAnsi="Book Antiqua"/>
      <w:kern w:val="0"/>
      <w:szCs w:val="21"/>
      <w:lang w:eastAsia="en-US"/>
    </w:rPr>
  </w:style>
  <w:style w:type="character" w:customStyle="1" w:styleId="21">
    <w:name w:val="纯文本 字符"/>
    <w:basedOn w:val="12"/>
    <w:link w:val="6"/>
    <w:qFormat/>
    <w:uiPriority w:val="0"/>
    <w:rPr>
      <w:rFonts w:ascii="宋体" w:hAnsi="Courier New" w:eastAsia="宋体" w:cs="Times New Roman"/>
      <w:szCs w:val="20"/>
    </w:rPr>
  </w:style>
  <w:style w:type="paragraph" w:customStyle="1" w:styleId="22">
    <w:name w:val="字元 字元"/>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character" w:customStyle="1" w:styleId="23">
    <w:name w:val="批注框文本 字符"/>
    <w:basedOn w:val="12"/>
    <w:link w:val="7"/>
    <w:semiHidden/>
    <w:qFormat/>
    <w:uiPriority w:val="99"/>
    <w:rPr>
      <w:rFonts w:ascii="Times New Roman" w:hAnsi="Times New Roman" w:eastAsia="宋体" w:cs="Times New Roman"/>
      <w:sz w:val="18"/>
      <w:szCs w:val="18"/>
    </w:rPr>
  </w:style>
  <w:style w:type="paragraph" w:customStyle="1" w:styleId="24">
    <w:name w:val="Char Char4 Char Char1"/>
    <w:basedOn w:val="1"/>
    <w:qFormat/>
    <w:uiPriority w:val="0"/>
    <w:pPr>
      <w:adjustRightInd w:val="0"/>
      <w:spacing w:line="360" w:lineRule="auto"/>
    </w:pPr>
    <w:rPr>
      <w:kern w:val="0"/>
      <w:sz w:val="24"/>
      <w:szCs w:val="20"/>
    </w:rPr>
  </w:style>
  <w:style w:type="character" w:customStyle="1" w:styleId="25">
    <w:name w:val="标题 2 字符"/>
    <w:basedOn w:val="12"/>
    <w:link w:val="2"/>
    <w:qFormat/>
    <w:uiPriority w:val="0"/>
    <w:rPr>
      <w:rFonts w:ascii="Cambria" w:hAnsi="Cambria" w:eastAsia="宋体" w:cs="Times New Roman"/>
      <w:b/>
      <w:bCs/>
      <w:sz w:val="32"/>
      <w:szCs w:val="32"/>
    </w:rPr>
  </w:style>
  <w:style w:type="paragraph" w:customStyle="1" w:styleId="26">
    <w:name w:val="样式 标题 2 + 新宋体"/>
    <w:basedOn w:val="2"/>
    <w:qFormat/>
    <w:uiPriority w:val="0"/>
    <w:pPr>
      <w:keepLines w:val="0"/>
      <w:widowControl/>
      <w:numPr>
        <w:ilvl w:val="1"/>
        <w:numId w:val="1"/>
      </w:numPr>
      <w:tabs>
        <w:tab w:val="left" w:pos="360"/>
      </w:tabs>
      <w:adjustRightInd w:val="0"/>
      <w:snapToGrid w:val="0"/>
      <w:spacing w:before="240" w:after="240" w:line="360" w:lineRule="auto"/>
      <w:jc w:val="center"/>
      <w:textAlignment w:val="baseline"/>
    </w:pPr>
    <w:rPr>
      <w:rFonts w:ascii="新宋体" w:hAnsi="新宋体" w:eastAsia="黑体"/>
      <w:color w:val="000000"/>
      <w:kern w:val="0"/>
      <w:sz w:val="30"/>
      <w:szCs w:val="20"/>
    </w:rPr>
  </w:style>
  <w:style w:type="paragraph" w:customStyle="1" w:styleId="27">
    <w:name w:val="样式 标题 4 +"/>
    <w:basedOn w:val="3"/>
    <w:qFormat/>
    <w:uiPriority w:val="0"/>
    <w:pPr>
      <w:keepNext w:val="0"/>
      <w:keepLines w:val="0"/>
      <w:numPr>
        <w:ilvl w:val="3"/>
        <w:numId w:val="1"/>
      </w:numPr>
      <w:adjustRightInd w:val="0"/>
      <w:spacing w:before="50" w:beforeLines="50" w:after="50" w:afterLines="50" w:line="500" w:lineRule="exact"/>
      <w:ind w:left="0" w:firstLine="0"/>
      <w:jc w:val="left"/>
      <w:textAlignment w:val="baseline"/>
    </w:pPr>
    <w:rPr>
      <w:rFonts w:ascii="Times New Roman" w:hAnsi="Times New Roman" w:eastAsia="宋体" w:cs="宋体"/>
      <w:b w:val="0"/>
      <w:bCs w:val="0"/>
      <w:kern w:val="0"/>
      <w:sz w:val="21"/>
      <w:szCs w:val="20"/>
    </w:rPr>
  </w:style>
  <w:style w:type="character" w:customStyle="1" w:styleId="28">
    <w:name w:val="标题 4 字符"/>
    <w:basedOn w:val="12"/>
    <w:link w:val="3"/>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上海交通大学医学院附属新华医院</Company>
  <Pages>26</Pages>
  <Words>12998</Words>
  <Characters>13373</Characters>
  <Lines>102</Lines>
  <Paragraphs>28</Paragraphs>
  <TotalTime>20</TotalTime>
  <ScaleCrop>false</ScaleCrop>
  <LinksUpToDate>false</LinksUpToDate>
  <CharactersWithSpaces>13966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2023-12-01T01:08:00Z</dcterms:created>
  <dc:creator>admin</dc:creator>
  <cp:lastModifiedBy>不会起名</cp:lastModifiedBy>
  <cp:lastPrinted>2024-04-03T01:04:00Z</cp:lastPrinted>
  <dcterms:modified xsi:type="dcterms:W3CDTF">2024-07-12T05:52:58Z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06CBB5B5843F479FB9635B37C7D8588F_12</vt:lpwstr>
  </property>
</Properties>
</file>