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6" w:rsidRPr="001D1C86" w:rsidRDefault="00804DCF"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w:t>
      </w:r>
      <w:r w:rsidR="001D1C86" w:rsidRPr="001D1C86">
        <w:rPr>
          <w:rFonts w:ascii="宋体" w:eastAsia="宋体" w:hAnsi="宋体" w:hint="eastAsia"/>
          <w:b/>
          <w:sz w:val="24"/>
          <w:szCs w:val="24"/>
        </w:rPr>
        <w:t>一</w:t>
      </w:r>
      <w:r>
        <w:rPr>
          <w:rFonts w:ascii="宋体" w:eastAsia="宋体" w:hAnsi="宋体" w:hint="eastAsia"/>
          <w:b/>
          <w:sz w:val="24"/>
          <w:szCs w:val="24"/>
        </w:rPr>
        <w:t>）</w:t>
      </w:r>
      <w:r w:rsidR="001D1C86" w:rsidRPr="001D1C86">
        <w:rPr>
          <w:rFonts w:ascii="宋体" w:eastAsia="宋体" w:hAnsi="宋体" w:hint="eastAsia"/>
          <w:b/>
          <w:sz w:val="24"/>
          <w:szCs w:val="24"/>
        </w:rPr>
        <w:t>、项目名称</w:t>
      </w:r>
    </w:p>
    <w:p w:rsidR="00E347A7" w:rsidRDefault="00804DCF" w:rsidP="001D1C86">
      <w:pPr>
        <w:adjustRightInd w:val="0"/>
        <w:snapToGrid w:val="0"/>
        <w:spacing w:line="360" w:lineRule="auto"/>
        <w:rPr>
          <w:rFonts w:ascii="宋体" w:eastAsia="宋体" w:hAnsi="宋体"/>
          <w:sz w:val="24"/>
          <w:szCs w:val="24"/>
        </w:rPr>
      </w:pPr>
      <w:r w:rsidRPr="00804DCF">
        <w:rPr>
          <w:rFonts w:ascii="宋体" w:eastAsia="宋体" w:hAnsi="宋体" w:hint="eastAsia"/>
          <w:sz w:val="24"/>
          <w:szCs w:val="24"/>
        </w:rPr>
        <w:t>计量器具和设备或理化样品的计量测试服务</w:t>
      </w:r>
    </w:p>
    <w:p w:rsidR="001D1C86" w:rsidRPr="001D1C86" w:rsidRDefault="00804DCF"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w:t>
      </w:r>
      <w:r w:rsidRPr="001D1C86">
        <w:rPr>
          <w:rFonts w:ascii="宋体" w:eastAsia="宋体" w:hAnsi="宋体" w:hint="eastAsia"/>
          <w:b/>
          <w:sz w:val="24"/>
          <w:szCs w:val="24"/>
        </w:rPr>
        <w:t>二</w:t>
      </w:r>
      <w:r>
        <w:rPr>
          <w:rFonts w:ascii="宋体" w:eastAsia="宋体" w:hAnsi="宋体" w:hint="eastAsia"/>
          <w:b/>
          <w:sz w:val="24"/>
          <w:szCs w:val="24"/>
        </w:rPr>
        <w:t>）</w:t>
      </w:r>
      <w:r w:rsidR="001D1C86" w:rsidRPr="001D1C86">
        <w:rPr>
          <w:rFonts w:ascii="宋体" w:eastAsia="宋体" w:hAnsi="宋体" w:hint="eastAsia"/>
          <w:b/>
          <w:sz w:val="24"/>
          <w:szCs w:val="24"/>
        </w:rPr>
        <w:t>、项目参数:</w:t>
      </w:r>
    </w:p>
    <w:p w:rsidR="00804DCF" w:rsidRPr="00804DCF" w:rsidRDefault="00804DCF" w:rsidP="00804DCF">
      <w:pPr>
        <w:spacing w:line="360" w:lineRule="auto"/>
        <w:jc w:val="left"/>
        <w:rPr>
          <w:rFonts w:ascii="宋体" w:eastAsia="宋体" w:hAnsi="宋体" w:cs="宋体" w:hint="eastAsia"/>
          <w:b/>
          <w:kern w:val="0"/>
          <w:sz w:val="24"/>
          <w:szCs w:val="24"/>
        </w:rPr>
      </w:pPr>
      <w:r w:rsidRPr="00804DCF">
        <w:rPr>
          <w:rFonts w:ascii="宋体" w:eastAsia="宋体" w:hAnsi="宋体" w:cs="宋体" w:hint="eastAsia"/>
          <w:b/>
          <w:kern w:val="0"/>
          <w:sz w:val="24"/>
          <w:szCs w:val="24"/>
        </w:rPr>
        <w:t>一、总体服务要求：</w:t>
      </w:r>
    </w:p>
    <w:p w:rsidR="00804DCF" w:rsidRPr="00804DCF" w:rsidRDefault="00804DCF" w:rsidP="00804DCF">
      <w:pPr>
        <w:spacing w:line="360" w:lineRule="auto"/>
        <w:ind w:firstLineChars="200" w:firstLine="480"/>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1、服务时间：</w:t>
      </w:r>
      <w:r w:rsidRPr="00804DCF">
        <w:rPr>
          <w:rFonts w:ascii="宋体" w:eastAsia="宋体" w:hAnsi="宋体" w:cs="宋体" w:hint="eastAsia"/>
          <w:kern w:val="0"/>
          <w:sz w:val="24"/>
          <w:szCs w:val="24"/>
        </w:rPr>
        <w:tab/>
        <w:t>合同签订后一年</w:t>
      </w:r>
    </w:p>
    <w:p w:rsidR="00804DCF" w:rsidRPr="00804DCF" w:rsidRDefault="00804DCF" w:rsidP="00804DCF">
      <w:pPr>
        <w:spacing w:line="360" w:lineRule="auto"/>
        <w:ind w:firstLineChars="200" w:firstLine="480"/>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2、服务地点：</w:t>
      </w:r>
      <w:r w:rsidRPr="00804DCF">
        <w:rPr>
          <w:rFonts w:ascii="宋体" w:eastAsia="宋体" w:hAnsi="宋体" w:cs="宋体" w:hint="eastAsia"/>
          <w:kern w:val="0"/>
          <w:sz w:val="24"/>
          <w:szCs w:val="24"/>
        </w:rPr>
        <w:tab/>
        <w:t>新华医院控江路1665号</w:t>
      </w:r>
      <w:r w:rsidRPr="00804DCF">
        <w:rPr>
          <w:rFonts w:ascii="宋体" w:eastAsia="宋体" w:hAnsi="宋体" w:cs="宋体" w:hint="eastAsia"/>
          <w:kern w:val="0"/>
          <w:sz w:val="24"/>
          <w:szCs w:val="24"/>
        </w:rPr>
        <w:tab/>
      </w:r>
      <w:r w:rsidRPr="00804DCF">
        <w:rPr>
          <w:rFonts w:ascii="宋体" w:eastAsia="宋体" w:hAnsi="宋体" w:cs="宋体" w:hint="eastAsia"/>
          <w:kern w:val="0"/>
          <w:sz w:val="24"/>
          <w:szCs w:val="24"/>
        </w:rPr>
        <w:tab/>
      </w:r>
    </w:p>
    <w:p w:rsidR="00804DCF" w:rsidRPr="00804DCF" w:rsidRDefault="00804DCF" w:rsidP="00804DCF">
      <w:pPr>
        <w:spacing w:line="360" w:lineRule="auto"/>
        <w:jc w:val="left"/>
        <w:rPr>
          <w:rFonts w:ascii="宋体" w:eastAsia="宋体" w:hAnsi="宋体" w:cs="宋体" w:hint="eastAsia"/>
          <w:b/>
          <w:kern w:val="0"/>
          <w:sz w:val="24"/>
          <w:szCs w:val="24"/>
        </w:rPr>
      </w:pPr>
      <w:r w:rsidRPr="00804DCF">
        <w:rPr>
          <w:rFonts w:ascii="宋体" w:eastAsia="宋体" w:hAnsi="宋体" w:cs="宋体" w:hint="eastAsia"/>
          <w:b/>
          <w:kern w:val="0"/>
          <w:sz w:val="24"/>
          <w:szCs w:val="24"/>
        </w:rPr>
        <w:t>二、服务内容：</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1、完成新华医院血压计、心电监护仪、心电图机、脑电图机、听力计、压力表等设备的强检服务；完成新华医院氧气吸入器等设备的检定服务；完成新华医院CT、离心机、冰箱、</w:t>
      </w:r>
      <w:proofErr w:type="gramStart"/>
      <w:r w:rsidRPr="00804DCF">
        <w:rPr>
          <w:rFonts w:ascii="宋体" w:eastAsia="宋体" w:hAnsi="宋体" w:cs="宋体" w:hint="eastAsia"/>
          <w:kern w:val="0"/>
          <w:sz w:val="24"/>
          <w:szCs w:val="24"/>
        </w:rPr>
        <w:t>移液器</w:t>
      </w:r>
      <w:proofErr w:type="gramEnd"/>
      <w:r w:rsidRPr="00804DCF">
        <w:rPr>
          <w:rFonts w:ascii="宋体" w:eastAsia="宋体" w:hAnsi="宋体" w:cs="宋体" w:hint="eastAsia"/>
          <w:kern w:val="0"/>
          <w:sz w:val="24"/>
          <w:szCs w:val="24"/>
        </w:rPr>
        <w:t>、秤、胎心监护仪等校准服务。需检测清单及预估数量详见附录1。</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2、提供24小时内服务响应的专职对接人，提供免费送取样和免上门费用的校准服务，还能提供强检免费代取送的服务，特殊情况下提供免费加急服务。</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 xml:space="preserve">3、可提供电子证书与纸质证书两种证书。 </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4、异常样品及时通知客户维修调整，异常样品出现复校情况，</w:t>
      </w:r>
      <w:proofErr w:type="gramStart"/>
      <w:r w:rsidRPr="00804DCF">
        <w:rPr>
          <w:rFonts w:ascii="宋体" w:eastAsia="宋体" w:hAnsi="宋体" w:cs="宋体" w:hint="eastAsia"/>
          <w:kern w:val="0"/>
          <w:sz w:val="24"/>
          <w:szCs w:val="24"/>
        </w:rPr>
        <w:t>不</w:t>
      </w:r>
      <w:proofErr w:type="gramEnd"/>
      <w:r w:rsidRPr="00804DCF">
        <w:rPr>
          <w:rFonts w:ascii="宋体" w:eastAsia="宋体" w:hAnsi="宋体" w:cs="宋体" w:hint="eastAsia"/>
          <w:kern w:val="0"/>
          <w:sz w:val="24"/>
          <w:szCs w:val="24"/>
        </w:rPr>
        <w:t>额外收取费用。</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5、提供免费的台</w:t>
      </w:r>
      <w:proofErr w:type="gramStart"/>
      <w:r w:rsidRPr="00804DCF">
        <w:rPr>
          <w:rFonts w:ascii="宋体" w:eastAsia="宋体" w:hAnsi="宋体" w:cs="宋体" w:hint="eastAsia"/>
          <w:kern w:val="0"/>
          <w:sz w:val="24"/>
          <w:szCs w:val="24"/>
        </w:rPr>
        <w:t>账管理</w:t>
      </w:r>
      <w:proofErr w:type="gramEnd"/>
      <w:r w:rsidRPr="00804DCF">
        <w:rPr>
          <w:rFonts w:ascii="宋体" w:eastAsia="宋体" w:hAnsi="宋体" w:cs="宋体" w:hint="eastAsia"/>
          <w:kern w:val="0"/>
          <w:sz w:val="24"/>
          <w:szCs w:val="24"/>
        </w:rPr>
        <w:t>使用服务；提供培训服务（每年至少2次）；提供设备计量校准方面的技术咨询与解决方案咨询。</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6、针对创建“上海市医疗机构计量示范单位”可提供项目指导服务。</w:t>
      </w:r>
    </w:p>
    <w:p w:rsidR="00804DCF" w:rsidRPr="00804DCF" w:rsidRDefault="00804DCF" w:rsidP="00804DCF">
      <w:pPr>
        <w:spacing w:line="360" w:lineRule="auto"/>
        <w:jc w:val="left"/>
        <w:rPr>
          <w:rFonts w:ascii="宋体" w:eastAsia="宋体" w:hAnsi="宋体" w:cs="宋体" w:hint="eastAsia"/>
          <w:b/>
          <w:kern w:val="0"/>
          <w:sz w:val="24"/>
          <w:szCs w:val="24"/>
        </w:rPr>
      </w:pPr>
      <w:r w:rsidRPr="00804DCF">
        <w:rPr>
          <w:rFonts w:ascii="宋体" w:eastAsia="宋体" w:hAnsi="宋体" w:cs="宋体" w:hint="eastAsia"/>
          <w:b/>
          <w:kern w:val="0"/>
          <w:sz w:val="24"/>
          <w:szCs w:val="24"/>
        </w:rPr>
        <w:t>三、服务详细技术要求</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1、投标人应在具有稳定的技术服务团队，技术人员中具备国家高级工程师不少于1名，一级注册计量师不少于2名，二级注册计量师不少于4名(需提供相应证书资料证明)。</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2、定期校准：依据医院医疗设备到期时间，有序安排校准，不得超过医疗设备有效校准周期。不定期校准：投标人收到医院提出的临时需求后，应在2h内给出回应，按照要求约定上门服务时间。</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3、投标人须对</w:t>
      </w:r>
      <w:proofErr w:type="gramStart"/>
      <w:r w:rsidRPr="00804DCF">
        <w:rPr>
          <w:rFonts w:ascii="宋体" w:eastAsia="宋体" w:hAnsi="宋体" w:cs="宋体" w:hint="eastAsia"/>
          <w:kern w:val="0"/>
          <w:sz w:val="24"/>
          <w:szCs w:val="24"/>
        </w:rPr>
        <w:t>所有已检项目</w:t>
      </w:r>
      <w:proofErr w:type="gramEnd"/>
      <w:r w:rsidRPr="00804DCF">
        <w:rPr>
          <w:rFonts w:ascii="宋体" w:eastAsia="宋体" w:hAnsi="宋体" w:cs="宋体" w:hint="eastAsia"/>
          <w:kern w:val="0"/>
          <w:sz w:val="24"/>
          <w:szCs w:val="24"/>
        </w:rPr>
        <w:t>均可溯源，查询原始记录，并提供标准器溯源证明。免费提供证书遗失补打，更改的服务。</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4、检测完成后应提供以下两种报告：</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（1）提供中标人的格式服务报告。</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lastRenderedPageBreak/>
        <w:t>（2）提供有测量、检定、校准国家认证资质的检测报告。</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5、对于首次检测结果为“不合格”的器具或设备，应给招标人两次整改并复测的机会。如经两次复测结果还是“不合格”，才能最终作“不合格”的结论。</w:t>
      </w:r>
    </w:p>
    <w:p w:rsidR="00804DCF" w:rsidRPr="00804DCF" w:rsidRDefault="00804DCF" w:rsidP="00804DCF">
      <w:pPr>
        <w:rPr>
          <w:rFonts w:ascii="宋体" w:eastAsia="宋体" w:hAnsi="宋体"/>
          <w:b/>
          <w:bCs/>
          <w:sz w:val="24"/>
          <w:szCs w:val="24"/>
        </w:rPr>
      </w:pPr>
      <w:r w:rsidRPr="00804DCF">
        <w:rPr>
          <w:rFonts w:ascii="宋体" w:eastAsia="宋体" w:hAnsi="宋体" w:hint="eastAsia"/>
          <w:b/>
          <w:bCs/>
          <w:sz w:val="24"/>
          <w:szCs w:val="24"/>
        </w:rPr>
        <w:t>附录1：</w:t>
      </w:r>
    </w:p>
    <w:p w:rsidR="00804DCF" w:rsidRPr="00804DCF" w:rsidRDefault="00804DCF" w:rsidP="00804DCF">
      <w:pPr>
        <w:rPr>
          <w:rFonts w:ascii="宋体" w:eastAsia="宋体" w:hAnsi="宋体" w:hint="eastAsia"/>
          <w:sz w:val="24"/>
          <w:szCs w:val="24"/>
        </w:rPr>
      </w:pPr>
    </w:p>
    <w:tbl>
      <w:tblPr>
        <w:tblW w:w="95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080"/>
        <w:gridCol w:w="1471"/>
        <w:gridCol w:w="2271"/>
        <w:gridCol w:w="1131"/>
        <w:gridCol w:w="1426"/>
      </w:tblGrid>
      <w:tr w:rsidR="00804DCF" w:rsidRPr="00804DCF" w:rsidTr="00AF5B57">
        <w:trPr>
          <w:trHeight w:val="300"/>
        </w:trPr>
        <w:tc>
          <w:tcPr>
            <w:tcW w:w="2142" w:type="dxa"/>
            <w:shd w:val="clear" w:color="auto" w:fill="auto"/>
            <w:vAlign w:val="center"/>
            <w:hideMark/>
          </w:tcPr>
          <w:p w:rsidR="00804DCF" w:rsidRPr="00804DCF" w:rsidRDefault="00804DCF" w:rsidP="00AF5B57">
            <w:pPr>
              <w:jc w:val="center"/>
              <w:rPr>
                <w:rFonts w:ascii="宋体" w:eastAsia="宋体" w:hAnsi="宋体" w:cs="宋体"/>
                <w:b/>
                <w:bCs/>
                <w:color w:val="000000"/>
                <w:kern w:val="0"/>
                <w:sz w:val="24"/>
                <w:szCs w:val="24"/>
              </w:rPr>
            </w:pPr>
            <w:r w:rsidRPr="00804DCF">
              <w:rPr>
                <w:rFonts w:ascii="宋体" w:eastAsia="宋体" w:hAnsi="宋体" w:cs="宋体" w:hint="eastAsia"/>
                <w:b/>
                <w:bCs/>
                <w:color w:val="000000"/>
                <w:kern w:val="0"/>
                <w:sz w:val="24"/>
                <w:szCs w:val="24"/>
              </w:rPr>
              <w:t>品名</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b/>
                <w:bCs/>
                <w:color w:val="000000"/>
                <w:kern w:val="0"/>
                <w:sz w:val="24"/>
                <w:szCs w:val="24"/>
              </w:rPr>
            </w:pPr>
            <w:r w:rsidRPr="00804DCF">
              <w:rPr>
                <w:rFonts w:ascii="宋体" w:eastAsia="宋体" w:hAnsi="宋体" w:cs="宋体" w:hint="eastAsia"/>
                <w:b/>
                <w:bCs/>
                <w:color w:val="000000"/>
                <w:kern w:val="0"/>
                <w:sz w:val="24"/>
                <w:szCs w:val="24"/>
              </w:rPr>
              <w:t>预估数量</w:t>
            </w:r>
          </w:p>
        </w:tc>
        <w:tc>
          <w:tcPr>
            <w:tcW w:w="1471" w:type="dxa"/>
            <w:vAlign w:val="center"/>
          </w:tcPr>
          <w:p w:rsidR="00804DCF" w:rsidRPr="00804DCF" w:rsidRDefault="00804DCF" w:rsidP="00AF5B57">
            <w:pPr>
              <w:jc w:val="center"/>
              <w:rPr>
                <w:rFonts w:ascii="宋体" w:eastAsia="宋体" w:hAnsi="宋体" w:cs="宋体" w:hint="eastAsia"/>
                <w:b/>
                <w:bCs/>
                <w:color w:val="000000"/>
                <w:kern w:val="0"/>
                <w:sz w:val="24"/>
                <w:szCs w:val="24"/>
              </w:rPr>
            </w:pPr>
            <w:r w:rsidRPr="00804DCF">
              <w:rPr>
                <w:rFonts w:ascii="宋体" w:eastAsia="宋体" w:hAnsi="宋体" w:cs="宋体" w:hint="eastAsia"/>
                <w:b/>
                <w:bCs/>
                <w:color w:val="000000"/>
                <w:kern w:val="0"/>
                <w:sz w:val="24"/>
                <w:szCs w:val="24"/>
              </w:rPr>
              <w:t>服务内容</w:t>
            </w:r>
          </w:p>
        </w:tc>
        <w:tc>
          <w:tcPr>
            <w:tcW w:w="2271" w:type="dxa"/>
            <w:shd w:val="clear" w:color="auto" w:fill="auto"/>
            <w:vAlign w:val="center"/>
            <w:hideMark/>
          </w:tcPr>
          <w:p w:rsidR="00804DCF" w:rsidRPr="00804DCF" w:rsidRDefault="00804DCF" w:rsidP="00AF5B57">
            <w:pPr>
              <w:jc w:val="center"/>
              <w:rPr>
                <w:rFonts w:ascii="宋体" w:eastAsia="宋体" w:hAnsi="宋体" w:cs="宋体"/>
                <w:b/>
                <w:bCs/>
                <w:color w:val="000000"/>
                <w:kern w:val="0"/>
                <w:sz w:val="24"/>
                <w:szCs w:val="24"/>
              </w:rPr>
            </w:pPr>
            <w:r w:rsidRPr="00804DCF">
              <w:rPr>
                <w:rFonts w:ascii="宋体" w:eastAsia="宋体" w:hAnsi="宋体" w:cs="宋体" w:hint="eastAsia"/>
                <w:b/>
                <w:bCs/>
                <w:color w:val="000000"/>
                <w:kern w:val="0"/>
                <w:sz w:val="24"/>
                <w:szCs w:val="24"/>
              </w:rPr>
              <w:t>品名</w:t>
            </w:r>
          </w:p>
        </w:tc>
        <w:tc>
          <w:tcPr>
            <w:tcW w:w="1131" w:type="dxa"/>
            <w:shd w:val="clear" w:color="auto" w:fill="auto"/>
            <w:vAlign w:val="center"/>
            <w:hideMark/>
          </w:tcPr>
          <w:p w:rsidR="00804DCF" w:rsidRPr="00804DCF" w:rsidRDefault="00804DCF" w:rsidP="00AF5B57">
            <w:pPr>
              <w:jc w:val="center"/>
              <w:rPr>
                <w:rFonts w:ascii="宋体" w:eastAsia="宋体" w:hAnsi="宋体" w:cs="宋体"/>
                <w:b/>
                <w:bCs/>
                <w:color w:val="000000"/>
                <w:kern w:val="0"/>
                <w:sz w:val="24"/>
                <w:szCs w:val="24"/>
              </w:rPr>
            </w:pPr>
            <w:r w:rsidRPr="00804DCF">
              <w:rPr>
                <w:rFonts w:ascii="宋体" w:eastAsia="宋体" w:hAnsi="宋体" w:cs="宋体" w:hint="eastAsia"/>
                <w:b/>
                <w:bCs/>
                <w:color w:val="000000"/>
                <w:kern w:val="0"/>
                <w:sz w:val="24"/>
                <w:szCs w:val="24"/>
              </w:rPr>
              <w:t>预估数量</w:t>
            </w:r>
          </w:p>
        </w:tc>
        <w:tc>
          <w:tcPr>
            <w:tcW w:w="1426" w:type="dxa"/>
            <w:vAlign w:val="center"/>
          </w:tcPr>
          <w:p w:rsidR="00804DCF" w:rsidRPr="00804DCF" w:rsidRDefault="00804DCF" w:rsidP="00AF5B57">
            <w:pPr>
              <w:jc w:val="center"/>
              <w:rPr>
                <w:rFonts w:ascii="宋体" w:eastAsia="宋体" w:hAnsi="宋体" w:cs="宋体" w:hint="eastAsia"/>
                <w:b/>
                <w:bCs/>
                <w:color w:val="000000"/>
                <w:kern w:val="0"/>
                <w:sz w:val="24"/>
                <w:szCs w:val="24"/>
              </w:rPr>
            </w:pPr>
            <w:r w:rsidRPr="00804DCF">
              <w:rPr>
                <w:rFonts w:ascii="宋体" w:eastAsia="宋体" w:hAnsi="宋体" w:cs="宋体" w:hint="eastAsia"/>
                <w:b/>
                <w:bCs/>
                <w:color w:val="000000"/>
                <w:kern w:val="0"/>
                <w:sz w:val="24"/>
                <w:szCs w:val="24"/>
              </w:rPr>
              <w:t>服务内容</w:t>
            </w:r>
          </w:p>
        </w:tc>
      </w:tr>
      <w:tr w:rsidR="00804DCF" w:rsidRPr="00804DCF" w:rsidTr="00AF5B57">
        <w:trPr>
          <w:trHeight w:val="55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水银血压计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351</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血球分析仪</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22</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电子血压计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80</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人体秤</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43</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30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心电图</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38</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离心机</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38</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脑电图</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5</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自动旋光仪</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动态心电图</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99</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酶</w:t>
            </w:r>
            <w:proofErr w:type="gramStart"/>
            <w:r w:rsidRPr="00804DCF">
              <w:rPr>
                <w:rFonts w:ascii="宋体" w:eastAsia="宋体" w:hAnsi="宋体" w:cs="宋体" w:hint="eastAsia"/>
                <w:color w:val="000000"/>
                <w:kern w:val="0"/>
                <w:sz w:val="24"/>
                <w:szCs w:val="24"/>
              </w:rPr>
              <w:t>标分析</w:t>
            </w:r>
            <w:proofErr w:type="gramEnd"/>
            <w:r w:rsidRPr="00804DCF">
              <w:rPr>
                <w:rFonts w:ascii="宋体" w:eastAsia="宋体" w:hAnsi="宋体" w:cs="宋体" w:hint="eastAsia"/>
                <w:color w:val="000000"/>
                <w:kern w:val="0"/>
                <w:sz w:val="24"/>
                <w:szCs w:val="24"/>
              </w:rPr>
              <w:t>仪</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4</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活度计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w:t>
            </w:r>
          </w:p>
        </w:tc>
        <w:tc>
          <w:tcPr>
            <w:tcW w:w="1471"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电声测听室</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5</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78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治疗水平电离室剂量计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电热恒温水槽</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20</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听力计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9</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生物安全柜</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30</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验光镜片箱</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4</w:t>
            </w:r>
          </w:p>
        </w:tc>
        <w:tc>
          <w:tcPr>
            <w:tcW w:w="1471"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机械式温湿度计</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5</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焦度计</w:t>
            </w:r>
          </w:p>
        </w:tc>
        <w:tc>
          <w:tcPr>
            <w:tcW w:w="1080"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71"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proofErr w:type="gramStart"/>
            <w:r w:rsidRPr="00804DCF">
              <w:rPr>
                <w:rFonts w:ascii="宋体" w:eastAsia="宋体" w:hAnsi="宋体" w:cs="宋体" w:hint="eastAsia"/>
                <w:color w:val="000000"/>
                <w:kern w:val="0"/>
                <w:sz w:val="24"/>
                <w:szCs w:val="24"/>
              </w:rPr>
              <w:t>可调移液器</w:t>
            </w:r>
            <w:proofErr w:type="gramEnd"/>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120</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多参数监护仪</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1237</w:t>
            </w:r>
          </w:p>
        </w:tc>
        <w:tc>
          <w:tcPr>
            <w:tcW w:w="1471"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电导仪</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医用诊断X辐射源</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14</w:t>
            </w:r>
          </w:p>
        </w:tc>
        <w:tc>
          <w:tcPr>
            <w:tcW w:w="1471"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电动吸引器</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70</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78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压力表（</w:t>
            </w:r>
            <w:proofErr w:type="gramStart"/>
            <w:r w:rsidRPr="00804DCF">
              <w:rPr>
                <w:rFonts w:ascii="宋体" w:eastAsia="宋体" w:hAnsi="宋体" w:cs="宋体" w:hint="eastAsia"/>
                <w:color w:val="000000"/>
                <w:kern w:val="0"/>
                <w:sz w:val="24"/>
                <w:szCs w:val="24"/>
              </w:rPr>
              <w:t>非安全</w:t>
            </w:r>
            <w:proofErr w:type="gramEnd"/>
            <w:r w:rsidRPr="00804DCF">
              <w:rPr>
                <w:rFonts w:ascii="宋体" w:eastAsia="宋体" w:hAnsi="宋体" w:cs="宋体" w:hint="eastAsia"/>
                <w:color w:val="000000"/>
                <w:kern w:val="0"/>
                <w:sz w:val="24"/>
                <w:szCs w:val="24"/>
              </w:rPr>
              <w:t>防护）</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162</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骨密度仪</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78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氧气吸入器（半年1次）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2680</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hint="eastAsia"/>
                <w:sz w:val="24"/>
                <w:szCs w:val="24"/>
              </w:rPr>
              <w:t>强检</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量筒</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78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负压吸引器（半年1次）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860</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冰箱/超低温冰箱</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20</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30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B超</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62</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CT</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15</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30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pH酸度计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加速器</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w:t>
            </w:r>
          </w:p>
        </w:tc>
        <w:tc>
          <w:tcPr>
            <w:tcW w:w="1426"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激光治疗仪</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18</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CR,DR</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18</w:t>
            </w:r>
          </w:p>
        </w:tc>
        <w:tc>
          <w:tcPr>
            <w:tcW w:w="1426"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78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分光光度计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3</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全景牙科X射线辐射源</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w:t>
            </w:r>
          </w:p>
        </w:tc>
        <w:tc>
          <w:tcPr>
            <w:tcW w:w="1426"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lastRenderedPageBreak/>
              <w:t>秤（电子秤）</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51</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DSA</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7</w:t>
            </w:r>
          </w:p>
        </w:tc>
        <w:tc>
          <w:tcPr>
            <w:tcW w:w="1426"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103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玻璃液体温度计</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7</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医用γ射线后装近距离治疗辐射源</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1</w:t>
            </w:r>
          </w:p>
        </w:tc>
        <w:tc>
          <w:tcPr>
            <w:tcW w:w="1426"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天平</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22</w:t>
            </w:r>
          </w:p>
        </w:tc>
        <w:tc>
          <w:tcPr>
            <w:tcW w:w="1471"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胎心监护仪</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31</w:t>
            </w:r>
          </w:p>
        </w:tc>
        <w:tc>
          <w:tcPr>
            <w:tcW w:w="1426"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30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砝码</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68</w:t>
            </w:r>
          </w:p>
        </w:tc>
        <w:tc>
          <w:tcPr>
            <w:tcW w:w="1471"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超净台</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2</w:t>
            </w:r>
          </w:p>
        </w:tc>
        <w:tc>
          <w:tcPr>
            <w:tcW w:w="1426" w:type="dxa"/>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525"/>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水平</w:t>
            </w:r>
            <w:proofErr w:type="gramStart"/>
            <w:r w:rsidRPr="00804DCF">
              <w:rPr>
                <w:rFonts w:ascii="宋体" w:eastAsia="宋体" w:hAnsi="宋体" w:cs="宋体" w:hint="eastAsia"/>
                <w:color w:val="000000"/>
                <w:kern w:val="0"/>
                <w:sz w:val="24"/>
                <w:szCs w:val="24"/>
              </w:rPr>
              <w:t>层流台</w:t>
            </w:r>
            <w:proofErr w:type="gramEnd"/>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6</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医用超声诊断仪</w:t>
            </w: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63</w:t>
            </w: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kern w:val="0"/>
                <w:sz w:val="24"/>
                <w:szCs w:val="24"/>
              </w:rPr>
              <w:t>校准</w:t>
            </w:r>
          </w:p>
        </w:tc>
      </w:tr>
      <w:tr w:rsidR="00804DCF" w:rsidRPr="00804DCF" w:rsidTr="00AF5B57">
        <w:trPr>
          <w:trHeight w:val="1290"/>
        </w:trPr>
        <w:tc>
          <w:tcPr>
            <w:tcW w:w="2142"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聚合酶链反应（PCR）分析仪、基因扩增仪</w:t>
            </w:r>
          </w:p>
        </w:tc>
        <w:tc>
          <w:tcPr>
            <w:tcW w:w="1080" w:type="dxa"/>
            <w:shd w:val="clear" w:color="auto" w:fill="auto"/>
            <w:noWrap/>
            <w:vAlign w:val="center"/>
            <w:hideMark/>
          </w:tcPr>
          <w:p w:rsidR="00804DCF" w:rsidRPr="00804DCF" w:rsidRDefault="00804DCF" w:rsidP="00AF5B57">
            <w:pPr>
              <w:jc w:val="center"/>
              <w:rPr>
                <w:rFonts w:ascii="宋体" w:eastAsia="宋体" w:hAnsi="宋体" w:cs="宋体"/>
                <w:color w:val="000000"/>
                <w:kern w:val="0"/>
                <w:sz w:val="24"/>
                <w:szCs w:val="24"/>
              </w:rPr>
            </w:pPr>
            <w:r w:rsidRPr="00804DCF">
              <w:rPr>
                <w:rFonts w:ascii="宋体" w:eastAsia="宋体" w:hAnsi="宋体" w:cs="宋体" w:hint="eastAsia"/>
                <w:color w:val="000000"/>
                <w:kern w:val="0"/>
                <w:sz w:val="24"/>
                <w:szCs w:val="24"/>
              </w:rPr>
              <w:t>9</w:t>
            </w:r>
          </w:p>
        </w:tc>
        <w:tc>
          <w:tcPr>
            <w:tcW w:w="1471" w:type="dxa"/>
            <w:vAlign w:val="center"/>
          </w:tcPr>
          <w:p w:rsidR="00804DCF" w:rsidRPr="00804DCF" w:rsidRDefault="00804DCF" w:rsidP="00AF5B57">
            <w:pPr>
              <w:jc w:val="center"/>
              <w:rPr>
                <w:rFonts w:ascii="宋体" w:eastAsia="宋体" w:hAnsi="宋体" w:cs="宋体" w:hint="eastAsia"/>
                <w:color w:val="000000"/>
                <w:kern w:val="0"/>
                <w:sz w:val="24"/>
                <w:szCs w:val="24"/>
              </w:rPr>
            </w:pPr>
            <w:r w:rsidRPr="00804DCF">
              <w:rPr>
                <w:rFonts w:ascii="宋体" w:eastAsia="宋体" w:hAnsi="宋体" w:cs="宋体" w:hint="eastAsia"/>
                <w:color w:val="000000"/>
                <w:kern w:val="0"/>
                <w:sz w:val="24"/>
                <w:szCs w:val="24"/>
              </w:rPr>
              <w:t>校准</w:t>
            </w:r>
          </w:p>
        </w:tc>
        <w:tc>
          <w:tcPr>
            <w:tcW w:w="227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p>
        </w:tc>
        <w:tc>
          <w:tcPr>
            <w:tcW w:w="1131" w:type="dxa"/>
            <w:shd w:val="clear" w:color="auto" w:fill="auto"/>
            <w:vAlign w:val="center"/>
            <w:hideMark/>
          </w:tcPr>
          <w:p w:rsidR="00804DCF" w:rsidRPr="00804DCF" w:rsidRDefault="00804DCF" w:rsidP="00AF5B57">
            <w:pPr>
              <w:jc w:val="center"/>
              <w:rPr>
                <w:rFonts w:ascii="宋体" w:eastAsia="宋体" w:hAnsi="宋体" w:cs="宋体"/>
                <w:color w:val="000000"/>
                <w:kern w:val="0"/>
                <w:sz w:val="24"/>
                <w:szCs w:val="24"/>
              </w:rPr>
            </w:pPr>
          </w:p>
        </w:tc>
        <w:tc>
          <w:tcPr>
            <w:tcW w:w="1426" w:type="dxa"/>
            <w:vAlign w:val="center"/>
          </w:tcPr>
          <w:p w:rsidR="00804DCF" w:rsidRPr="00804DCF" w:rsidRDefault="00804DCF" w:rsidP="00AF5B57">
            <w:pPr>
              <w:jc w:val="center"/>
              <w:rPr>
                <w:rFonts w:ascii="宋体" w:eastAsia="宋体" w:hAnsi="宋体" w:cs="宋体" w:hint="eastAsia"/>
                <w:color w:val="000000"/>
                <w:kern w:val="0"/>
                <w:sz w:val="24"/>
                <w:szCs w:val="24"/>
              </w:rPr>
            </w:pPr>
          </w:p>
        </w:tc>
      </w:tr>
    </w:tbl>
    <w:p w:rsidR="00804DCF" w:rsidRPr="00804DCF" w:rsidRDefault="00804DCF" w:rsidP="00804DCF">
      <w:pPr>
        <w:spacing w:line="360" w:lineRule="auto"/>
        <w:jc w:val="left"/>
        <w:rPr>
          <w:rFonts w:ascii="宋体" w:eastAsia="宋体" w:hAnsi="宋体" w:cs="宋体" w:hint="eastAsia"/>
          <w:b/>
          <w:kern w:val="0"/>
          <w:sz w:val="24"/>
          <w:szCs w:val="24"/>
        </w:rPr>
      </w:pPr>
      <w:r w:rsidRPr="00804DCF">
        <w:rPr>
          <w:rFonts w:ascii="宋体" w:eastAsia="宋体" w:hAnsi="宋体" w:cs="宋体" w:hint="eastAsia"/>
          <w:b/>
          <w:kern w:val="0"/>
          <w:sz w:val="24"/>
          <w:szCs w:val="24"/>
        </w:rPr>
        <w:t>四、检测依据</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计量校准服务需要依照国家规定的检定规程或校准规范进行。符合中国合格评定国家认可委员会CNAS资质的标准。</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包括但不限于：</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氧气吸入器：JJG 913-2015《浮标式氧气吸入器检定规程》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负压吸引器：JJF 1810-2020《医用吸引器校准规范》</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B超：JJG 639-1998 《医用超声诊断仪超声源检定规程》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PH酸度计：JJG 119-2018《实验室pH(酸度)计检定规程》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激光治疗仪：JJG 581-2016《医用激光源检定规程》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分光光度计：JJG 178-2007《紫外、可见、近红外分光光度计》</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电子秤/人体秤：JJG 539-2016《数字指示秤检定规程》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天平：JJG 1036-2022《电子天平检定规程》/JJF 1847-2020《电子天平校准规范》</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血球分析仪：JJG 714-2012《血细胞分析仪检定规程》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离心机：JJF 2004-2022《医用离心机校准规范》</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自动旋光仪：JJG 536-2015《旋光仪及旋光糖量计》</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酶</w:t>
      </w:r>
      <w:proofErr w:type="gramStart"/>
      <w:r w:rsidRPr="00804DCF">
        <w:rPr>
          <w:rFonts w:ascii="宋体" w:eastAsia="宋体" w:hAnsi="宋体" w:cs="宋体" w:hint="eastAsia"/>
          <w:kern w:val="0"/>
          <w:sz w:val="24"/>
          <w:szCs w:val="24"/>
        </w:rPr>
        <w:t>标分析</w:t>
      </w:r>
      <w:proofErr w:type="gramEnd"/>
      <w:r w:rsidRPr="00804DCF">
        <w:rPr>
          <w:rFonts w:ascii="宋体" w:eastAsia="宋体" w:hAnsi="宋体" w:cs="宋体" w:hint="eastAsia"/>
          <w:kern w:val="0"/>
          <w:sz w:val="24"/>
          <w:szCs w:val="24"/>
        </w:rPr>
        <w:t>仪：JJG 861-2007《酶标分析仪检定规程》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电热恒温水槽：JJF 1030-2010《恒温槽技术性能测试规范》</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生物安全柜：YY0569-2011《Ⅱ级生物安全柜》、JJF1815-2020《II级生物安全柜校准规范》</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lastRenderedPageBreak/>
        <w:t>机械式温湿度计：JJG 205-2005《机械式温湿度计检定规程》</w:t>
      </w:r>
    </w:p>
    <w:p w:rsidR="00804DCF" w:rsidRPr="00804DCF" w:rsidRDefault="00804DCF" w:rsidP="00804DCF">
      <w:pPr>
        <w:spacing w:line="360" w:lineRule="auto"/>
        <w:jc w:val="left"/>
        <w:rPr>
          <w:rFonts w:ascii="宋体" w:eastAsia="宋体" w:hAnsi="宋体" w:cs="宋体" w:hint="eastAsia"/>
          <w:kern w:val="0"/>
          <w:sz w:val="24"/>
          <w:szCs w:val="24"/>
        </w:rPr>
      </w:pPr>
      <w:proofErr w:type="gramStart"/>
      <w:r w:rsidRPr="00804DCF">
        <w:rPr>
          <w:rFonts w:ascii="宋体" w:eastAsia="宋体" w:hAnsi="宋体" w:cs="宋体" w:hint="eastAsia"/>
          <w:kern w:val="0"/>
          <w:sz w:val="24"/>
          <w:szCs w:val="24"/>
        </w:rPr>
        <w:t>可调移液器</w:t>
      </w:r>
      <w:proofErr w:type="gramEnd"/>
      <w:r w:rsidRPr="00804DCF">
        <w:rPr>
          <w:rFonts w:ascii="宋体" w:eastAsia="宋体" w:hAnsi="宋体" w:cs="宋体" w:hint="eastAsia"/>
          <w:kern w:val="0"/>
          <w:sz w:val="24"/>
          <w:szCs w:val="24"/>
        </w:rPr>
        <w:t>：JJG 646-2006《移液器检定规程》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电导仪：JJG 376-2007《电导率仪检定规程》</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电动吸引器：JJF 1810-2020《医用吸引器校准规范》</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冰箱/超低温冰箱：JJF 1101-2019 《环境试验设备温度、湿度参数校准规范》</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CT：JJG 961-2017《医用诊断螺旋计算机断层摄影装置（CT) X射线辐射源》</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CR、DR：JJG 1078-2012《医用数字摄影（CR、DR）系统X射线辐射源》</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全景牙科X射线辐射源：JJG 1101-2014《医用诊断全景牙科 X射线辐射源》</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DSA：JJG 1067-2011《医用诊断数字减影血管造影(DSA)系统X射线辐射源》</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胎心监护仪：JJG 394- 1997《超声多普勒胎儿监护仪超声源》</w:t>
      </w:r>
    </w:p>
    <w:p w:rsidR="00804DCF" w:rsidRPr="00804DCF" w:rsidRDefault="00804DCF" w:rsidP="00804DCF">
      <w:pPr>
        <w:spacing w:line="360" w:lineRule="auto"/>
        <w:jc w:val="left"/>
        <w:rPr>
          <w:rFonts w:ascii="宋体" w:eastAsia="宋体" w:hAnsi="宋体" w:cs="宋体" w:hint="eastAsia"/>
          <w:kern w:val="0"/>
          <w:sz w:val="24"/>
          <w:szCs w:val="24"/>
        </w:rPr>
      </w:pPr>
      <w:r w:rsidRPr="00804DCF">
        <w:rPr>
          <w:rFonts w:ascii="宋体" w:eastAsia="宋体" w:hAnsi="宋体" w:cs="宋体" w:hint="eastAsia"/>
          <w:kern w:val="0"/>
          <w:sz w:val="24"/>
          <w:szCs w:val="24"/>
        </w:rPr>
        <w:t>以上如有不足和错误以最新的标准和现行国家规范为准。</w:t>
      </w:r>
    </w:p>
    <w:p w:rsidR="00804DCF" w:rsidRPr="00804DCF" w:rsidRDefault="00804DCF" w:rsidP="00804DCF">
      <w:pPr>
        <w:spacing w:line="360" w:lineRule="auto"/>
        <w:jc w:val="left"/>
        <w:rPr>
          <w:rFonts w:ascii="宋体" w:eastAsia="宋体" w:hAnsi="宋体" w:cs="宋体"/>
          <w:b/>
          <w:kern w:val="0"/>
          <w:sz w:val="24"/>
          <w:szCs w:val="24"/>
        </w:rPr>
      </w:pPr>
      <w:r w:rsidRPr="00804DCF">
        <w:rPr>
          <w:rFonts w:ascii="宋体" w:eastAsia="宋体" w:hAnsi="宋体" w:cs="宋体" w:hint="eastAsia"/>
          <w:b/>
          <w:kern w:val="0"/>
          <w:sz w:val="24"/>
          <w:szCs w:val="24"/>
        </w:rPr>
        <w:t>五、检测设备</w:t>
      </w:r>
    </w:p>
    <w:p w:rsidR="00804DCF" w:rsidRPr="00804DCF" w:rsidRDefault="00804DCF" w:rsidP="00804DCF">
      <w:pPr>
        <w:tabs>
          <w:tab w:val="left" w:pos="426"/>
        </w:tabs>
        <w:snapToGrid w:val="0"/>
        <w:spacing w:line="360" w:lineRule="auto"/>
        <w:jc w:val="left"/>
        <w:rPr>
          <w:rFonts w:ascii="宋体" w:eastAsia="宋体" w:hAnsi="宋体"/>
          <w:sz w:val="24"/>
          <w:szCs w:val="24"/>
        </w:rPr>
      </w:pPr>
      <w:r w:rsidRPr="00804DCF">
        <w:rPr>
          <w:rFonts w:ascii="宋体" w:eastAsia="宋体" w:hAnsi="宋体" w:hint="eastAsia"/>
          <w:sz w:val="24"/>
          <w:szCs w:val="24"/>
        </w:rPr>
        <w:t>供应商应在响应文件中提供用于本项目的检测设备清单。</w:t>
      </w:r>
    </w:p>
    <w:p w:rsidR="00804DCF" w:rsidRPr="00804DCF" w:rsidRDefault="00804DCF" w:rsidP="00804DCF">
      <w:pPr>
        <w:spacing w:line="360" w:lineRule="auto"/>
        <w:jc w:val="left"/>
        <w:rPr>
          <w:rFonts w:ascii="宋体" w:eastAsia="宋体" w:hAnsi="宋体" w:cs="宋体"/>
          <w:b/>
          <w:kern w:val="0"/>
          <w:sz w:val="24"/>
          <w:szCs w:val="24"/>
        </w:rPr>
      </w:pPr>
      <w:r w:rsidRPr="00804DCF">
        <w:rPr>
          <w:rFonts w:ascii="宋体" w:eastAsia="宋体" w:hAnsi="宋体" w:cs="宋体" w:hint="eastAsia"/>
          <w:b/>
          <w:kern w:val="0"/>
          <w:sz w:val="24"/>
          <w:szCs w:val="24"/>
        </w:rPr>
        <w:t>六、验收方式</w:t>
      </w:r>
    </w:p>
    <w:p w:rsidR="00804DCF" w:rsidRPr="00804DCF" w:rsidRDefault="00804DCF" w:rsidP="00804DCF">
      <w:pPr>
        <w:numPr>
          <w:ilvl w:val="0"/>
          <w:numId w:val="3"/>
        </w:numPr>
        <w:spacing w:line="360" w:lineRule="auto"/>
        <w:rPr>
          <w:rFonts w:ascii="宋体" w:eastAsia="宋体" w:hAnsi="宋体"/>
          <w:sz w:val="24"/>
          <w:szCs w:val="24"/>
        </w:rPr>
      </w:pPr>
      <w:r w:rsidRPr="00804DCF">
        <w:rPr>
          <w:rFonts w:ascii="宋体" w:eastAsia="宋体" w:hAnsi="宋体" w:hint="eastAsia"/>
          <w:sz w:val="24"/>
          <w:szCs w:val="24"/>
        </w:rPr>
        <w:t>供应商在规定时间内完成各项工作、出具两种报告视为验收通过。</w:t>
      </w:r>
    </w:p>
    <w:p w:rsidR="00804DCF" w:rsidRPr="00804DCF" w:rsidRDefault="00804DCF" w:rsidP="00804DCF">
      <w:pPr>
        <w:numPr>
          <w:ilvl w:val="0"/>
          <w:numId w:val="3"/>
        </w:numPr>
        <w:spacing w:line="360" w:lineRule="auto"/>
        <w:rPr>
          <w:rFonts w:ascii="宋体" w:eastAsia="宋体" w:hAnsi="宋体"/>
          <w:sz w:val="24"/>
          <w:szCs w:val="24"/>
        </w:rPr>
      </w:pPr>
      <w:r w:rsidRPr="00804DCF">
        <w:rPr>
          <w:rFonts w:ascii="宋体" w:eastAsia="宋体" w:hAnsi="宋体" w:hint="eastAsia"/>
          <w:sz w:val="24"/>
          <w:szCs w:val="24"/>
        </w:rPr>
        <w:t>如果属于供应商原因致使未能通过验收，供应商应当排除，并自行承担相关费用，直至服务完全符合验收标准。</w:t>
      </w:r>
    </w:p>
    <w:p w:rsidR="00804DCF" w:rsidRPr="00804DCF" w:rsidRDefault="00804DCF" w:rsidP="00804DCF">
      <w:pPr>
        <w:spacing w:line="360" w:lineRule="auto"/>
        <w:jc w:val="left"/>
        <w:rPr>
          <w:rFonts w:ascii="宋体" w:eastAsia="宋体" w:hAnsi="宋体" w:cs="宋体"/>
          <w:b/>
          <w:kern w:val="0"/>
          <w:sz w:val="24"/>
          <w:szCs w:val="24"/>
        </w:rPr>
      </w:pPr>
      <w:r w:rsidRPr="00804DCF">
        <w:rPr>
          <w:rFonts w:ascii="宋体" w:eastAsia="宋体" w:hAnsi="宋体" w:cs="宋体" w:hint="eastAsia"/>
          <w:b/>
          <w:kern w:val="0"/>
          <w:sz w:val="24"/>
          <w:szCs w:val="24"/>
        </w:rPr>
        <w:t>七、服务费用</w:t>
      </w:r>
    </w:p>
    <w:p w:rsidR="00804DCF" w:rsidRPr="00804DCF" w:rsidRDefault="00804DCF" w:rsidP="00804DCF">
      <w:pPr>
        <w:spacing w:line="360" w:lineRule="auto"/>
        <w:ind w:firstLineChars="200" w:firstLine="480"/>
        <w:jc w:val="left"/>
        <w:rPr>
          <w:rFonts w:ascii="宋体" w:eastAsia="宋体" w:hAnsi="宋体"/>
          <w:kern w:val="0"/>
          <w:sz w:val="24"/>
          <w:szCs w:val="24"/>
        </w:rPr>
      </w:pPr>
      <w:r w:rsidRPr="00804DCF">
        <w:rPr>
          <w:rFonts w:ascii="宋体" w:eastAsia="宋体" w:hAnsi="宋体" w:hint="eastAsia"/>
          <w:kern w:val="0"/>
          <w:sz w:val="24"/>
          <w:szCs w:val="24"/>
        </w:rPr>
        <w:t>1、投标人须采用固定单价报价形式（格式参考分项报价表）进行报价，报价必须包含设备的计量、检测报告、交通运输以及会务费等全部费用。</w:t>
      </w:r>
    </w:p>
    <w:p w:rsidR="00804DCF" w:rsidRPr="00804DCF" w:rsidRDefault="00804DCF" w:rsidP="00804DCF">
      <w:pPr>
        <w:spacing w:line="360" w:lineRule="auto"/>
        <w:ind w:firstLineChars="200" w:firstLine="480"/>
        <w:jc w:val="left"/>
        <w:rPr>
          <w:rFonts w:ascii="宋体" w:eastAsia="宋体" w:hAnsi="宋体" w:hint="eastAsia"/>
          <w:kern w:val="0"/>
          <w:sz w:val="24"/>
          <w:szCs w:val="24"/>
        </w:rPr>
      </w:pPr>
      <w:r w:rsidRPr="00804DCF">
        <w:rPr>
          <w:rFonts w:ascii="宋体" w:eastAsia="宋体" w:hAnsi="宋体" w:hint="eastAsia"/>
          <w:kern w:val="0"/>
          <w:sz w:val="24"/>
          <w:szCs w:val="24"/>
        </w:rPr>
        <w:t>2、在实施过程中所产生的费用以固定单价*数量进行结算。</w:t>
      </w:r>
    </w:p>
    <w:p w:rsidR="00804DCF" w:rsidRPr="00804DCF" w:rsidRDefault="00804DCF" w:rsidP="00804DCF">
      <w:pPr>
        <w:spacing w:line="360" w:lineRule="auto"/>
        <w:ind w:firstLineChars="200" w:firstLine="480"/>
        <w:jc w:val="left"/>
        <w:rPr>
          <w:rFonts w:ascii="宋体" w:eastAsia="宋体" w:hAnsi="宋体"/>
          <w:kern w:val="0"/>
          <w:sz w:val="24"/>
          <w:szCs w:val="24"/>
        </w:rPr>
      </w:pPr>
      <w:r w:rsidRPr="00804DCF">
        <w:rPr>
          <w:rFonts w:ascii="宋体" w:eastAsia="宋体" w:hAnsi="宋体" w:hint="eastAsia"/>
          <w:kern w:val="0"/>
          <w:sz w:val="24"/>
          <w:szCs w:val="24"/>
        </w:rPr>
        <w:t>3、结算与付款方式</w:t>
      </w:r>
    </w:p>
    <w:p w:rsidR="00804DCF" w:rsidRPr="00804DCF" w:rsidRDefault="00804DCF" w:rsidP="00804DCF">
      <w:pPr>
        <w:spacing w:line="360" w:lineRule="auto"/>
        <w:ind w:firstLineChars="150" w:firstLine="360"/>
        <w:rPr>
          <w:rStyle w:val="NormalCharacter"/>
          <w:rFonts w:ascii="宋体" w:eastAsia="宋体" w:hAnsi="宋体" w:hint="eastAsia"/>
          <w:sz w:val="24"/>
          <w:szCs w:val="24"/>
        </w:rPr>
      </w:pPr>
      <w:r w:rsidRPr="00804DCF">
        <w:rPr>
          <w:rStyle w:val="NormalCharacter"/>
          <w:rFonts w:ascii="宋体" w:eastAsia="宋体" w:hAnsi="宋体" w:hint="eastAsia"/>
          <w:sz w:val="24"/>
          <w:szCs w:val="24"/>
        </w:rPr>
        <w:t>结算：以实际发生数量*各检测品目中标单价进行结算</w:t>
      </w:r>
    </w:p>
    <w:p w:rsidR="00804DCF" w:rsidRPr="00804DCF" w:rsidRDefault="00804DCF" w:rsidP="00804DCF">
      <w:pPr>
        <w:spacing w:line="360" w:lineRule="auto"/>
        <w:ind w:firstLineChars="150" w:firstLine="360"/>
        <w:rPr>
          <w:rStyle w:val="NormalCharacter"/>
          <w:rFonts w:ascii="宋体" w:eastAsia="宋体" w:hAnsi="宋体" w:hint="eastAsia"/>
          <w:sz w:val="24"/>
          <w:szCs w:val="24"/>
        </w:rPr>
      </w:pPr>
      <w:r w:rsidRPr="00804DCF">
        <w:rPr>
          <w:rStyle w:val="NormalCharacter"/>
          <w:rFonts w:ascii="宋体" w:eastAsia="宋体" w:hAnsi="宋体" w:hint="eastAsia"/>
          <w:sz w:val="24"/>
          <w:szCs w:val="24"/>
        </w:rPr>
        <w:t>付款方式：</w:t>
      </w:r>
    </w:p>
    <w:p w:rsidR="00804DCF" w:rsidRPr="00804DCF" w:rsidRDefault="00804DCF" w:rsidP="00804DCF">
      <w:pPr>
        <w:spacing w:line="360" w:lineRule="auto"/>
        <w:ind w:firstLineChars="150" w:firstLine="360"/>
        <w:rPr>
          <w:rStyle w:val="NormalCharacter"/>
          <w:rFonts w:ascii="宋体" w:eastAsia="宋体" w:hAnsi="宋体" w:hint="eastAsia"/>
          <w:sz w:val="24"/>
          <w:szCs w:val="24"/>
        </w:rPr>
      </w:pPr>
      <w:r w:rsidRPr="00804DCF">
        <w:rPr>
          <w:rStyle w:val="NormalCharacter"/>
          <w:rFonts w:ascii="宋体" w:eastAsia="宋体" w:hAnsi="宋体" w:hint="eastAsia"/>
          <w:sz w:val="24"/>
          <w:szCs w:val="24"/>
        </w:rPr>
        <w:t xml:space="preserve">1、按季度结算付款，供应商提供发票和清单，经采购方账务核对无误后支付。 </w:t>
      </w:r>
    </w:p>
    <w:p w:rsidR="00804DCF" w:rsidRPr="00804DCF" w:rsidRDefault="00804DCF" w:rsidP="00804DCF">
      <w:pPr>
        <w:spacing w:line="360" w:lineRule="auto"/>
        <w:ind w:firstLineChars="150" w:firstLine="360"/>
        <w:rPr>
          <w:rStyle w:val="NormalCharacter"/>
          <w:rFonts w:ascii="宋体" w:eastAsia="宋体" w:hAnsi="宋体" w:hint="eastAsia"/>
          <w:sz w:val="24"/>
          <w:szCs w:val="24"/>
        </w:rPr>
      </w:pPr>
      <w:r w:rsidRPr="00804DCF">
        <w:rPr>
          <w:rStyle w:val="NormalCharacter"/>
          <w:rFonts w:ascii="宋体" w:eastAsia="宋体" w:hAnsi="宋体" w:hint="eastAsia"/>
          <w:sz w:val="24"/>
          <w:szCs w:val="24"/>
        </w:rPr>
        <w:t>2、在服务期限内，中标单价不接受变更。</w:t>
      </w:r>
    </w:p>
    <w:p w:rsidR="00804DCF" w:rsidRPr="00804DCF" w:rsidRDefault="00804DCF" w:rsidP="00804DCF">
      <w:pPr>
        <w:spacing w:line="360" w:lineRule="auto"/>
        <w:ind w:firstLineChars="150" w:firstLine="360"/>
        <w:rPr>
          <w:rStyle w:val="NormalCharacter"/>
          <w:rFonts w:ascii="宋体" w:eastAsia="宋体" w:hAnsi="宋体" w:hint="eastAsia"/>
          <w:sz w:val="24"/>
          <w:szCs w:val="24"/>
        </w:rPr>
      </w:pPr>
      <w:r w:rsidRPr="00804DCF">
        <w:rPr>
          <w:rStyle w:val="NormalCharacter"/>
          <w:rFonts w:ascii="宋体" w:eastAsia="宋体" w:hAnsi="宋体" w:hint="eastAsia"/>
          <w:sz w:val="24"/>
          <w:szCs w:val="24"/>
        </w:rPr>
        <w:t>3、支付上限：87万元人民币</w:t>
      </w:r>
    </w:p>
    <w:p w:rsidR="00804DCF" w:rsidRPr="00804DCF" w:rsidRDefault="00804DCF" w:rsidP="00804DCF">
      <w:pPr>
        <w:spacing w:line="360" w:lineRule="auto"/>
        <w:jc w:val="left"/>
        <w:rPr>
          <w:rFonts w:ascii="宋体" w:eastAsia="宋体" w:hAnsi="宋体" w:cs="宋体" w:hint="eastAsia"/>
          <w:b/>
          <w:kern w:val="0"/>
          <w:sz w:val="24"/>
          <w:szCs w:val="24"/>
        </w:rPr>
      </w:pPr>
      <w:r w:rsidRPr="00804DCF">
        <w:rPr>
          <w:rFonts w:ascii="宋体" w:eastAsia="宋体" w:hAnsi="宋体" w:cs="宋体" w:hint="eastAsia"/>
          <w:b/>
          <w:kern w:val="0"/>
          <w:sz w:val="24"/>
          <w:szCs w:val="24"/>
        </w:rPr>
        <w:t>八、延伸服务</w:t>
      </w:r>
    </w:p>
    <w:p w:rsidR="00804DCF" w:rsidRPr="00804DCF" w:rsidRDefault="00804DCF" w:rsidP="00804DCF">
      <w:pPr>
        <w:spacing w:line="360" w:lineRule="auto"/>
        <w:ind w:firstLineChars="150" w:firstLine="360"/>
        <w:rPr>
          <w:rFonts w:ascii="宋体" w:eastAsia="宋体" w:hAnsi="宋体" w:hint="eastAsia"/>
          <w:sz w:val="24"/>
          <w:szCs w:val="24"/>
        </w:rPr>
      </w:pPr>
      <w:r w:rsidRPr="00804DCF">
        <w:rPr>
          <w:rFonts w:ascii="宋体" w:eastAsia="宋体" w:hAnsi="宋体" w:hint="eastAsia"/>
          <w:sz w:val="24"/>
          <w:szCs w:val="24"/>
        </w:rPr>
        <w:t>供应商应尽量提供针对本项目的信息化服务：例如满足医院使用的计量管理</w:t>
      </w:r>
      <w:r w:rsidRPr="00804DCF">
        <w:rPr>
          <w:rFonts w:ascii="宋体" w:eastAsia="宋体" w:hAnsi="宋体" w:hint="eastAsia"/>
          <w:sz w:val="24"/>
          <w:szCs w:val="24"/>
        </w:rPr>
        <w:lastRenderedPageBreak/>
        <w:t>系统，包括在线一键下单、到期提醒、电子版报告自动回传、支持移动端</w:t>
      </w:r>
      <w:proofErr w:type="gramStart"/>
      <w:r w:rsidRPr="00804DCF">
        <w:rPr>
          <w:rFonts w:ascii="宋体" w:eastAsia="宋体" w:hAnsi="宋体" w:hint="eastAsia"/>
          <w:sz w:val="24"/>
          <w:szCs w:val="24"/>
        </w:rPr>
        <w:t>二维码查询</w:t>
      </w:r>
      <w:proofErr w:type="gramEnd"/>
      <w:r w:rsidRPr="00804DCF">
        <w:rPr>
          <w:rFonts w:ascii="宋体" w:eastAsia="宋体" w:hAnsi="宋体" w:hint="eastAsia"/>
          <w:sz w:val="24"/>
          <w:szCs w:val="24"/>
        </w:rPr>
        <w:t>等功能，提供相应系统操作界面截图。</w:t>
      </w:r>
    </w:p>
    <w:p w:rsidR="00220551" w:rsidRPr="00804DCF" w:rsidRDefault="00220551" w:rsidP="00220551">
      <w:pPr>
        <w:adjustRightInd w:val="0"/>
        <w:snapToGrid w:val="0"/>
        <w:spacing w:line="360" w:lineRule="auto"/>
        <w:rPr>
          <w:rFonts w:ascii="宋体" w:eastAsia="宋体" w:hAnsi="宋体"/>
          <w:sz w:val="24"/>
          <w:szCs w:val="24"/>
        </w:rPr>
      </w:pPr>
    </w:p>
    <w:p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804DCF">
        <w:rPr>
          <w:rFonts w:ascii="宋体" w:eastAsia="宋体" w:hAnsi="宋体" w:hint="eastAsia"/>
          <w:b/>
          <w:sz w:val="24"/>
          <w:szCs w:val="24"/>
        </w:rPr>
        <w:t>预算金额</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804DCF" w:rsidRPr="00804DCF">
        <w:rPr>
          <w:rFonts w:ascii="宋体" w:eastAsia="宋体" w:hAnsi="宋体"/>
          <w:sz w:val="24"/>
          <w:szCs w:val="24"/>
        </w:rPr>
        <w:t>87万元</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804DCF" w:rsidRPr="00804DCF" w:rsidRDefault="00804DCF" w:rsidP="00804DCF">
      <w:pPr>
        <w:widowControl/>
        <w:spacing w:line="360" w:lineRule="auto"/>
        <w:ind w:firstLineChars="200" w:firstLine="480"/>
        <w:jc w:val="left"/>
        <w:textAlignment w:val="baseline"/>
        <w:rPr>
          <w:rFonts w:ascii="宋体" w:eastAsia="宋体" w:hAnsi="宋体" w:cs="Times New Roman"/>
          <w:kern w:val="0"/>
          <w:sz w:val="24"/>
          <w:szCs w:val="24"/>
        </w:rPr>
      </w:pPr>
      <w:r w:rsidRPr="00804DCF">
        <w:rPr>
          <w:rFonts w:ascii="宋体" w:eastAsia="宋体" w:hAnsi="宋体" w:cs="Times New Roman"/>
          <w:kern w:val="0"/>
          <w:sz w:val="24"/>
          <w:szCs w:val="24"/>
        </w:rPr>
        <w:t>1）购买了磋商采购文件且在法律上和财务上独立、合法运作并独立于采购人和采购代理机构。</w:t>
      </w:r>
    </w:p>
    <w:p w:rsidR="00804DCF" w:rsidRPr="00804DCF" w:rsidRDefault="00804DCF" w:rsidP="00804DCF">
      <w:pPr>
        <w:widowControl/>
        <w:spacing w:line="360" w:lineRule="auto"/>
        <w:ind w:firstLineChars="200" w:firstLine="480"/>
        <w:jc w:val="left"/>
        <w:textAlignment w:val="baseline"/>
        <w:rPr>
          <w:rFonts w:ascii="宋体" w:eastAsia="宋体" w:hAnsi="宋体" w:cs="Times New Roman"/>
          <w:kern w:val="0"/>
          <w:sz w:val="24"/>
          <w:szCs w:val="24"/>
        </w:rPr>
      </w:pPr>
      <w:r w:rsidRPr="00804DCF">
        <w:rPr>
          <w:rFonts w:ascii="宋体" w:eastAsia="宋体" w:hAnsi="宋体" w:cs="Times New Roman"/>
          <w:kern w:val="0"/>
          <w:sz w:val="24"/>
          <w:szCs w:val="24"/>
        </w:rPr>
        <w:t>2）本项目不允许分包、转包。</w:t>
      </w:r>
    </w:p>
    <w:p w:rsidR="00804DCF" w:rsidRPr="00804DCF" w:rsidRDefault="00804DCF" w:rsidP="00804DCF">
      <w:pPr>
        <w:widowControl/>
        <w:spacing w:line="360" w:lineRule="auto"/>
        <w:ind w:firstLineChars="200" w:firstLine="480"/>
        <w:jc w:val="left"/>
        <w:textAlignment w:val="baseline"/>
        <w:rPr>
          <w:rFonts w:ascii="宋体" w:eastAsia="宋体" w:hAnsi="宋体" w:cs="Times New Roman"/>
          <w:kern w:val="0"/>
          <w:sz w:val="24"/>
          <w:szCs w:val="24"/>
        </w:rPr>
      </w:pPr>
      <w:r w:rsidRPr="00804DCF">
        <w:rPr>
          <w:rFonts w:ascii="宋体" w:eastAsia="宋体" w:hAnsi="宋体" w:cs="Times New Roman"/>
          <w:kern w:val="0"/>
          <w:sz w:val="24"/>
          <w:szCs w:val="24"/>
        </w:rPr>
        <w:t>3）本项目不接受联合体。</w:t>
      </w:r>
    </w:p>
    <w:p w:rsidR="00804DCF" w:rsidRPr="00804DCF" w:rsidRDefault="00804DCF" w:rsidP="00804DCF">
      <w:pPr>
        <w:widowControl/>
        <w:spacing w:line="360" w:lineRule="auto"/>
        <w:ind w:firstLineChars="200" w:firstLine="480"/>
        <w:jc w:val="left"/>
        <w:textAlignment w:val="baseline"/>
        <w:rPr>
          <w:rFonts w:ascii="宋体" w:eastAsia="宋体" w:hAnsi="宋体" w:cs="Times New Roman"/>
          <w:kern w:val="0"/>
          <w:sz w:val="24"/>
          <w:szCs w:val="24"/>
        </w:rPr>
      </w:pPr>
      <w:r w:rsidRPr="00804DCF">
        <w:rPr>
          <w:rFonts w:ascii="宋体" w:eastAsia="宋体" w:hAnsi="宋体" w:cs="Times New Roman"/>
          <w:kern w:val="0"/>
          <w:sz w:val="24"/>
          <w:szCs w:val="24"/>
        </w:rPr>
        <w:t>4）单位负责人为同一人或者存在直接控股、管理关系的不同供应商，不得参加同一合同项下的采购活动。</w:t>
      </w:r>
    </w:p>
    <w:p w:rsidR="00804DCF" w:rsidRPr="00804DCF" w:rsidRDefault="00804DCF" w:rsidP="00804DCF">
      <w:pPr>
        <w:widowControl/>
        <w:spacing w:line="360" w:lineRule="auto"/>
        <w:ind w:firstLineChars="200" w:firstLine="480"/>
        <w:jc w:val="left"/>
        <w:textAlignment w:val="baseline"/>
        <w:rPr>
          <w:rFonts w:ascii="宋体" w:eastAsia="宋体" w:hAnsi="宋体" w:cs="Times New Roman"/>
          <w:kern w:val="0"/>
          <w:sz w:val="24"/>
          <w:szCs w:val="24"/>
        </w:rPr>
      </w:pPr>
      <w:r w:rsidRPr="00804DCF">
        <w:rPr>
          <w:rFonts w:ascii="宋体" w:eastAsia="宋体" w:hAnsi="宋体" w:cs="Times New Roman"/>
          <w:kern w:val="0"/>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rsidR="004A7A67" w:rsidRPr="004A7A67" w:rsidRDefault="00804DCF" w:rsidP="00804DCF">
      <w:pPr>
        <w:widowControl/>
        <w:spacing w:line="360" w:lineRule="auto"/>
        <w:ind w:firstLineChars="200" w:firstLine="480"/>
        <w:jc w:val="left"/>
        <w:textAlignment w:val="baseline"/>
        <w:rPr>
          <w:rFonts w:ascii="宋体" w:eastAsia="宋体" w:hAnsi="宋体" w:cs="Times New Roman"/>
          <w:kern w:val="0"/>
          <w:sz w:val="24"/>
          <w:szCs w:val="24"/>
        </w:rPr>
      </w:pPr>
      <w:r w:rsidRPr="00804DCF">
        <w:rPr>
          <w:rFonts w:ascii="宋体" w:eastAsia="宋体" w:hAnsi="宋体" w:cs="Times New Roman"/>
          <w:kern w:val="0"/>
          <w:sz w:val="24"/>
          <w:szCs w:val="24"/>
        </w:rPr>
        <w:t>6）供应商须通过国家认证认可监督管理委员会监制的检验检测机构资质认定证书（CMA）。</w:t>
      </w:r>
    </w:p>
    <w:p w:rsidR="0094303D" w:rsidRPr="002D6E4A" w:rsidRDefault="0094303D" w:rsidP="0094303D">
      <w:pPr>
        <w:adjustRightInd w:val="0"/>
        <w:snapToGrid w:val="0"/>
        <w:spacing w:line="360" w:lineRule="auto"/>
        <w:rPr>
          <w:rFonts w:ascii="宋体" w:eastAsia="宋体" w:hAnsi="宋体"/>
          <w:b/>
          <w:sz w:val="24"/>
          <w:szCs w:val="24"/>
        </w:rPr>
      </w:pPr>
      <w:r w:rsidRPr="002D6E4A">
        <w:rPr>
          <w:rFonts w:ascii="宋体" w:eastAsia="宋体" w:hAnsi="宋体" w:hint="eastAsia"/>
          <w:b/>
          <w:sz w:val="24"/>
          <w:szCs w:val="24"/>
        </w:rPr>
        <w:t>（四）商务要求</w:t>
      </w:r>
    </w:p>
    <w:p w:rsidR="0094303D" w:rsidRPr="00804DCF" w:rsidRDefault="0094303D" w:rsidP="00804DCF">
      <w:pPr>
        <w:adjustRightInd w:val="0"/>
        <w:snapToGrid w:val="0"/>
        <w:spacing w:line="360" w:lineRule="auto"/>
        <w:rPr>
          <w:rFonts w:ascii="宋体" w:eastAsia="宋体" w:hAnsi="宋体"/>
          <w:sz w:val="24"/>
          <w:szCs w:val="24"/>
        </w:rPr>
      </w:pPr>
      <w:r w:rsidRPr="00804DCF">
        <w:rPr>
          <w:rFonts w:ascii="宋体" w:eastAsia="宋体" w:hAnsi="宋体" w:hint="eastAsia"/>
          <w:sz w:val="24"/>
          <w:szCs w:val="24"/>
        </w:rPr>
        <w:t>1、服务期限：</w:t>
      </w:r>
      <w:r w:rsidR="00804DCF" w:rsidRPr="00804DCF">
        <w:rPr>
          <w:rFonts w:ascii="宋体" w:eastAsia="宋体" w:hAnsi="宋体" w:hint="eastAsia"/>
          <w:sz w:val="24"/>
          <w:szCs w:val="24"/>
        </w:rPr>
        <w:t>合同签订后一年。</w:t>
      </w:r>
    </w:p>
    <w:p w:rsidR="0094303D" w:rsidRPr="00804DCF" w:rsidRDefault="0094303D" w:rsidP="00804DCF">
      <w:pPr>
        <w:adjustRightInd w:val="0"/>
        <w:snapToGrid w:val="0"/>
        <w:spacing w:line="360" w:lineRule="auto"/>
        <w:rPr>
          <w:rFonts w:ascii="宋体" w:eastAsia="宋体" w:hAnsi="宋体"/>
          <w:sz w:val="24"/>
          <w:szCs w:val="24"/>
        </w:rPr>
      </w:pPr>
      <w:r w:rsidRPr="00804DCF">
        <w:rPr>
          <w:rFonts w:ascii="宋体" w:eastAsia="宋体" w:hAnsi="宋体" w:hint="eastAsia"/>
          <w:sz w:val="24"/>
          <w:szCs w:val="24"/>
        </w:rPr>
        <w:t>2、付款方式：</w:t>
      </w:r>
      <w:r w:rsidRPr="00804DCF">
        <w:rPr>
          <w:rFonts w:ascii="宋体" w:eastAsia="宋体" w:hAnsi="宋体"/>
          <w:sz w:val="24"/>
          <w:szCs w:val="24"/>
        </w:rPr>
        <w:t xml:space="preserve"> </w:t>
      </w:r>
    </w:p>
    <w:p w:rsidR="00804DCF" w:rsidRPr="00804DCF" w:rsidRDefault="00804DCF" w:rsidP="00804DCF">
      <w:pPr>
        <w:spacing w:line="360" w:lineRule="auto"/>
        <w:ind w:firstLineChars="150" w:firstLine="360"/>
        <w:rPr>
          <w:rFonts w:eastAsia="宋体" w:hint="eastAsia"/>
          <w:sz w:val="24"/>
          <w:szCs w:val="24"/>
        </w:rPr>
      </w:pPr>
      <w:r w:rsidRPr="00804DCF">
        <w:rPr>
          <w:rFonts w:eastAsia="宋体" w:hint="eastAsia"/>
          <w:sz w:val="24"/>
          <w:szCs w:val="24"/>
        </w:rPr>
        <w:t>结算：以实际发生数量</w:t>
      </w:r>
      <w:r w:rsidRPr="00804DCF">
        <w:rPr>
          <w:rFonts w:eastAsia="宋体" w:hint="eastAsia"/>
          <w:sz w:val="24"/>
          <w:szCs w:val="24"/>
        </w:rPr>
        <w:t>*</w:t>
      </w:r>
      <w:r w:rsidRPr="00804DCF">
        <w:rPr>
          <w:rFonts w:eastAsia="宋体" w:hint="eastAsia"/>
          <w:sz w:val="24"/>
          <w:szCs w:val="24"/>
        </w:rPr>
        <w:t>各检测品目中标单价进行结算</w:t>
      </w:r>
    </w:p>
    <w:p w:rsidR="00804DCF" w:rsidRPr="00804DCF" w:rsidRDefault="00804DCF" w:rsidP="00804DCF">
      <w:pPr>
        <w:spacing w:line="360" w:lineRule="auto"/>
        <w:ind w:firstLineChars="150" w:firstLine="360"/>
        <w:rPr>
          <w:rFonts w:eastAsia="宋体" w:hint="eastAsia"/>
          <w:sz w:val="24"/>
          <w:szCs w:val="24"/>
        </w:rPr>
      </w:pPr>
      <w:r w:rsidRPr="00804DCF">
        <w:rPr>
          <w:rFonts w:eastAsia="宋体" w:hint="eastAsia"/>
          <w:sz w:val="24"/>
          <w:szCs w:val="24"/>
        </w:rPr>
        <w:t>付款方式：</w:t>
      </w:r>
    </w:p>
    <w:p w:rsidR="00804DCF" w:rsidRPr="00804DCF" w:rsidRDefault="00804DCF" w:rsidP="00804DCF">
      <w:pPr>
        <w:spacing w:line="360" w:lineRule="auto"/>
        <w:ind w:firstLineChars="150" w:firstLine="360"/>
        <w:rPr>
          <w:rFonts w:eastAsia="宋体" w:hint="eastAsia"/>
          <w:sz w:val="24"/>
          <w:szCs w:val="24"/>
        </w:rPr>
      </w:pPr>
      <w:r w:rsidRPr="00804DCF">
        <w:rPr>
          <w:rFonts w:eastAsia="宋体" w:hint="eastAsia"/>
          <w:sz w:val="24"/>
          <w:szCs w:val="24"/>
        </w:rPr>
        <w:t>1</w:t>
      </w:r>
      <w:r w:rsidRPr="00804DCF">
        <w:rPr>
          <w:rFonts w:eastAsia="宋体" w:hint="eastAsia"/>
          <w:sz w:val="24"/>
          <w:szCs w:val="24"/>
        </w:rPr>
        <w:t>、按季度结算付款，供应商提供发票和清单，经采购方账务核对无误后支付。</w:t>
      </w:r>
      <w:r w:rsidRPr="00804DCF">
        <w:rPr>
          <w:rFonts w:eastAsia="宋体" w:hint="eastAsia"/>
          <w:sz w:val="24"/>
          <w:szCs w:val="24"/>
        </w:rPr>
        <w:t xml:space="preserve"> </w:t>
      </w:r>
    </w:p>
    <w:p w:rsidR="00804DCF" w:rsidRPr="00804DCF" w:rsidRDefault="00804DCF" w:rsidP="00804DCF">
      <w:pPr>
        <w:spacing w:line="360" w:lineRule="auto"/>
        <w:ind w:firstLineChars="150" w:firstLine="360"/>
        <w:rPr>
          <w:rFonts w:eastAsia="宋体" w:hint="eastAsia"/>
          <w:sz w:val="24"/>
          <w:szCs w:val="24"/>
        </w:rPr>
      </w:pPr>
      <w:r w:rsidRPr="00804DCF">
        <w:rPr>
          <w:rFonts w:eastAsia="宋体" w:hint="eastAsia"/>
          <w:sz w:val="24"/>
          <w:szCs w:val="24"/>
        </w:rPr>
        <w:t>2</w:t>
      </w:r>
      <w:r w:rsidRPr="00804DCF">
        <w:rPr>
          <w:rFonts w:eastAsia="宋体" w:hint="eastAsia"/>
          <w:sz w:val="24"/>
          <w:szCs w:val="24"/>
        </w:rPr>
        <w:t>、在服务期限内，中标单价不接受变更。</w:t>
      </w:r>
    </w:p>
    <w:p w:rsidR="001D1C86" w:rsidRPr="00804DCF" w:rsidRDefault="00804DCF" w:rsidP="00804DCF">
      <w:pPr>
        <w:spacing w:line="360" w:lineRule="auto"/>
        <w:ind w:firstLineChars="150" w:firstLine="360"/>
        <w:rPr>
          <w:rFonts w:eastAsia="宋体"/>
          <w:sz w:val="24"/>
          <w:szCs w:val="24"/>
        </w:rPr>
      </w:pPr>
      <w:r w:rsidRPr="00804DCF">
        <w:rPr>
          <w:rFonts w:eastAsia="宋体" w:hint="eastAsia"/>
          <w:sz w:val="24"/>
          <w:szCs w:val="24"/>
        </w:rPr>
        <w:t>3</w:t>
      </w:r>
      <w:r w:rsidRPr="00804DCF">
        <w:rPr>
          <w:rFonts w:eastAsia="宋体" w:hint="eastAsia"/>
          <w:sz w:val="24"/>
          <w:szCs w:val="24"/>
        </w:rPr>
        <w:t>、支付上限：</w:t>
      </w:r>
      <w:r w:rsidRPr="00804DCF">
        <w:rPr>
          <w:rFonts w:eastAsia="宋体" w:hint="eastAsia"/>
          <w:sz w:val="24"/>
          <w:szCs w:val="24"/>
        </w:rPr>
        <w:t>87</w:t>
      </w:r>
      <w:r w:rsidRPr="00804DCF">
        <w:rPr>
          <w:rFonts w:eastAsia="宋体" w:hint="eastAsia"/>
          <w:sz w:val="24"/>
          <w:szCs w:val="24"/>
        </w:rPr>
        <w:t>万元人民币</w:t>
      </w:r>
      <w:bookmarkStart w:id="0" w:name="_GoBack"/>
      <w:bookmarkEnd w:id="0"/>
    </w:p>
    <w:sectPr w:rsidR="001D1C86" w:rsidRPr="00804D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1F" w:rsidRDefault="002E581F" w:rsidP="001D1C86">
      <w:r>
        <w:separator/>
      </w:r>
    </w:p>
  </w:endnote>
  <w:endnote w:type="continuationSeparator" w:id="0">
    <w:p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1F" w:rsidRDefault="002E581F" w:rsidP="001D1C86">
      <w:r>
        <w:separator/>
      </w:r>
    </w:p>
  </w:footnote>
  <w:footnote w:type="continuationSeparator" w:id="0">
    <w:p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326F1388"/>
    <w:multiLevelType w:val="singleLevel"/>
    <w:tmpl w:val="38F7C117"/>
    <w:lvl w:ilvl="0">
      <w:start w:val="1"/>
      <w:numFmt w:val="decimal"/>
      <w:suff w:val="nothing"/>
      <w:lvlText w:val="%1、"/>
      <w:lvlJc w:val="left"/>
    </w:lvl>
  </w:abstractNum>
  <w:abstractNum w:abstractNumId="2">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20551"/>
    <w:rsid w:val="002E581F"/>
    <w:rsid w:val="004A7A67"/>
    <w:rsid w:val="00712FBB"/>
    <w:rsid w:val="00802568"/>
    <w:rsid w:val="00804DCF"/>
    <w:rsid w:val="0090336E"/>
    <w:rsid w:val="0094303D"/>
    <w:rsid w:val="009D50C6"/>
    <w:rsid w:val="00B43BBE"/>
    <w:rsid w:val="00E3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 w:type="table" w:styleId="a5">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6"/>
    <w:autoRedefine/>
    <w:uiPriority w:val="34"/>
    <w:qFormat/>
    <w:rsid w:val="004A7A67"/>
  </w:style>
  <w:style w:type="paragraph" w:styleId="a6">
    <w:name w:val="List Paragraph"/>
    <w:basedOn w:val="a"/>
    <w:link w:val="Char1"/>
    <w:autoRedefine/>
    <w:uiPriority w:val="34"/>
    <w:qFormat/>
    <w:rsid w:val="004A7A67"/>
    <w:pPr>
      <w:widowControl/>
      <w:ind w:firstLineChars="200" w:firstLine="420"/>
      <w:textAlignment w:val="baseline"/>
    </w:pPr>
  </w:style>
  <w:style w:type="paragraph" w:styleId="a7">
    <w:name w:val="annotation text"/>
    <w:basedOn w:val="a"/>
    <w:link w:val="Char2"/>
    <w:qFormat/>
    <w:rsid w:val="00804DCF"/>
    <w:pPr>
      <w:widowControl/>
      <w:jc w:val="left"/>
      <w:textAlignment w:val="baseline"/>
    </w:pPr>
    <w:rPr>
      <w:rFonts w:ascii="Times New Roman" w:eastAsia="宋体" w:hAnsi="Times New Roman" w:cs="Times New Roman"/>
      <w:szCs w:val="24"/>
    </w:rPr>
  </w:style>
  <w:style w:type="character" w:customStyle="1" w:styleId="Char2">
    <w:name w:val="批注文字 Char"/>
    <w:basedOn w:val="a0"/>
    <w:link w:val="a7"/>
    <w:qFormat/>
    <w:rsid w:val="00804DCF"/>
    <w:rPr>
      <w:rFonts w:ascii="Times New Roman" w:eastAsia="宋体" w:hAnsi="Times New Roman" w:cs="Times New Roman"/>
      <w:szCs w:val="24"/>
    </w:rPr>
  </w:style>
  <w:style w:type="character" w:styleId="a8">
    <w:name w:val="annotation reference"/>
    <w:qFormat/>
    <w:rsid w:val="00804DCF"/>
    <w:rPr>
      <w:sz w:val="21"/>
      <w:szCs w:val="21"/>
    </w:rPr>
  </w:style>
  <w:style w:type="paragraph" w:styleId="a9">
    <w:name w:val="Balloon Text"/>
    <w:basedOn w:val="a"/>
    <w:link w:val="Char3"/>
    <w:uiPriority w:val="99"/>
    <w:semiHidden/>
    <w:unhideWhenUsed/>
    <w:rsid w:val="00804DCF"/>
    <w:rPr>
      <w:sz w:val="18"/>
      <w:szCs w:val="18"/>
    </w:rPr>
  </w:style>
  <w:style w:type="character" w:customStyle="1" w:styleId="Char3">
    <w:name w:val="批注框文本 Char"/>
    <w:basedOn w:val="a0"/>
    <w:link w:val="a9"/>
    <w:uiPriority w:val="99"/>
    <w:semiHidden/>
    <w:rsid w:val="00804D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 w:type="table" w:styleId="a5">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6"/>
    <w:autoRedefine/>
    <w:uiPriority w:val="34"/>
    <w:qFormat/>
    <w:rsid w:val="004A7A67"/>
  </w:style>
  <w:style w:type="paragraph" w:styleId="a6">
    <w:name w:val="List Paragraph"/>
    <w:basedOn w:val="a"/>
    <w:link w:val="Char1"/>
    <w:autoRedefine/>
    <w:uiPriority w:val="34"/>
    <w:qFormat/>
    <w:rsid w:val="004A7A67"/>
    <w:pPr>
      <w:widowControl/>
      <w:ind w:firstLineChars="200" w:firstLine="420"/>
      <w:textAlignment w:val="baseline"/>
    </w:pPr>
  </w:style>
  <w:style w:type="paragraph" w:styleId="a7">
    <w:name w:val="annotation text"/>
    <w:basedOn w:val="a"/>
    <w:link w:val="Char2"/>
    <w:qFormat/>
    <w:rsid w:val="00804DCF"/>
    <w:pPr>
      <w:widowControl/>
      <w:jc w:val="left"/>
      <w:textAlignment w:val="baseline"/>
    </w:pPr>
    <w:rPr>
      <w:rFonts w:ascii="Times New Roman" w:eastAsia="宋体" w:hAnsi="Times New Roman" w:cs="Times New Roman"/>
      <w:szCs w:val="24"/>
    </w:rPr>
  </w:style>
  <w:style w:type="character" w:customStyle="1" w:styleId="Char2">
    <w:name w:val="批注文字 Char"/>
    <w:basedOn w:val="a0"/>
    <w:link w:val="a7"/>
    <w:qFormat/>
    <w:rsid w:val="00804DCF"/>
    <w:rPr>
      <w:rFonts w:ascii="Times New Roman" w:eastAsia="宋体" w:hAnsi="Times New Roman" w:cs="Times New Roman"/>
      <w:szCs w:val="24"/>
    </w:rPr>
  </w:style>
  <w:style w:type="character" w:styleId="a8">
    <w:name w:val="annotation reference"/>
    <w:qFormat/>
    <w:rsid w:val="00804DCF"/>
    <w:rPr>
      <w:sz w:val="21"/>
      <w:szCs w:val="21"/>
    </w:rPr>
  </w:style>
  <w:style w:type="paragraph" w:styleId="a9">
    <w:name w:val="Balloon Text"/>
    <w:basedOn w:val="a"/>
    <w:link w:val="Char3"/>
    <w:uiPriority w:val="99"/>
    <w:semiHidden/>
    <w:unhideWhenUsed/>
    <w:rsid w:val="00804DCF"/>
    <w:rPr>
      <w:sz w:val="18"/>
      <w:szCs w:val="18"/>
    </w:rPr>
  </w:style>
  <w:style w:type="character" w:customStyle="1" w:styleId="Char3">
    <w:name w:val="批注框文本 Char"/>
    <w:basedOn w:val="a0"/>
    <w:link w:val="a9"/>
    <w:uiPriority w:val="99"/>
    <w:semiHidden/>
    <w:rsid w:val="00804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503</Words>
  <Characters>2870</Characters>
  <Application>Microsoft Office Word</Application>
  <DocSecurity>0</DocSecurity>
  <Lines>23</Lines>
  <Paragraphs>6</Paragraphs>
  <ScaleCrop>false</ScaleCrop>
  <Company>Organization</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9</cp:revision>
  <dcterms:created xsi:type="dcterms:W3CDTF">2024-03-28T03:06:00Z</dcterms:created>
  <dcterms:modified xsi:type="dcterms:W3CDTF">2024-07-16T09:08:00Z</dcterms:modified>
</cp:coreProperties>
</file>