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11F8E">
      <w:pPr>
        <w:rPr>
          <w:rFonts w:hint="eastAsia" w:ascii="宋体" w:hAnsi="宋体" w:eastAsia="宋体" w:cs="宋体"/>
        </w:rPr>
      </w:pPr>
      <w:r>
        <w:rPr>
          <w:rFonts w:hint="eastAsia" w:ascii="宋体" w:hAnsi="宋体" w:eastAsia="宋体" w:cs="宋体"/>
        </w:rPr>
        <w:t>附件1：</w:t>
      </w:r>
    </w:p>
    <w:p w14:paraId="390C5E46">
      <w:pPr>
        <w:jc w:val="center"/>
        <w:rPr>
          <w:rFonts w:hint="eastAsia" w:ascii="宋体" w:hAnsi="宋体" w:eastAsia="宋体" w:cs="宋体"/>
          <w:sz w:val="24"/>
          <w:szCs w:val="28"/>
        </w:rPr>
      </w:pPr>
    </w:p>
    <w:p w14:paraId="415468D9">
      <w:pPr>
        <w:jc w:val="center"/>
        <w:rPr>
          <w:rFonts w:hint="eastAsia" w:ascii="宋体" w:hAnsi="宋体" w:eastAsia="宋体" w:cs="宋体"/>
          <w:sz w:val="24"/>
          <w:szCs w:val="28"/>
        </w:rPr>
      </w:pPr>
      <w:bookmarkStart w:id="0" w:name="_GoBack"/>
      <w:bookmarkEnd w:id="0"/>
      <w:r>
        <w:rPr>
          <w:rFonts w:hint="eastAsia" w:ascii="宋体" w:hAnsi="宋体" w:eastAsia="宋体" w:cs="宋体"/>
          <w:sz w:val="24"/>
          <w:szCs w:val="28"/>
        </w:rPr>
        <w:t>麻醉吊塔Ⅰ设备需求参数</w:t>
      </w:r>
    </w:p>
    <w:p w14:paraId="67C94701">
      <w:pPr>
        <w:rPr>
          <w:rFonts w:hint="eastAsia" w:ascii="宋体" w:hAnsi="宋体" w:eastAsia="宋体" w:cs="宋体"/>
        </w:rPr>
      </w:pPr>
    </w:p>
    <w:tbl>
      <w:tblPr>
        <w:tblStyle w:val="5"/>
        <w:tblpPr w:leftFromText="180" w:rightFromText="180" w:vertAnchor="text" w:horzAnchor="page" w:tblpXSpec="center" w:tblpY="290"/>
        <w:tblOverlap w:val="never"/>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73"/>
      </w:tblGrid>
      <w:tr w14:paraId="70E4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FB5D5B2">
            <w:pPr>
              <w:jc w:val="center"/>
              <w:rPr>
                <w:rFonts w:hint="eastAsia" w:ascii="宋体" w:hAnsi="宋体" w:eastAsia="宋体" w:cs="宋体"/>
              </w:rPr>
            </w:pPr>
            <w:r>
              <w:rPr>
                <w:rFonts w:hint="eastAsia" w:ascii="宋体" w:hAnsi="宋体" w:eastAsia="宋体" w:cs="宋体"/>
              </w:rPr>
              <w:t>序号</w:t>
            </w:r>
          </w:p>
        </w:tc>
        <w:tc>
          <w:tcPr>
            <w:tcW w:w="8573" w:type="dxa"/>
          </w:tcPr>
          <w:p w14:paraId="6DD3C974">
            <w:pPr>
              <w:jc w:val="center"/>
              <w:rPr>
                <w:rFonts w:hint="eastAsia" w:ascii="宋体" w:hAnsi="宋体" w:eastAsia="宋体" w:cs="宋体"/>
              </w:rPr>
            </w:pPr>
            <w:r>
              <w:rPr>
                <w:rFonts w:hint="eastAsia" w:ascii="宋体" w:hAnsi="宋体" w:eastAsia="宋体" w:cs="宋体"/>
              </w:rPr>
              <w:t>需求描述</w:t>
            </w:r>
          </w:p>
        </w:tc>
      </w:tr>
      <w:tr w14:paraId="6171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512B015">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8573" w:type="dxa"/>
            <w:vAlign w:val="center"/>
          </w:tcPr>
          <w:p w14:paraId="38F9C7C2">
            <w:pPr>
              <w:widowControl/>
              <w:jc w:val="left"/>
              <w:rPr>
                <w:rFonts w:hint="eastAsia" w:ascii="宋体" w:hAnsi="宋体" w:eastAsia="宋体" w:cs="宋体"/>
                <w:b/>
                <w:bCs/>
                <w:kern w:val="0"/>
                <w:szCs w:val="21"/>
              </w:rPr>
            </w:pPr>
            <w:r>
              <w:rPr>
                <w:rFonts w:hint="eastAsia" w:ascii="宋体" w:hAnsi="宋体" w:eastAsia="宋体" w:cs="宋体"/>
                <w:b/>
                <w:bCs/>
                <w:kern w:val="0"/>
                <w:szCs w:val="21"/>
              </w:rPr>
              <w:t>主要功能及工作原理：</w:t>
            </w:r>
          </w:p>
        </w:tc>
      </w:tr>
      <w:tr w14:paraId="65BC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C9DF00A">
            <w:pPr>
              <w:jc w:val="center"/>
              <w:rPr>
                <w:rFonts w:hint="eastAsia" w:ascii="宋体" w:hAnsi="宋体" w:eastAsia="宋体" w:cs="宋体"/>
              </w:rPr>
            </w:pPr>
            <w:r>
              <w:rPr>
                <w:rFonts w:hint="eastAsia" w:ascii="宋体" w:hAnsi="宋体" w:eastAsia="宋体" w:cs="宋体"/>
              </w:rPr>
              <w:t>1、</w:t>
            </w:r>
          </w:p>
        </w:tc>
        <w:tc>
          <w:tcPr>
            <w:tcW w:w="8573" w:type="dxa"/>
          </w:tcPr>
          <w:p w14:paraId="620E9D7A">
            <w:pPr>
              <w:rPr>
                <w:rFonts w:hint="eastAsia" w:ascii="宋体" w:hAnsi="宋体" w:eastAsia="宋体" w:cs="宋体"/>
              </w:rPr>
            </w:pPr>
            <w:r>
              <w:rPr>
                <w:rFonts w:hint="eastAsia" w:ascii="宋体" w:hAnsi="宋体" w:eastAsia="宋体" w:cs="宋体"/>
                <w:kern w:val="0"/>
                <w:szCs w:val="21"/>
              </w:rPr>
              <w:t>麻醉吊塔作为气电供应和设备承载的基础设施，具有气电管理和提高层流净化程度的作用，可以有效地利用空间，不占用地面空间；能悬挂麻醉机</w:t>
            </w:r>
            <w:r>
              <w:rPr>
                <w:rFonts w:ascii="宋体" w:hAnsi="宋体" w:eastAsia="宋体" w:cs="宋体"/>
                <w:kern w:val="0"/>
                <w:szCs w:val="21"/>
              </w:rPr>
              <w:t>，对气源和电缆线做安全、有效的管理，给</w:t>
            </w:r>
            <w:r>
              <w:rPr>
                <w:rFonts w:hint="eastAsia" w:ascii="宋体" w:hAnsi="宋体" w:eastAsia="宋体" w:cs="宋体"/>
                <w:kern w:val="0"/>
                <w:szCs w:val="21"/>
              </w:rPr>
              <w:t>麻醉医生</w:t>
            </w:r>
            <w:r>
              <w:rPr>
                <w:rFonts w:ascii="宋体" w:hAnsi="宋体" w:eastAsia="宋体" w:cs="宋体"/>
                <w:kern w:val="0"/>
                <w:szCs w:val="21"/>
              </w:rPr>
              <w:t>提供一个更加整洁、利用率高的治疗空间，提高工作效率，降低治疗中出错的风险，是现代化</w:t>
            </w:r>
            <w:r>
              <w:rPr>
                <w:rFonts w:hint="eastAsia" w:ascii="宋体" w:hAnsi="宋体" w:eastAsia="宋体" w:cs="宋体"/>
                <w:kern w:val="0"/>
                <w:szCs w:val="21"/>
              </w:rPr>
              <w:t>医院科室</w:t>
            </w:r>
            <w:r>
              <w:rPr>
                <w:rFonts w:ascii="宋体" w:hAnsi="宋体" w:eastAsia="宋体" w:cs="宋体"/>
                <w:kern w:val="0"/>
                <w:szCs w:val="21"/>
              </w:rPr>
              <w:t>建设必备的条件。</w:t>
            </w:r>
          </w:p>
        </w:tc>
      </w:tr>
      <w:tr w14:paraId="34E2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07442B0">
            <w:pPr>
              <w:jc w:val="center"/>
              <w:rPr>
                <w:rFonts w:hint="eastAsia" w:ascii="宋体" w:hAnsi="宋体" w:eastAsia="宋体" w:cs="宋体"/>
                <w:b/>
                <w:bCs/>
              </w:rPr>
            </w:pPr>
            <w:r>
              <w:rPr>
                <w:rFonts w:hint="eastAsia" w:ascii="宋体" w:hAnsi="宋体" w:eastAsia="宋体" w:cs="宋体"/>
                <w:b/>
                <w:bCs/>
              </w:rPr>
              <w:t>二、</w:t>
            </w:r>
          </w:p>
        </w:tc>
        <w:tc>
          <w:tcPr>
            <w:tcW w:w="8573" w:type="dxa"/>
          </w:tcPr>
          <w:p w14:paraId="072F191B">
            <w:pPr>
              <w:rPr>
                <w:rFonts w:hint="eastAsia" w:ascii="宋体" w:hAnsi="宋体" w:eastAsia="宋体" w:cs="宋体"/>
                <w:b/>
                <w:bCs/>
              </w:rPr>
            </w:pPr>
            <w:r>
              <w:rPr>
                <w:rFonts w:hint="eastAsia" w:ascii="宋体" w:hAnsi="宋体" w:eastAsia="宋体" w:cs="宋体"/>
                <w:b/>
                <w:bCs/>
                <w:kern w:val="0"/>
                <w:szCs w:val="21"/>
              </w:rPr>
              <w:t>应用场景：</w:t>
            </w:r>
          </w:p>
        </w:tc>
      </w:tr>
      <w:tr w14:paraId="679F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DABE98B">
            <w:pPr>
              <w:jc w:val="center"/>
              <w:rPr>
                <w:rFonts w:hint="eastAsia" w:ascii="宋体" w:hAnsi="宋体" w:eastAsia="宋体" w:cs="宋体"/>
              </w:rPr>
            </w:pPr>
            <w:r>
              <w:rPr>
                <w:rFonts w:hint="eastAsia" w:ascii="宋体" w:hAnsi="宋体" w:eastAsia="宋体" w:cs="宋体"/>
              </w:rPr>
              <w:t>1、</w:t>
            </w:r>
          </w:p>
        </w:tc>
        <w:tc>
          <w:tcPr>
            <w:tcW w:w="8573" w:type="dxa"/>
          </w:tcPr>
          <w:p w14:paraId="472B6A73">
            <w:pPr>
              <w:rPr>
                <w:rFonts w:hint="eastAsia" w:ascii="宋体" w:hAnsi="宋体" w:eastAsia="宋体" w:cs="宋体"/>
              </w:rPr>
            </w:pPr>
            <w:r>
              <w:rPr>
                <w:rFonts w:hint="eastAsia" w:ascii="宋体" w:hAnsi="宋体" w:eastAsia="宋体" w:cs="宋体"/>
                <w:kern w:val="0"/>
                <w:szCs w:val="21"/>
              </w:rPr>
              <w:t>主要用于手术室内</w:t>
            </w:r>
            <w:r>
              <w:rPr>
                <w:rFonts w:hint="eastAsia" w:ascii="宋体" w:hAnsi="宋体" w:eastAsia="宋体" w:cs="宋体"/>
                <w:szCs w:val="21"/>
              </w:rPr>
              <w:t>设备的安放和固定，以及相关医疗设备所需要的医用气体和强弱电的供应</w:t>
            </w:r>
          </w:p>
        </w:tc>
      </w:tr>
      <w:tr w14:paraId="0D7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2658499">
            <w:pPr>
              <w:jc w:val="center"/>
              <w:rPr>
                <w:rFonts w:hint="eastAsia" w:ascii="宋体" w:hAnsi="宋体" w:eastAsia="宋体" w:cs="宋体"/>
                <w:b/>
                <w:bCs/>
              </w:rPr>
            </w:pPr>
            <w:r>
              <w:rPr>
                <w:rFonts w:hint="eastAsia" w:ascii="宋体" w:hAnsi="宋体" w:eastAsia="宋体" w:cs="宋体"/>
                <w:b/>
                <w:bCs/>
                <w:kern w:val="0"/>
                <w:szCs w:val="21"/>
              </w:rPr>
              <w:t>三、</w:t>
            </w:r>
          </w:p>
        </w:tc>
        <w:tc>
          <w:tcPr>
            <w:tcW w:w="8573" w:type="dxa"/>
          </w:tcPr>
          <w:p w14:paraId="3B9CE7C7">
            <w:pPr>
              <w:rPr>
                <w:rFonts w:hint="eastAsia" w:ascii="宋体" w:hAnsi="宋体" w:eastAsia="宋体" w:cs="宋体"/>
                <w:b/>
                <w:bCs/>
              </w:rPr>
            </w:pPr>
            <w:r>
              <w:rPr>
                <w:rFonts w:hint="eastAsia" w:ascii="宋体" w:hAnsi="宋体" w:eastAsia="宋体" w:cs="宋体"/>
                <w:b/>
                <w:bCs/>
                <w:kern w:val="0"/>
                <w:szCs w:val="21"/>
              </w:rPr>
              <w:t>重要技术参数：</w:t>
            </w:r>
          </w:p>
        </w:tc>
      </w:tr>
      <w:tr w14:paraId="7570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EAE2FD0">
            <w:pPr>
              <w:jc w:val="center"/>
              <w:rPr>
                <w:rFonts w:hint="eastAsia" w:ascii="宋体" w:hAnsi="宋体" w:eastAsia="宋体" w:cs="宋体"/>
              </w:rPr>
            </w:pPr>
            <w:r>
              <w:rPr>
                <w:rFonts w:hint="eastAsia" w:ascii="宋体" w:hAnsi="宋体" w:eastAsia="宋体" w:cs="宋体"/>
                <w:kern w:val="0"/>
                <w:szCs w:val="21"/>
              </w:rPr>
              <w:t>★1、</w:t>
            </w:r>
          </w:p>
        </w:tc>
        <w:tc>
          <w:tcPr>
            <w:tcW w:w="8573" w:type="dxa"/>
          </w:tcPr>
          <w:p w14:paraId="0B6D26A4">
            <w:pPr>
              <w:widowControl/>
              <w:jc w:val="left"/>
              <w:rPr>
                <w:rFonts w:hint="eastAsia" w:ascii="宋体" w:hAnsi="宋体" w:eastAsia="宋体" w:cs="宋体"/>
              </w:rPr>
            </w:pPr>
            <w:r>
              <w:rPr>
                <w:rFonts w:hint="eastAsia" w:ascii="宋体" w:hAnsi="宋体" w:eastAsia="宋体" w:cs="宋体"/>
                <w:kern w:val="0"/>
                <w:szCs w:val="21"/>
              </w:rPr>
              <w:t>所有气体终端采用双层六滚珠设计，气体终端具备三密封圈、弹片设计，防止老化漏气，所有气体接口必须带三状态：通、断、拔，确保可正面带气拆卸维修。</w:t>
            </w:r>
          </w:p>
        </w:tc>
      </w:tr>
      <w:tr w14:paraId="2CF9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99C57F8">
            <w:pPr>
              <w:jc w:val="center"/>
              <w:rPr>
                <w:rFonts w:hint="eastAsia" w:ascii="宋体" w:hAnsi="宋体" w:eastAsia="宋体" w:cs="宋体"/>
              </w:rPr>
            </w:pPr>
            <w:r>
              <w:rPr>
                <w:rFonts w:hint="eastAsia" w:ascii="宋体" w:hAnsi="宋体" w:eastAsia="宋体" w:cs="宋体"/>
                <w:kern w:val="0"/>
                <w:szCs w:val="21"/>
              </w:rPr>
              <w:t>★2、</w:t>
            </w:r>
          </w:p>
        </w:tc>
        <w:tc>
          <w:tcPr>
            <w:tcW w:w="8573" w:type="dxa"/>
          </w:tcPr>
          <w:p w14:paraId="2DE7B437">
            <w:pPr>
              <w:widowControl/>
              <w:jc w:val="left"/>
              <w:rPr>
                <w:rFonts w:hint="eastAsia" w:ascii="宋体" w:hAnsi="宋体" w:eastAsia="宋体" w:cs="宋体"/>
              </w:rPr>
            </w:pPr>
            <w:r>
              <w:rPr>
                <w:rFonts w:hint="eastAsia" w:ascii="宋体" w:hAnsi="宋体" w:eastAsia="宋体" w:cs="宋体"/>
                <w:kern w:val="0"/>
                <w:szCs w:val="21"/>
              </w:rPr>
              <w:t>吊塔内部气体软管须采用</w:t>
            </w:r>
            <w:r>
              <w:rPr>
                <w:rFonts w:ascii="宋体" w:hAnsi="宋体" w:eastAsia="宋体" w:cs="宋体"/>
                <w:kern w:val="0"/>
                <w:szCs w:val="21"/>
              </w:rPr>
              <w:t>EPDM橡胶材质，符合医用供气ISO5359安全标准（此标准要求防腐蚀，抗高压，抗菌，防静电）。不得采用PVC材质，管路为原厂自主生产。</w:t>
            </w:r>
          </w:p>
        </w:tc>
      </w:tr>
      <w:tr w14:paraId="632E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6754279">
            <w:pPr>
              <w:jc w:val="center"/>
              <w:rPr>
                <w:rFonts w:hint="eastAsia" w:ascii="宋体" w:hAnsi="宋体" w:eastAsia="宋体" w:cs="宋体"/>
              </w:rPr>
            </w:pPr>
            <w:r>
              <w:rPr>
                <w:rFonts w:hint="eastAsia" w:ascii="宋体" w:hAnsi="宋体" w:eastAsia="宋体" w:cs="宋体"/>
                <w:kern w:val="0"/>
                <w:szCs w:val="21"/>
              </w:rPr>
              <w:t>▲3、</w:t>
            </w:r>
          </w:p>
        </w:tc>
        <w:tc>
          <w:tcPr>
            <w:tcW w:w="8573" w:type="dxa"/>
          </w:tcPr>
          <w:p w14:paraId="0B8407DB">
            <w:pPr>
              <w:widowControl/>
              <w:jc w:val="left"/>
              <w:rPr>
                <w:rFonts w:hint="eastAsia" w:ascii="宋体" w:hAnsi="宋体" w:eastAsia="宋体" w:cs="宋体"/>
              </w:rPr>
            </w:pPr>
            <w:r>
              <w:rPr>
                <w:rFonts w:hint="eastAsia" w:ascii="宋体" w:hAnsi="宋体" w:eastAsia="宋体" w:cs="宋体"/>
                <w:kern w:val="0"/>
                <w:szCs w:val="21"/>
              </w:rPr>
              <w:t>所有气体终端与吊塔为同一制造商。气体终端带有正向止回阀设计。各类气体插座需符合</w:t>
            </w:r>
            <w:r>
              <w:rPr>
                <w:rFonts w:ascii="宋体" w:hAnsi="宋体" w:eastAsia="宋体" w:cs="宋体"/>
                <w:kern w:val="0"/>
                <w:szCs w:val="21"/>
              </w:rPr>
              <w:t>ISO标识标准，均为不同颜色和不同形状。保障接口5万次以上插拔，为了确保气体拔插的可靠性。</w:t>
            </w:r>
          </w:p>
        </w:tc>
      </w:tr>
      <w:tr w14:paraId="1BDF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C65D5B1">
            <w:pPr>
              <w:jc w:val="center"/>
              <w:rPr>
                <w:rFonts w:hint="eastAsia" w:ascii="宋体" w:hAnsi="宋体" w:eastAsia="宋体" w:cs="宋体"/>
              </w:rPr>
            </w:pPr>
            <w:r>
              <w:rPr>
                <w:rFonts w:hint="eastAsia" w:ascii="宋体" w:hAnsi="宋体" w:eastAsia="宋体" w:cs="宋体"/>
                <w:kern w:val="0"/>
                <w:szCs w:val="21"/>
              </w:rPr>
              <w:t>▲4、</w:t>
            </w:r>
          </w:p>
        </w:tc>
        <w:tc>
          <w:tcPr>
            <w:tcW w:w="8573" w:type="dxa"/>
          </w:tcPr>
          <w:p w14:paraId="69C3E973">
            <w:pPr>
              <w:widowControl/>
              <w:jc w:val="left"/>
              <w:rPr>
                <w:rFonts w:hint="eastAsia" w:ascii="宋体" w:hAnsi="宋体" w:eastAsia="宋体" w:cs="宋体"/>
              </w:rPr>
            </w:pPr>
            <w:r>
              <w:rPr>
                <w:rFonts w:hint="eastAsia" w:ascii="宋体" w:hAnsi="宋体" w:eastAsia="宋体" w:cs="宋体"/>
                <w:kern w:val="0"/>
                <w:szCs w:val="21"/>
              </w:rPr>
              <w:t>吊塔轴承的基本额定动载荷≥</w:t>
            </w:r>
            <w:r>
              <w:rPr>
                <w:rFonts w:ascii="宋体" w:hAnsi="宋体" w:eastAsia="宋体" w:cs="宋体"/>
                <w:kern w:val="0"/>
                <w:szCs w:val="21"/>
              </w:rPr>
              <w:t>10000KG; 基本额定静载荷≥60000KG。吊塔轴承需采用平面推力滚针轴承，确保载荷均匀分布，可承受很高的轴向载荷，采用高精度滚针，其滚针硬度≥60HRC。</w:t>
            </w:r>
          </w:p>
        </w:tc>
      </w:tr>
      <w:tr w14:paraId="43AB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3F82F2F">
            <w:pPr>
              <w:jc w:val="center"/>
              <w:rPr>
                <w:rFonts w:hint="eastAsia" w:ascii="宋体" w:hAnsi="宋体" w:eastAsia="宋体" w:cs="宋体"/>
              </w:rPr>
            </w:pPr>
            <w:r>
              <w:rPr>
                <w:rFonts w:hint="eastAsia" w:ascii="宋体" w:hAnsi="宋体" w:eastAsia="宋体" w:cs="宋体"/>
                <w:kern w:val="0"/>
                <w:szCs w:val="21"/>
              </w:rPr>
              <w:t>★5、</w:t>
            </w:r>
          </w:p>
        </w:tc>
        <w:tc>
          <w:tcPr>
            <w:tcW w:w="8573" w:type="dxa"/>
          </w:tcPr>
          <w:p w14:paraId="13371849">
            <w:pPr>
              <w:widowControl/>
              <w:jc w:val="left"/>
              <w:rPr>
                <w:rFonts w:hint="eastAsia" w:ascii="宋体" w:hAnsi="宋体" w:eastAsia="宋体" w:cs="宋体"/>
              </w:rPr>
            </w:pPr>
            <w:r>
              <w:rPr>
                <w:rFonts w:hint="eastAsia" w:ascii="宋体" w:hAnsi="宋体" w:eastAsia="宋体" w:cs="宋体"/>
                <w:kern w:val="0"/>
                <w:szCs w:val="21"/>
              </w:rPr>
              <w:t>托盘高硬度、抗静电、防褪色镁铝合金材质，一体成型设计，无铆钉，四角并带一体成型橡胶防撞角。</w:t>
            </w:r>
          </w:p>
        </w:tc>
      </w:tr>
      <w:tr w14:paraId="02EB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170863D">
            <w:pPr>
              <w:jc w:val="center"/>
              <w:rPr>
                <w:rFonts w:hint="eastAsia" w:ascii="宋体" w:hAnsi="宋体" w:eastAsia="宋体" w:cs="宋体"/>
              </w:rPr>
            </w:pPr>
            <w:r>
              <w:rPr>
                <w:rFonts w:hint="eastAsia" w:ascii="宋体" w:hAnsi="宋体" w:eastAsia="宋体" w:cs="宋体"/>
                <w:kern w:val="0"/>
                <w:szCs w:val="21"/>
              </w:rPr>
              <w:t>▲6、</w:t>
            </w:r>
          </w:p>
        </w:tc>
        <w:tc>
          <w:tcPr>
            <w:tcW w:w="8573" w:type="dxa"/>
          </w:tcPr>
          <w:p w14:paraId="74DAA4A7">
            <w:pPr>
              <w:rPr>
                <w:rFonts w:hint="eastAsia" w:ascii="宋体" w:hAnsi="宋体" w:eastAsia="宋体" w:cs="宋体"/>
              </w:rPr>
            </w:pPr>
            <w:r>
              <w:rPr>
                <w:rFonts w:hint="eastAsia" w:ascii="宋体" w:hAnsi="宋体" w:eastAsia="宋体" w:cs="宋体"/>
                <w:kern w:val="0"/>
                <w:szCs w:val="21"/>
              </w:rPr>
              <w:t>吊塔表面粉末涂层厚度应≥</w:t>
            </w:r>
            <w:r>
              <w:rPr>
                <w:rFonts w:ascii="宋体" w:hAnsi="宋体" w:eastAsia="宋体" w:cs="宋体"/>
                <w:kern w:val="0"/>
                <w:szCs w:val="21"/>
              </w:rPr>
              <w:t>70微米。</w:t>
            </w:r>
          </w:p>
        </w:tc>
      </w:tr>
      <w:tr w14:paraId="787C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38D0F97">
            <w:pPr>
              <w:jc w:val="center"/>
              <w:rPr>
                <w:rFonts w:hint="eastAsia" w:ascii="宋体" w:hAnsi="宋体" w:eastAsia="宋体" w:cs="宋体"/>
                <w:b/>
                <w:bCs/>
              </w:rPr>
            </w:pPr>
            <w:r>
              <w:rPr>
                <w:rFonts w:hint="eastAsia" w:ascii="宋体" w:hAnsi="宋体" w:eastAsia="宋体" w:cs="宋体"/>
                <w:b/>
                <w:bCs/>
                <w:kern w:val="0"/>
                <w:szCs w:val="21"/>
              </w:rPr>
              <w:t>四、</w:t>
            </w:r>
          </w:p>
        </w:tc>
        <w:tc>
          <w:tcPr>
            <w:tcW w:w="8573" w:type="dxa"/>
          </w:tcPr>
          <w:p w14:paraId="759BE3BA">
            <w:pPr>
              <w:widowControl/>
              <w:jc w:val="left"/>
              <w:rPr>
                <w:rFonts w:hint="eastAsia" w:ascii="宋体" w:hAnsi="宋体" w:eastAsia="宋体" w:cs="宋体"/>
                <w:b/>
                <w:bCs/>
              </w:rPr>
            </w:pPr>
            <w:r>
              <w:rPr>
                <w:rFonts w:hint="eastAsia" w:ascii="宋体" w:hAnsi="宋体" w:eastAsia="宋体" w:cs="宋体"/>
                <w:b/>
                <w:bCs/>
                <w:kern w:val="0"/>
                <w:szCs w:val="21"/>
              </w:rPr>
              <w:t>一般技术参数：</w:t>
            </w:r>
          </w:p>
        </w:tc>
      </w:tr>
      <w:tr w14:paraId="237B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66A0C78">
            <w:pPr>
              <w:jc w:val="center"/>
              <w:rPr>
                <w:rFonts w:hint="eastAsia" w:ascii="宋体" w:hAnsi="宋体" w:eastAsia="宋体" w:cs="宋体"/>
              </w:rPr>
            </w:pPr>
            <w:r>
              <w:rPr>
                <w:rFonts w:hint="eastAsia" w:ascii="宋体" w:hAnsi="宋体" w:eastAsia="宋体" w:cs="宋体"/>
              </w:rPr>
              <w:t>1、</w:t>
            </w:r>
          </w:p>
        </w:tc>
        <w:tc>
          <w:tcPr>
            <w:tcW w:w="8573" w:type="dxa"/>
          </w:tcPr>
          <w:p w14:paraId="3D6D419E">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所投吊塔品牌必需具有由第三方检测机构或出具的防撞测试、四倍承重测试检测，提供测试检测通过合格报告复印件。</w:t>
            </w:r>
          </w:p>
        </w:tc>
      </w:tr>
      <w:tr w14:paraId="1A73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649A869">
            <w:pPr>
              <w:jc w:val="center"/>
              <w:rPr>
                <w:rFonts w:hint="eastAsia" w:ascii="宋体" w:hAnsi="宋体" w:eastAsia="宋体" w:cs="宋体"/>
              </w:rPr>
            </w:pPr>
            <w:r>
              <w:rPr>
                <w:rFonts w:hint="eastAsia" w:ascii="宋体" w:hAnsi="宋体" w:eastAsia="宋体" w:cs="宋体"/>
              </w:rPr>
              <w:t>2、</w:t>
            </w:r>
          </w:p>
        </w:tc>
        <w:tc>
          <w:tcPr>
            <w:tcW w:w="8573" w:type="dxa"/>
          </w:tcPr>
          <w:p w14:paraId="12CE9692">
            <w:pPr>
              <w:pStyle w:val="9"/>
              <w:widowControl/>
              <w:ind w:left="360" w:hanging="360" w:firstLineChars="0"/>
              <w:jc w:val="left"/>
              <w:rPr>
                <w:rFonts w:hint="eastAsia" w:ascii="宋体" w:hAnsi="宋体" w:eastAsia="宋体" w:cs="宋体"/>
              </w:rPr>
            </w:pPr>
            <w:r>
              <w:rPr>
                <w:rFonts w:hint="eastAsia" w:ascii="宋体" w:hAnsi="宋体" w:eastAsia="宋体" w:cs="宋体"/>
                <w:kern w:val="0"/>
                <w:szCs w:val="21"/>
              </w:rPr>
              <w:t>提供第三方合作机构出具的吊塔预埋件安装方式及安全性的计算报告。</w:t>
            </w:r>
          </w:p>
        </w:tc>
      </w:tr>
      <w:tr w14:paraId="69E0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A7AB08F">
            <w:pPr>
              <w:jc w:val="center"/>
              <w:rPr>
                <w:rFonts w:hint="eastAsia" w:ascii="宋体" w:hAnsi="宋体" w:eastAsia="宋体" w:cs="宋体"/>
              </w:rPr>
            </w:pPr>
            <w:r>
              <w:rPr>
                <w:rFonts w:hint="eastAsia" w:ascii="宋体" w:hAnsi="宋体" w:eastAsia="宋体" w:cs="宋体"/>
              </w:rPr>
              <w:t>3、</w:t>
            </w:r>
          </w:p>
        </w:tc>
        <w:tc>
          <w:tcPr>
            <w:tcW w:w="8573" w:type="dxa"/>
          </w:tcPr>
          <w:p w14:paraId="5FD42D72">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吊塔主体材料要求为高强度铝合金</w:t>
            </w:r>
            <w:r>
              <w:rPr>
                <w:rFonts w:ascii="宋体" w:hAnsi="宋体" w:eastAsia="宋体" w:cs="宋体"/>
                <w:kern w:val="0"/>
                <w:szCs w:val="21"/>
              </w:rPr>
              <w:t>, 圆弧形全封闭式设计，吊塔整体表面无锐角，无螺丝钉外露, 抗金属疲劳强度高，长时间承重不变形。材料必须防腐蚀，便于清洗，适合医用洁净环境。</w:t>
            </w:r>
          </w:p>
        </w:tc>
      </w:tr>
      <w:tr w14:paraId="7A94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0656790">
            <w:pPr>
              <w:jc w:val="center"/>
              <w:rPr>
                <w:rFonts w:hint="eastAsia" w:ascii="宋体" w:hAnsi="宋体" w:eastAsia="宋体" w:cs="宋体"/>
              </w:rPr>
            </w:pPr>
            <w:r>
              <w:rPr>
                <w:rFonts w:hint="eastAsia" w:ascii="宋体" w:hAnsi="宋体" w:eastAsia="宋体" w:cs="宋体"/>
              </w:rPr>
              <w:t>4、</w:t>
            </w:r>
          </w:p>
        </w:tc>
        <w:tc>
          <w:tcPr>
            <w:tcW w:w="8573" w:type="dxa"/>
          </w:tcPr>
          <w:p w14:paraId="2D42E691">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所有负压气体管道和气口必须</w:t>
            </w:r>
            <w:r>
              <w:rPr>
                <w:rFonts w:ascii="宋体" w:hAnsi="宋体" w:eastAsia="宋体" w:cs="宋体"/>
                <w:kern w:val="0"/>
                <w:szCs w:val="21"/>
              </w:rPr>
              <w:t>1：1配置，真正达到一用一备的临床使用效果，不得采用在吊塔内部采用双通或三通来连接负压气管。</w:t>
            </w:r>
          </w:p>
        </w:tc>
      </w:tr>
      <w:tr w14:paraId="7C1C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BF7E1ED">
            <w:pPr>
              <w:jc w:val="center"/>
              <w:rPr>
                <w:rFonts w:hint="eastAsia" w:ascii="宋体" w:hAnsi="宋体" w:eastAsia="宋体" w:cs="宋体"/>
              </w:rPr>
            </w:pPr>
            <w:r>
              <w:rPr>
                <w:rFonts w:hint="eastAsia" w:ascii="宋体" w:hAnsi="宋体" w:eastAsia="宋体" w:cs="宋体"/>
              </w:rPr>
              <w:t>5、</w:t>
            </w:r>
          </w:p>
        </w:tc>
        <w:tc>
          <w:tcPr>
            <w:tcW w:w="8573" w:type="dxa"/>
          </w:tcPr>
          <w:p w14:paraId="0FA305A9">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有电源线路及气源管路必须在塔体内不能外露，保证吊塔在移动过程中，不会因位置的改变导致线路脱落的意外发生。吊柱内部上下三层设计，完全保证气电分离；底部设计有导流孔，可顺畅排除意外情况下产生的气体泄漏；内部空间充足，有利于数字化穿线，便于升级。</w:t>
            </w:r>
          </w:p>
        </w:tc>
      </w:tr>
      <w:tr w14:paraId="7FE7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ABA6A5C">
            <w:pPr>
              <w:jc w:val="center"/>
              <w:rPr>
                <w:rFonts w:hint="eastAsia" w:ascii="宋体" w:hAnsi="宋体" w:eastAsia="宋体" w:cs="宋体"/>
              </w:rPr>
            </w:pPr>
            <w:r>
              <w:rPr>
                <w:rFonts w:hint="eastAsia" w:ascii="宋体" w:hAnsi="宋体" w:eastAsia="宋体" w:cs="宋体"/>
              </w:rPr>
              <w:t>6、</w:t>
            </w:r>
          </w:p>
        </w:tc>
        <w:tc>
          <w:tcPr>
            <w:tcW w:w="8573" w:type="dxa"/>
          </w:tcPr>
          <w:p w14:paraId="5C8F48C7">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吊塔设备表面采用高含量聚酯树脂的抗菌喷粉涂层，能有效抑菌细菌滋生。抗菌率≥</w:t>
            </w:r>
            <w:r>
              <w:rPr>
                <w:rFonts w:ascii="宋体" w:hAnsi="宋体" w:eastAsia="宋体" w:cs="宋体"/>
                <w:kern w:val="0"/>
                <w:szCs w:val="21"/>
              </w:rPr>
              <w:t>99.9%</w:t>
            </w:r>
          </w:p>
        </w:tc>
      </w:tr>
      <w:tr w14:paraId="242A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B1B3585">
            <w:pPr>
              <w:jc w:val="center"/>
              <w:rPr>
                <w:rFonts w:hint="eastAsia" w:ascii="宋体" w:hAnsi="宋体" w:eastAsia="宋体" w:cs="宋体"/>
              </w:rPr>
            </w:pPr>
            <w:r>
              <w:rPr>
                <w:rFonts w:hint="eastAsia" w:ascii="宋体" w:hAnsi="宋体" w:eastAsia="宋体" w:cs="宋体"/>
              </w:rPr>
              <w:t>7、</w:t>
            </w:r>
          </w:p>
        </w:tc>
        <w:tc>
          <w:tcPr>
            <w:tcW w:w="8573" w:type="dxa"/>
          </w:tcPr>
          <w:p w14:paraId="5DE137E9">
            <w:pPr>
              <w:pStyle w:val="9"/>
              <w:widowControl/>
              <w:ind w:left="360" w:hanging="360" w:firstLineChars="0"/>
              <w:jc w:val="left"/>
              <w:rPr>
                <w:rFonts w:hint="eastAsia" w:ascii="宋体" w:hAnsi="宋体" w:eastAsia="宋体" w:cs="宋体"/>
                <w:kern w:val="0"/>
                <w:szCs w:val="21"/>
              </w:rPr>
            </w:pPr>
            <w:r>
              <w:rPr>
                <w:rFonts w:hint="eastAsia" w:ascii="宋体" w:hAnsi="宋体" w:eastAsia="宋体" w:cs="宋体"/>
                <w:kern w:val="0"/>
                <w:szCs w:val="21"/>
              </w:rPr>
              <w:t>吊塔悬臂水平关节活动度≥</w:t>
            </w:r>
            <w:r>
              <w:rPr>
                <w:rFonts w:ascii="宋体" w:hAnsi="宋体" w:eastAsia="宋体" w:cs="宋体"/>
                <w:kern w:val="0"/>
                <w:szCs w:val="21"/>
              </w:rPr>
              <w:t>330°</w:t>
            </w:r>
          </w:p>
        </w:tc>
      </w:tr>
      <w:tr w14:paraId="7415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7C440ED">
            <w:pPr>
              <w:jc w:val="center"/>
              <w:rPr>
                <w:rFonts w:hint="eastAsia" w:ascii="宋体" w:hAnsi="宋体" w:eastAsia="宋体" w:cs="宋体"/>
              </w:rPr>
            </w:pPr>
            <w:r>
              <w:rPr>
                <w:rFonts w:hint="eastAsia" w:ascii="宋体" w:hAnsi="宋体" w:eastAsia="宋体" w:cs="宋体"/>
              </w:rPr>
              <w:t>8、</w:t>
            </w:r>
          </w:p>
        </w:tc>
        <w:tc>
          <w:tcPr>
            <w:tcW w:w="8573" w:type="dxa"/>
          </w:tcPr>
          <w:p w14:paraId="5EFB91CC">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可选配气动刹车和电磁刹车，通过释放空气和电磁的原理控制刹车，各关节处应有与刹车控制开关相对应的特殊颜色标识，以免误操作。</w:t>
            </w:r>
          </w:p>
        </w:tc>
      </w:tr>
      <w:tr w14:paraId="6C86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A7EBC06">
            <w:pPr>
              <w:jc w:val="center"/>
              <w:rPr>
                <w:rFonts w:hint="eastAsia" w:ascii="宋体" w:hAnsi="宋体" w:eastAsia="宋体" w:cs="宋体"/>
              </w:rPr>
            </w:pPr>
            <w:r>
              <w:rPr>
                <w:rFonts w:hint="eastAsia" w:ascii="宋体" w:hAnsi="宋体" w:eastAsia="宋体" w:cs="宋体"/>
              </w:rPr>
              <w:t>9、</w:t>
            </w:r>
          </w:p>
        </w:tc>
        <w:tc>
          <w:tcPr>
            <w:tcW w:w="8573" w:type="dxa"/>
          </w:tcPr>
          <w:p w14:paraId="1B001084">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为保障医院不同空间的不同使用需求，投标产品应具备多样性，同型号的产品应兼顾吊柱式和吊架式的医用吊塔。</w:t>
            </w:r>
          </w:p>
        </w:tc>
      </w:tr>
      <w:tr w14:paraId="3909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AF97F3C">
            <w:pPr>
              <w:jc w:val="center"/>
              <w:rPr>
                <w:rFonts w:hint="eastAsia" w:ascii="宋体" w:hAnsi="宋体" w:eastAsia="宋体" w:cs="宋体"/>
              </w:rPr>
            </w:pPr>
            <w:r>
              <w:rPr>
                <w:rFonts w:hint="eastAsia" w:ascii="宋体" w:hAnsi="宋体" w:eastAsia="宋体" w:cs="宋体"/>
              </w:rPr>
              <w:t>10、</w:t>
            </w:r>
          </w:p>
        </w:tc>
        <w:tc>
          <w:tcPr>
            <w:tcW w:w="8573" w:type="dxa"/>
          </w:tcPr>
          <w:p w14:paraId="50932BF0">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悬挂麻醉机的吊塔带机械、红外、电磁三重保护装置，悬挂重量过大的麻醉机时可提供安全锁开关保护。</w:t>
            </w:r>
          </w:p>
        </w:tc>
      </w:tr>
      <w:tr w14:paraId="05C0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BE1B9C8">
            <w:pPr>
              <w:jc w:val="center"/>
              <w:rPr>
                <w:rFonts w:hint="eastAsia" w:ascii="宋体" w:hAnsi="宋体" w:eastAsia="宋体" w:cs="宋体"/>
              </w:rPr>
            </w:pPr>
            <w:r>
              <w:rPr>
                <w:rFonts w:hint="eastAsia" w:ascii="宋体" w:hAnsi="宋体" w:eastAsia="宋体" w:cs="宋体"/>
              </w:rPr>
              <w:t>11、</w:t>
            </w:r>
          </w:p>
        </w:tc>
        <w:tc>
          <w:tcPr>
            <w:tcW w:w="8573" w:type="dxa"/>
          </w:tcPr>
          <w:p w14:paraId="5DA10818">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电动提升距离≥600mm，箱体上需配置升降控制模块，平台前段和箱体中部也可选配控制把手。</w:t>
            </w:r>
          </w:p>
        </w:tc>
      </w:tr>
      <w:tr w14:paraId="2736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0C081B7">
            <w:pPr>
              <w:jc w:val="center"/>
              <w:rPr>
                <w:rFonts w:hint="eastAsia" w:ascii="宋体" w:hAnsi="宋体" w:eastAsia="宋体" w:cs="宋体"/>
              </w:rPr>
            </w:pPr>
            <w:r>
              <w:rPr>
                <w:rFonts w:hint="eastAsia" w:ascii="宋体" w:hAnsi="宋体" w:eastAsia="宋体" w:cs="宋体"/>
              </w:rPr>
              <w:t>12、</w:t>
            </w:r>
          </w:p>
        </w:tc>
        <w:tc>
          <w:tcPr>
            <w:tcW w:w="8573" w:type="dxa"/>
          </w:tcPr>
          <w:p w14:paraId="343D1AB4">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拥有形状和色彩标识，气动刹车按钮需要与横臂上颜色对应，电动升降按钮需要有上，下的形状标识，方便控制相对于的横臂及功能。</w:t>
            </w:r>
          </w:p>
        </w:tc>
      </w:tr>
    </w:tbl>
    <w:p w14:paraId="677540D4">
      <w:pPr>
        <w:rPr>
          <w:rFonts w:hint="eastAsia" w:ascii="宋体" w:hAnsi="宋体" w:eastAsia="宋体" w:cs="宋体"/>
        </w:rPr>
      </w:pPr>
    </w:p>
    <w:p w14:paraId="1844F4E3">
      <w:pPr>
        <w:rPr>
          <w:rFonts w:hint="eastAsia" w:ascii="宋体" w:hAnsi="宋体" w:eastAsia="宋体" w:cs="宋体"/>
        </w:rPr>
      </w:pPr>
    </w:p>
    <w:p w14:paraId="02DCE49C">
      <w:pPr>
        <w:widowControl/>
        <w:jc w:val="left"/>
        <w:rPr>
          <w:rFonts w:hint="eastAsia" w:ascii="宋体" w:hAnsi="宋体" w:eastAsia="宋体" w:cs="宋体"/>
        </w:rPr>
      </w:pPr>
    </w:p>
    <w:p w14:paraId="6F3AF15C">
      <w:pPr>
        <w:widowControl/>
        <w:jc w:val="left"/>
        <w:rPr>
          <w:rFonts w:hint="eastAsia"/>
        </w:rPr>
      </w:pPr>
    </w:p>
    <w:sectPr>
      <w:headerReference r:id="rId5" w:type="first"/>
      <w:headerReference r:id="rId3" w:type="default"/>
      <w:headerReference r:id="rId4" w:type="even"/>
      <w:pgSz w:w="11906" w:h="16838"/>
      <w:pgMar w:top="1213" w:right="1213" w:bottom="121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6C74">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EC1C">
    <w:pPr>
      <w:pStyle w:val="3"/>
      <w:rPr>
        <w:rFonts w:hint="eastAsia"/>
      </w:rPr>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443865" cy="443865"/>
              <wp:effectExtent l="0" t="0" r="7620" b="6350"/>
              <wp:wrapNone/>
              <wp:docPr id="2" name="文本框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1F69C">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60288;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PfgNNIAAAADAQAADwAAAAAAAAABACAAAAAiAAAAZHJzL2Rvd25yZXYu&#10;eG1sUEsBAhQAFAAAAAgAh07iQCF1lcw6AgAAZQQAAA4AAAAAAAAAAQAgAAAAIQEAAGRycy9lMm9E&#10;b2MueG1sUEsFBgAAAAAGAAYAWQEAAM0FAAAAAA==&#10;">
              <v:fill on="f" focussize="0,0"/>
              <v:stroke on="f"/>
              <v:imagedata o:title=""/>
              <o:lock v:ext="edit" aspectratio="f"/>
              <v:textbox inset="20pt,15pt,0mm,0mm" style="mso-fit-shape-to-text:t;">
                <w:txbxContent>
                  <w:p w14:paraId="32F1F69C">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D234">
    <w:pPr>
      <w:pStyle w:val="3"/>
      <w:rPr>
        <w:rFonts w:hint="eastAsia"/>
      </w:rPr>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top</wp:align>
              </wp:positionV>
              <wp:extent cx="443865" cy="443865"/>
              <wp:effectExtent l="0" t="0" r="7620" b="6350"/>
              <wp:wrapNone/>
              <wp:docPr id="1" name="文本框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6C423">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5926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j34DTSAAAAAwEAAA8AAAAAAAAAAQAgAAAAIgAAAGRycy9kb3ducmV2Lnht&#10;bFBLAQIUABQAAAAIAIdO4kC5xZOPOAIAAGUEAAAOAAAAAAAAAAEAIAAAACEBAABkcnMvZTJvRG9j&#10;LnhtbFBLBQYAAAAABgAGAFkBAADLBQAAAAA=&#10;">
              <v:fill on="f" focussize="0,0"/>
              <v:stroke on="f"/>
              <v:imagedata o:title=""/>
              <o:lock v:ext="edit" aspectratio="f"/>
              <v:textbox inset="20pt,15pt,0mm,0mm" style="mso-fit-shape-to-text:t;">
                <w:txbxContent>
                  <w:p w14:paraId="5006C423">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MjBiMTlkZjU0MmFjYmRhMDhlMWFlNTEzNTNjZDkifQ=="/>
  </w:docVars>
  <w:rsids>
    <w:rsidRoot w:val="008204C3"/>
    <w:rsid w:val="000739B3"/>
    <w:rsid w:val="00126DBD"/>
    <w:rsid w:val="00132213"/>
    <w:rsid w:val="00173912"/>
    <w:rsid w:val="001C2CFB"/>
    <w:rsid w:val="001E7B9C"/>
    <w:rsid w:val="00222221"/>
    <w:rsid w:val="002B51E1"/>
    <w:rsid w:val="002E7905"/>
    <w:rsid w:val="00357EFE"/>
    <w:rsid w:val="003926E9"/>
    <w:rsid w:val="003A2A29"/>
    <w:rsid w:val="003C261A"/>
    <w:rsid w:val="00447A1C"/>
    <w:rsid w:val="00473ABA"/>
    <w:rsid w:val="00477268"/>
    <w:rsid w:val="00516F35"/>
    <w:rsid w:val="006108C3"/>
    <w:rsid w:val="00626629"/>
    <w:rsid w:val="00630AF5"/>
    <w:rsid w:val="00661EA4"/>
    <w:rsid w:val="00670E08"/>
    <w:rsid w:val="00674B97"/>
    <w:rsid w:val="0075704C"/>
    <w:rsid w:val="00794D66"/>
    <w:rsid w:val="007B3E2D"/>
    <w:rsid w:val="008204C3"/>
    <w:rsid w:val="00826DBE"/>
    <w:rsid w:val="008456B3"/>
    <w:rsid w:val="0087569C"/>
    <w:rsid w:val="008A4634"/>
    <w:rsid w:val="009B50C3"/>
    <w:rsid w:val="009C5101"/>
    <w:rsid w:val="009F42CF"/>
    <w:rsid w:val="00A04407"/>
    <w:rsid w:val="00A11733"/>
    <w:rsid w:val="00A40E22"/>
    <w:rsid w:val="00A56332"/>
    <w:rsid w:val="00AB4A9C"/>
    <w:rsid w:val="00B14169"/>
    <w:rsid w:val="00B66A6E"/>
    <w:rsid w:val="00B81326"/>
    <w:rsid w:val="00C70746"/>
    <w:rsid w:val="00C90E20"/>
    <w:rsid w:val="00CA7BA4"/>
    <w:rsid w:val="00CD3B64"/>
    <w:rsid w:val="00D53F4C"/>
    <w:rsid w:val="00E40BAD"/>
    <w:rsid w:val="00E65309"/>
    <w:rsid w:val="00EE4216"/>
    <w:rsid w:val="00EE7EFB"/>
    <w:rsid w:val="00F364D1"/>
    <w:rsid w:val="0C6943CB"/>
    <w:rsid w:val="160C46A9"/>
    <w:rsid w:val="1AB943B7"/>
    <w:rsid w:val="1F0A2D75"/>
    <w:rsid w:val="20D64B1C"/>
    <w:rsid w:val="234327EA"/>
    <w:rsid w:val="25C70DAC"/>
    <w:rsid w:val="322F2F43"/>
    <w:rsid w:val="410701E9"/>
    <w:rsid w:val="49680F54"/>
    <w:rsid w:val="5C57427B"/>
    <w:rsid w:val="64486B2D"/>
    <w:rsid w:val="6DC16C0F"/>
    <w:rsid w:val="7C05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1289</Words>
  <Characters>1333</Characters>
  <Lines>10</Lines>
  <Paragraphs>2</Paragraphs>
  <TotalTime>2</TotalTime>
  <ScaleCrop>false</ScaleCrop>
  <LinksUpToDate>false</LinksUpToDate>
  <CharactersWithSpaces>1336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2024-07-23T10:19:00Z</dcterms:created>
  <dc:creator>user</dc:creator>
  <cp:lastModifiedBy>杨俐君</cp:lastModifiedBy>
  <dcterms:modified xsi:type="dcterms:W3CDTF">2024-07-23T21:30:02Z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#ff8f1f,10,Arial</vt:lpwstr>
  </property>
  <property fmtid="{D5CDD505-2E9C-101B-9397-08002B2CF9AE}" pid="4" name="ClassificationContentMarkingHeaderText">
    <vt:lpwstr>Internal</vt:lpwstr>
  </property>
  <property fmtid="{D5CDD505-2E9C-101B-9397-08002B2CF9AE}" pid="5" name="KSOProductBuildVer">
    <vt:lpwstr>2052-12.1.0.17147</vt:lpwstr>
  </property>
  <property fmtid="{D5CDD505-2E9C-101B-9397-08002B2CF9AE}" pid="6" name="ICV">
    <vt:lpwstr>EE2A09CD62774A939D627C8E3A4F45D3_13</vt:lpwstr>
  </property>
</Properties>
</file>