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9A159">
      <w:pPr>
        <w:jc w:val="center"/>
        <w:rPr>
          <w:rFonts w:hint="eastAsia" w:ascii="宋体" w:hAnsi="宋体" w:eastAsia="宋体" w:cs="宋体"/>
          <w:sz w:val="24"/>
          <w:szCs w:val="28"/>
        </w:rPr>
      </w:pPr>
      <w:bookmarkStart w:id="0" w:name="_GoBack"/>
      <w:r>
        <w:rPr>
          <w:rFonts w:hint="eastAsia" w:ascii="宋体" w:hAnsi="宋体" w:eastAsia="宋体" w:cs="宋体"/>
          <w:sz w:val="24"/>
          <w:szCs w:val="28"/>
        </w:rPr>
        <w:t>麻醉吊塔Ⅱ</w:t>
      </w:r>
      <w:bookmarkEnd w:id="0"/>
      <w:r>
        <w:rPr>
          <w:rFonts w:hint="eastAsia" w:ascii="宋体" w:hAnsi="宋体" w:eastAsia="宋体" w:cs="宋体"/>
          <w:sz w:val="24"/>
          <w:szCs w:val="28"/>
        </w:rPr>
        <w:t>设备需求参数</w:t>
      </w:r>
    </w:p>
    <w:p w14:paraId="3A071536">
      <w:pPr>
        <w:rPr>
          <w:rFonts w:hint="eastAsia" w:ascii="宋体" w:hAnsi="宋体" w:eastAsia="宋体" w:cs="宋体"/>
        </w:rPr>
      </w:pPr>
    </w:p>
    <w:tbl>
      <w:tblPr>
        <w:tblStyle w:val="5"/>
        <w:tblpPr w:leftFromText="180" w:rightFromText="180" w:vertAnchor="text" w:horzAnchor="page" w:tblpXSpec="center" w:tblpY="290"/>
        <w:tblOverlap w:val="never"/>
        <w:tblW w:w="9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8573"/>
      </w:tblGrid>
      <w:tr w14:paraId="2E28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3CC579E1">
            <w:pPr>
              <w:jc w:val="center"/>
              <w:rPr>
                <w:rFonts w:hint="eastAsia" w:ascii="宋体" w:hAnsi="宋体" w:eastAsia="宋体" w:cs="宋体"/>
              </w:rPr>
            </w:pPr>
            <w:r>
              <w:rPr>
                <w:rFonts w:hint="eastAsia" w:ascii="宋体" w:hAnsi="宋体" w:eastAsia="宋体" w:cs="宋体"/>
              </w:rPr>
              <w:t>序号</w:t>
            </w:r>
          </w:p>
        </w:tc>
        <w:tc>
          <w:tcPr>
            <w:tcW w:w="8573" w:type="dxa"/>
          </w:tcPr>
          <w:p w14:paraId="7EE18E97">
            <w:pPr>
              <w:jc w:val="center"/>
              <w:rPr>
                <w:rFonts w:hint="eastAsia" w:ascii="宋体" w:hAnsi="宋体" w:eastAsia="宋体" w:cs="宋体"/>
              </w:rPr>
            </w:pPr>
            <w:r>
              <w:rPr>
                <w:rFonts w:hint="eastAsia" w:ascii="宋体" w:hAnsi="宋体" w:eastAsia="宋体" w:cs="宋体"/>
              </w:rPr>
              <w:t>需求描述</w:t>
            </w:r>
          </w:p>
        </w:tc>
      </w:tr>
      <w:tr w14:paraId="2399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591CBD74">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一、</w:t>
            </w:r>
          </w:p>
        </w:tc>
        <w:tc>
          <w:tcPr>
            <w:tcW w:w="8573" w:type="dxa"/>
            <w:vAlign w:val="center"/>
          </w:tcPr>
          <w:p w14:paraId="3E9CE20F">
            <w:pPr>
              <w:widowControl/>
              <w:jc w:val="left"/>
              <w:rPr>
                <w:rFonts w:hint="eastAsia" w:ascii="宋体" w:hAnsi="宋体" w:eastAsia="宋体" w:cs="宋体"/>
                <w:b/>
                <w:bCs/>
                <w:kern w:val="0"/>
                <w:szCs w:val="21"/>
              </w:rPr>
            </w:pPr>
            <w:r>
              <w:rPr>
                <w:rFonts w:hint="eastAsia" w:ascii="宋体" w:hAnsi="宋体" w:eastAsia="宋体" w:cs="宋体"/>
                <w:b/>
                <w:bCs/>
                <w:kern w:val="0"/>
                <w:szCs w:val="21"/>
              </w:rPr>
              <w:t>主要功能及工作原理：</w:t>
            </w:r>
          </w:p>
        </w:tc>
      </w:tr>
      <w:tr w14:paraId="00EB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459C8336">
            <w:pPr>
              <w:jc w:val="center"/>
              <w:rPr>
                <w:rFonts w:hint="eastAsia" w:ascii="宋体" w:hAnsi="宋体" w:eastAsia="宋体" w:cs="宋体"/>
              </w:rPr>
            </w:pPr>
            <w:r>
              <w:rPr>
                <w:rFonts w:hint="eastAsia" w:ascii="宋体" w:hAnsi="宋体" w:eastAsia="宋体" w:cs="宋体"/>
              </w:rPr>
              <w:t>1、</w:t>
            </w:r>
          </w:p>
        </w:tc>
        <w:tc>
          <w:tcPr>
            <w:tcW w:w="8573" w:type="dxa"/>
          </w:tcPr>
          <w:p w14:paraId="20629499">
            <w:pPr>
              <w:rPr>
                <w:rFonts w:hint="eastAsia" w:ascii="宋体" w:hAnsi="宋体" w:eastAsia="宋体" w:cs="宋体"/>
              </w:rPr>
            </w:pPr>
            <w:r>
              <w:rPr>
                <w:rFonts w:hint="eastAsia" w:ascii="宋体" w:hAnsi="宋体" w:eastAsia="宋体" w:cs="宋体"/>
                <w:kern w:val="0"/>
                <w:szCs w:val="21"/>
              </w:rPr>
              <w:t>麻醉吊塔作为气电供应和设备承载的基础设施，具有气电管理和提高层流净化程度的作用，可以有效地利用空间，不占用地面空间；能悬挂麻醉机</w:t>
            </w:r>
            <w:r>
              <w:rPr>
                <w:rFonts w:ascii="宋体" w:hAnsi="宋体" w:eastAsia="宋体" w:cs="宋体"/>
                <w:kern w:val="0"/>
                <w:szCs w:val="21"/>
              </w:rPr>
              <w:t>，对气源和电缆线做安全、有效的管理，给</w:t>
            </w:r>
            <w:r>
              <w:rPr>
                <w:rFonts w:hint="eastAsia" w:ascii="宋体" w:hAnsi="宋体" w:eastAsia="宋体" w:cs="宋体"/>
                <w:kern w:val="0"/>
                <w:szCs w:val="21"/>
              </w:rPr>
              <w:t>麻醉医生</w:t>
            </w:r>
            <w:r>
              <w:rPr>
                <w:rFonts w:ascii="宋体" w:hAnsi="宋体" w:eastAsia="宋体" w:cs="宋体"/>
                <w:kern w:val="0"/>
                <w:szCs w:val="21"/>
              </w:rPr>
              <w:t>提供一个更加整洁、利用率高的治疗空间，提高工作效率，降低治疗中出错的风险，是现代化</w:t>
            </w:r>
            <w:r>
              <w:rPr>
                <w:rFonts w:hint="eastAsia" w:ascii="宋体" w:hAnsi="宋体" w:eastAsia="宋体" w:cs="宋体"/>
                <w:kern w:val="0"/>
                <w:szCs w:val="21"/>
              </w:rPr>
              <w:t>医院科室</w:t>
            </w:r>
            <w:r>
              <w:rPr>
                <w:rFonts w:ascii="宋体" w:hAnsi="宋体" w:eastAsia="宋体" w:cs="宋体"/>
                <w:kern w:val="0"/>
                <w:szCs w:val="21"/>
              </w:rPr>
              <w:t>建设必备的条件。</w:t>
            </w:r>
          </w:p>
        </w:tc>
      </w:tr>
      <w:tr w14:paraId="2895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62CA1406">
            <w:pPr>
              <w:jc w:val="center"/>
              <w:rPr>
                <w:rFonts w:hint="eastAsia" w:ascii="宋体" w:hAnsi="宋体" w:eastAsia="宋体" w:cs="宋体"/>
                <w:b/>
                <w:bCs/>
              </w:rPr>
            </w:pPr>
            <w:r>
              <w:rPr>
                <w:rFonts w:hint="eastAsia" w:ascii="宋体" w:hAnsi="宋体" w:eastAsia="宋体" w:cs="宋体"/>
                <w:b/>
                <w:bCs/>
              </w:rPr>
              <w:t>二、</w:t>
            </w:r>
          </w:p>
        </w:tc>
        <w:tc>
          <w:tcPr>
            <w:tcW w:w="8573" w:type="dxa"/>
          </w:tcPr>
          <w:p w14:paraId="7D6F0EBB">
            <w:pPr>
              <w:rPr>
                <w:rFonts w:hint="eastAsia" w:ascii="宋体" w:hAnsi="宋体" w:eastAsia="宋体" w:cs="宋体"/>
                <w:b/>
                <w:bCs/>
              </w:rPr>
            </w:pPr>
            <w:r>
              <w:rPr>
                <w:rFonts w:hint="eastAsia" w:ascii="宋体" w:hAnsi="宋体" w:eastAsia="宋体" w:cs="宋体"/>
                <w:b/>
                <w:bCs/>
                <w:kern w:val="0"/>
                <w:szCs w:val="21"/>
              </w:rPr>
              <w:t>应用场景：</w:t>
            </w:r>
          </w:p>
        </w:tc>
      </w:tr>
      <w:tr w14:paraId="36B5A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7BBE5886">
            <w:pPr>
              <w:jc w:val="center"/>
              <w:rPr>
                <w:rFonts w:hint="eastAsia" w:ascii="宋体" w:hAnsi="宋体" w:eastAsia="宋体" w:cs="宋体"/>
              </w:rPr>
            </w:pPr>
            <w:r>
              <w:rPr>
                <w:rFonts w:hint="eastAsia" w:ascii="宋体" w:hAnsi="宋体" w:eastAsia="宋体" w:cs="宋体"/>
              </w:rPr>
              <w:t>1、</w:t>
            </w:r>
          </w:p>
        </w:tc>
        <w:tc>
          <w:tcPr>
            <w:tcW w:w="8573" w:type="dxa"/>
          </w:tcPr>
          <w:p w14:paraId="50570DB5">
            <w:pPr>
              <w:rPr>
                <w:rFonts w:hint="eastAsia" w:ascii="宋体" w:hAnsi="宋体" w:eastAsia="宋体" w:cs="宋体"/>
              </w:rPr>
            </w:pPr>
            <w:r>
              <w:rPr>
                <w:rFonts w:hint="eastAsia" w:ascii="宋体" w:hAnsi="宋体" w:eastAsia="宋体" w:cs="宋体"/>
                <w:kern w:val="0"/>
                <w:szCs w:val="21"/>
              </w:rPr>
              <w:t>主要用于手术室内</w:t>
            </w:r>
            <w:r>
              <w:rPr>
                <w:rFonts w:hint="eastAsia" w:ascii="宋体" w:hAnsi="宋体" w:eastAsia="宋体" w:cs="宋体"/>
                <w:szCs w:val="21"/>
              </w:rPr>
              <w:t>设备的安放和固定，以及相关医疗设备所需要的医用气体和强弱电的供应</w:t>
            </w:r>
          </w:p>
        </w:tc>
      </w:tr>
      <w:tr w14:paraId="4A56A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725AD0DB">
            <w:pPr>
              <w:jc w:val="center"/>
              <w:rPr>
                <w:rFonts w:hint="eastAsia" w:ascii="宋体" w:hAnsi="宋体" w:eastAsia="宋体" w:cs="宋体"/>
                <w:b/>
                <w:bCs/>
              </w:rPr>
            </w:pPr>
            <w:r>
              <w:rPr>
                <w:rFonts w:hint="eastAsia" w:ascii="宋体" w:hAnsi="宋体" w:eastAsia="宋体" w:cs="宋体"/>
                <w:b/>
                <w:bCs/>
                <w:kern w:val="0"/>
                <w:szCs w:val="21"/>
              </w:rPr>
              <w:t>三、</w:t>
            </w:r>
          </w:p>
        </w:tc>
        <w:tc>
          <w:tcPr>
            <w:tcW w:w="8573" w:type="dxa"/>
          </w:tcPr>
          <w:p w14:paraId="210B5207">
            <w:pPr>
              <w:rPr>
                <w:rFonts w:hint="eastAsia" w:ascii="宋体" w:hAnsi="宋体" w:eastAsia="宋体" w:cs="宋体"/>
                <w:b/>
                <w:bCs/>
              </w:rPr>
            </w:pPr>
            <w:r>
              <w:rPr>
                <w:rFonts w:hint="eastAsia" w:ascii="宋体" w:hAnsi="宋体" w:eastAsia="宋体" w:cs="宋体"/>
                <w:b/>
                <w:bCs/>
                <w:kern w:val="0"/>
                <w:szCs w:val="21"/>
              </w:rPr>
              <w:t>重要技术参数：</w:t>
            </w:r>
          </w:p>
        </w:tc>
      </w:tr>
      <w:tr w14:paraId="24303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78AE48CF">
            <w:pPr>
              <w:jc w:val="center"/>
              <w:rPr>
                <w:rFonts w:hint="eastAsia" w:ascii="宋体" w:hAnsi="宋体" w:eastAsia="宋体" w:cs="宋体"/>
              </w:rPr>
            </w:pPr>
            <w:r>
              <w:rPr>
                <w:rFonts w:hint="eastAsia" w:ascii="宋体" w:hAnsi="宋体" w:eastAsia="宋体" w:cs="宋体"/>
                <w:kern w:val="0"/>
                <w:szCs w:val="21"/>
              </w:rPr>
              <w:t>★1、</w:t>
            </w:r>
          </w:p>
        </w:tc>
        <w:tc>
          <w:tcPr>
            <w:tcW w:w="8573" w:type="dxa"/>
          </w:tcPr>
          <w:p w14:paraId="512C1BB8">
            <w:pPr>
              <w:widowControl/>
              <w:jc w:val="left"/>
              <w:rPr>
                <w:rFonts w:hint="eastAsia" w:ascii="宋体" w:hAnsi="宋体" w:eastAsia="宋体" w:cs="宋体"/>
              </w:rPr>
            </w:pPr>
            <w:r>
              <w:rPr>
                <w:rFonts w:hint="eastAsia" w:ascii="宋体" w:hAnsi="宋体" w:eastAsia="宋体" w:cs="宋体"/>
                <w:kern w:val="0"/>
                <w:szCs w:val="21"/>
              </w:rPr>
              <w:t>所有气体终端采用双层六滚珠设计，气体终端具备三密封圈、弹片设计，防止老化漏气，所有气体接口必须带三状态：通、断、拔，确保可正面带气拆卸维修。（提供同品牌实物样品及结构图）</w:t>
            </w:r>
          </w:p>
        </w:tc>
      </w:tr>
      <w:tr w14:paraId="1B0F9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68FB7F6B">
            <w:pPr>
              <w:jc w:val="center"/>
              <w:rPr>
                <w:rFonts w:hint="eastAsia" w:ascii="宋体" w:hAnsi="宋体" w:eastAsia="宋体" w:cs="宋体"/>
              </w:rPr>
            </w:pPr>
            <w:r>
              <w:rPr>
                <w:rFonts w:hint="eastAsia" w:ascii="宋体" w:hAnsi="宋体" w:eastAsia="宋体" w:cs="宋体"/>
                <w:kern w:val="0"/>
                <w:szCs w:val="21"/>
              </w:rPr>
              <w:t>★2、</w:t>
            </w:r>
          </w:p>
        </w:tc>
        <w:tc>
          <w:tcPr>
            <w:tcW w:w="8573" w:type="dxa"/>
          </w:tcPr>
          <w:p w14:paraId="135410A7">
            <w:pPr>
              <w:widowControl/>
              <w:jc w:val="left"/>
              <w:rPr>
                <w:rFonts w:hint="eastAsia" w:ascii="宋体" w:hAnsi="宋体" w:eastAsia="宋体" w:cs="宋体"/>
              </w:rPr>
            </w:pPr>
            <w:r>
              <w:rPr>
                <w:rFonts w:hint="eastAsia" w:ascii="宋体" w:hAnsi="宋体" w:eastAsia="宋体" w:cs="宋体"/>
                <w:kern w:val="0"/>
                <w:szCs w:val="21"/>
              </w:rPr>
              <w:t>吊塔内部气体软管须采用</w:t>
            </w:r>
            <w:r>
              <w:rPr>
                <w:rFonts w:ascii="宋体" w:hAnsi="宋体" w:eastAsia="宋体" w:cs="宋体"/>
                <w:kern w:val="0"/>
                <w:szCs w:val="21"/>
              </w:rPr>
              <w:t>EPDM橡胶材质，符合医用供气ISO5359安全标准（此标准要求防腐蚀，抗高压，抗菌，防静电）。不得采用PVC材质，管路为原厂自主生产。（提供CE证书上符合ISO5359的检测依据，橡胶软管材质含量分析的第三方检测报告，提供同品牌实物样品）</w:t>
            </w:r>
          </w:p>
        </w:tc>
      </w:tr>
      <w:tr w14:paraId="1FB40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3FF6CACF">
            <w:pPr>
              <w:jc w:val="center"/>
              <w:rPr>
                <w:rFonts w:hint="eastAsia" w:ascii="宋体" w:hAnsi="宋体" w:eastAsia="宋体" w:cs="宋体"/>
                <w:highlight w:val="none"/>
              </w:rPr>
            </w:pPr>
            <w:r>
              <w:rPr>
                <w:rFonts w:hint="eastAsia" w:ascii="宋体" w:hAnsi="宋体" w:eastAsia="宋体" w:cs="宋体"/>
                <w:kern w:val="0"/>
                <w:szCs w:val="21"/>
                <w:highlight w:val="none"/>
              </w:rPr>
              <w:t>▲3、</w:t>
            </w:r>
          </w:p>
        </w:tc>
        <w:tc>
          <w:tcPr>
            <w:tcW w:w="8573" w:type="dxa"/>
          </w:tcPr>
          <w:p w14:paraId="79CF45C1">
            <w:pPr>
              <w:widowControl/>
              <w:jc w:val="left"/>
              <w:rPr>
                <w:rFonts w:hint="eastAsia" w:ascii="宋体" w:hAnsi="宋体" w:eastAsia="宋体" w:cs="宋体"/>
                <w:highlight w:val="none"/>
              </w:rPr>
            </w:pPr>
            <w:r>
              <w:rPr>
                <w:rFonts w:hint="eastAsia" w:ascii="宋体" w:hAnsi="宋体" w:eastAsia="宋体" w:cs="宋体"/>
                <w:kern w:val="0"/>
                <w:szCs w:val="21"/>
                <w:highlight w:val="none"/>
              </w:rPr>
              <w:t>所有气体终端与吊塔为同一制造商。气体终端带有正向止回阀设计。各类气体插座需符合</w:t>
            </w:r>
            <w:r>
              <w:rPr>
                <w:rFonts w:ascii="宋体" w:hAnsi="宋体" w:eastAsia="宋体" w:cs="宋体"/>
                <w:kern w:val="0"/>
                <w:szCs w:val="21"/>
                <w:highlight w:val="none"/>
              </w:rPr>
              <w:t>ISO标识标准，均为不同颜色和不同形状。保障接口5万次以上插拔，为了确保气体拔插的可靠性。（提供与吊塔同品牌的气体终端的CE认证和同品牌的插拔证明并提供气体终端样品，激光打印标有与吊塔同品牌的商标）</w:t>
            </w:r>
          </w:p>
        </w:tc>
      </w:tr>
      <w:tr w14:paraId="1BCED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585D0EE9">
            <w:pPr>
              <w:jc w:val="center"/>
              <w:rPr>
                <w:rFonts w:hint="eastAsia" w:ascii="宋体" w:hAnsi="宋体" w:eastAsia="宋体" w:cs="宋体"/>
                <w:highlight w:val="none"/>
              </w:rPr>
            </w:pPr>
            <w:r>
              <w:rPr>
                <w:rFonts w:hint="eastAsia" w:ascii="宋体" w:hAnsi="宋体" w:eastAsia="宋体" w:cs="宋体"/>
                <w:kern w:val="0"/>
                <w:szCs w:val="21"/>
                <w:highlight w:val="none"/>
              </w:rPr>
              <w:t>▲4、</w:t>
            </w:r>
          </w:p>
        </w:tc>
        <w:tc>
          <w:tcPr>
            <w:tcW w:w="8573" w:type="dxa"/>
          </w:tcPr>
          <w:p w14:paraId="0511ED72">
            <w:pPr>
              <w:widowControl/>
              <w:jc w:val="left"/>
              <w:rPr>
                <w:rFonts w:hint="eastAsia" w:ascii="宋体" w:hAnsi="宋体" w:eastAsia="宋体" w:cs="宋体"/>
                <w:highlight w:val="none"/>
              </w:rPr>
            </w:pPr>
            <w:r>
              <w:rPr>
                <w:rFonts w:hint="eastAsia" w:ascii="宋体" w:hAnsi="宋体" w:eastAsia="宋体" w:cs="宋体"/>
                <w:kern w:val="0"/>
                <w:szCs w:val="21"/>
                <w:highlight w:val="none"/>
              </w:rPr>
              <w:t>吊塔轴承的基本额定动载荷≥</w:t>
            </w:r>
            <w:r>
              <w:rPr>
                <w:rFonts w:ascii="宋体" w:hAnsi="宋体" w:eastAsia="宋体" w:cs="宋体"/>
                <w:kern w:val="0"/>
                <w:szCs w:val="21"/>
                <w:highlight w:val="none"/>
              </w:rPr>
              <w:t>10000KG; 基本额定静载荷≥60000KG。吊塔轴承需采用平面推力滚针轴承，确保载荷均匀分布，可承受很高的轴向载荷，采用高精度滚针，其滚针硬度≥60HRC。（提供实物样品和测试报告）</w:t>
            </w:r>
          </w:p>
        </w:tc>
      </w:tr>
      <w:tr w14:paraId="2D446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69414A92">
            <w:pPr>
              <w:jc w:val="center"/>
              <w:rPr>
                <w:rFonts w:hint="eastAsia" w:ascii="宋体" w:hAnsi="宋体" w:eastAsia="宋体" w:cs="宋体"/>
              </w:rPr>
            </w:pPr>
            <w:r>
              <w:rPr>
                <w:rFonts w:hint="eastAsia" w:ascii="宋体" w:hAnsi="宋体" w:eastAsia="宋体" w:cs="宋体"/>
                <w:kern w:val="0"/>
                <w:szCs w:val="21"/>
              </w:rPr>
              <w:t>★5、</w:t>
            </w:r>
          </w:p>
        </w:tc>
        <w:tc>
          <w:tcPr>
            <w:tcW w:w="8573" w:type="dxa"/>
          </w:tcPr>
          <w:p w14:paraId="08D6A353">
            <w:pPr>
              <w:widowControl/>
              <w:jc w:val="left"/>
              <w:rPr>
                <w:rFonts w:hint="eastAsia" w:ascii="宋体" w:hAnsi="宋体" w:eastAsia="宋体" w:cs="宋体"/>
              </w:rPr>
            </w:pPr>
            <w:r>
              <w:rPr>
                <w:rFonts w:hint="eastAsia" w:ascii="宋体" w:hAnsi="宋体" w:eastAsia="宋体" w:cs="宋体"/>
                <w:kern w:val="0"/>
                <w:szCs w:val="21"/>
              </w:rPr>
              <w:t>托盘高硬度、抗静电、防褪色镁铝合金材质，一体成型设计，无铆钉，四角并带一体成型橡胶防撞角。（提供同品牌托盘截面样品实物证明，并提供吊塔制造商对应此托盘的标签及图样证明）</w:t>
            </w:r>
          </w:p>
        </w:tc>
      </w:tr>
      <w:tr w14:paraId="0F514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34AE6922">
            <w:pPr>
              <w:jc w:val="center"/>
              <w:rPr>
                <w:rFonts w:hint="eastAsia" w:ascii="宋体" w:hAnsi="宋体" w:eastAsia="宋体" w:cs="宋体"/>
                <w:highlight w:val="none"/>
              </w:rPr>
            </w:pPr>
            <w:r>
              <w:rPr>
                <w:rFonts w:hint="eastAsia" w:ascii="宋体" w:hAnsi="宋体" w:eastAsia="宋体" w:cs="宋体"/>
                <w:kern w:val="0"/>
                <w:szCs w:val="21"/>
                <w:highlight w:val="none"/>
              </w:rPr>
              <w:t>▲6、</w:t>
            </w:r>
          </w:p>
        </w:tc>
        <w:tc>
          <w:tcPr>
            <w:tcW w:w="8573" w:type="dxa"/>
          </w:tcPr>
          <w:p w14:paraId="2204056F">
            <w:pPr>
              <w:rPr>
                <w:rFonts w:hint="eastAsia" w:ascii="宋体" w:hAnsi="宋体" w:eastAsia="宋体" w:cs="宋体"/>
                <w:highlight w:val="none"/>
              </w:rPr>
            </w:pPr>
            <w:r>
              <w:rPr>
                <w:rFonts w:hint="eastAsia" w:ascii="宋体" w:hAnsi="宋体" w:eastAsia="宋体" w:cs="宋体"/>
                <w:kern w:val="0"/>
                <w:szCs w:val="21"/>
                <w:highlight w:val="none"/>
              </w:rPr>
              <w:t>吊塔表面粉末涂层厚度应≥</w:t>
            </w:r>
            <w:r>
              <w:rPr>
                <w:rFonts w:ascii="宋体" w:hAnsi="宋体" w:eastAsia="宋体" w:cs="宋体"/>
                <w:kern w:val="0"/>
                <w:szCs w:val="21"/>
                <w:highlight w:val="none"/>
              </w:rPr>
              <w:t>70微米。（提供吊塔粉末涂层厚度的第三方测试报告）</w:t>
            </w:r>
          </w:p>
        </w:tc>
      </w:tr>
      <w:tr w14:paraId="7EB89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3B88E743">
            <w:pPr>
              <w:jc w:val="center"/>
              <w:rPr>
                <w:rFonts w:hint="eastAsia" w:ascii="宋体" w:hAnsi="宋体" w:eastAsia="宋体" w:cs="宋体"/>
                <w:b/>
                <w:bCs/>
              </w:rPr>
            </w:pPr>
            <w:r>
              <w:rPr>
                <w:rFonts w:hint="eastAsia" w:ascii="宋体" w:hAnsi="宋体" w:eastAsia="宋体" w:cs="宋体"/>
                <w:b/>
                <w:bCs/>
                <w:kern w:val="0"/>
                <w:szCs w:val="21"/>
              </w:rPr>
              <w:t>四、</w:t>
            </w:r>
          </w:p>
        </w:tc>
        <w:tc>
          <w:tcPr>
            <w:tcW w:w="8573" w:type="dxa"/>
          </w:tcPr>
          <w:p w14:paraId="0E1CB781">
            <w:pPr>
              <w:widowControl/>
              <w:jc w:val="left"/>
              <w:rPr>
                <w:rFonts w:hint="eastAsia" w:ascii="宋体" w:hAnsi="宋体" w:eastAsia="宋体" w:cs="宋体"/>
                <w:b/>
                <w:bCs/>
              </w:rPr>
            </w:pPr>
            <w:r>
              <w:rPr>
                <w:rFonts w:hint="eastAsia" w:ascii="宋体" w:hAnsi="宋体" w:eastAsia="宋体" w:cs="宋体"/>
                <w:b/>
                <w:bCs/>
                <w:kern w:val="0"/>
                <w:szCs w:val="21"/>
              </w:rPr>
              <w:t>一般技术参数：</w:t>
            </w:r>
          </w:p>
        </w:tc>
      </w:tr>
      <w:tr w14:paraId="5B6DF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09CF788C">
            <w:pPr>
              <w:jc w:val="center"/>
              <w:rPr>
                <w:rFonts w:hint="eastAsia" w:ascii="宋体" w:hAnsi="宋体" w:eastAsia="宋体" w:cs="宋体"/>
              </w:rPr>
            </w:pPr>
            <w:r>
              <w:rPr>
                <w:rFonts w:hint="eastAsia" w:ascii="宋体" w:hAnsi="宋体" w:eastAsia="宋体" w:cs="宋体"/>
              </w:rPr>
              <w:t>1、</w:t>
            </w:r>
          </w:p>
        </w:tc>
        <w:tc>
          <w:tcPr>
            <w:tcW w:w="8573" w:type="dxa"/>
          </w:tcPr>
          <w:p w14:paraId="7750377F">
            <w:pPr>
              <w:pStyle w:val="9"/>
              <w:widowControl/>
              <w:ind w:firstLine="0" w:firstLineChars="0"/>
              <w:jc w:val="left"/>
              <w:rPr>
                <w:rFonts w:hint="eastAsia" w:ascii="宋体" w:hAnsi="宋体" w:eastAsia="宋体" w:cs="宋体"/>
              </w:rPr>
            </w:pPr>
            <w:r>
              <w:rPr>
                <w:rFonts w:hint="eastAsia" w:ascii="宋体" w:hAnsi="宋体" w:eastAsia="宋体" w:cs="宋体"/>
                <w:kern w:val="0"/>
                <w:szCs w:val="21"/>
              </w:rPr>
              <w:t>所投吊塔品牌必需具有由第三方检测机构或出具的防撞测试、四倍承重测试检测，提供测试检测通过合格报告复印件。</w:t>
            </w:r>
          </w:p>
        </w:tc>
      </w:tr>
      <w:tr w14:paraId="3A83C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257D5E0C">
            <w:pPr>
              <w:jc w:val="center"/>
              <w:rPr>
                <w:rFonts w:hint="eastAsia" w:ascii="宋体" w:hAnsi="宋体" w:eastAsia="宋体" w:cs="宋体"/>
              </w:rPr>
            </w:pPr>
            <w:r>
              <w:rPr>
                <w:rFonts w:hint="eastAsia" w:ascii="宋体" w:hAnsi="宋体" w:eastAsia="宋体" w:cs="宋体"/>
              </w:rPr>
              <w:t>2、</w:t>
            </w:r>
          </w:p>
        </w:tc>
        <w:tc>
          <w:tcPr>
            <w:tcW w:w="8573" w:type="dxa"/>
          </w:tcPr>
          <w:p w14:paraId="558DC322">
            <w:pPr>
              <w:pStyle w:val="9"/>
              <w:widowControl/>
              <w:ind w:left="360" w:hanging="360" w:firstLineChars="0"/>
              <w:jc w:val="left"/>
              <w:rPr>
                <w:rFonts w:hint="eastAsia" w:ascii="宋体" w:hAnsi="宋体" w:eastAsia="宋体" w:cs="宋体"/>
              </w:rPr>
            </w:pPr>
            <w:r>
              <w:rPr>
                <w:rFonts w:hint="eastAsia" w:ascii="宋体" w:hAnsi="宋体" w:eastAsia="宋体" w:cs="宋体"/>
                <w:kern w:val="0"/>
                <w:szCs w:val="21"/>
              </w:rPr>
              <w:t>提供第三方合作机构出具的吊塔预埋件安装方式及安全性的计算报告。</w:t>
            </w:r>
          </w:p>
        </w:tc>
      </w:tr>
      <w:tr w14:paraId="4C1AB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6BB07B25">
            <w:pPr>
              <w:jc w:val="center"/>
              <w:rPr>
                <w:rFonts w:hint="eastAsia" w:ascii="宋体" w:hAnsi="宋体" w:eastAsia="宋体" w:cs="宋体"/>
              </w:rPr>
            </w:pPr>
            <w:r>
              <w:rPr>
                <w:rFonts w:hint="eastAsia" w:ascii="宋体" w:hAnsi="宋体" w:eastAsia="宋体" w:cs="宋体"/>
              </w:rPr>
              <w:t>3、</w:t>
            </w:r>
          </w:p>
        </w:tc>
        <w:tc>
          <w:tcPr>
            <w:tcW w:w="8573" w:type="dxa"/>
          </w:tcPr>
          <w:p w14:paraId="6C71280F">
            <w:pPr>
              <w:pStyle w:val="9"/>
              <w:widowControl/>
              <w:ind w:firstLine="0" w:firstLineChars="0"/>
              <w:jc w:val="left"/>
              <w:rPr>
                <w:rFonts w:hint="eastAsia" w:ascii="宋体" w:hAnsi="宋体" w:eastAsia="宋体" w:cs="宋体"/>
              </w:rPr>
            </w:pPr>
            <w:r>
              <w:rPr>
                <w:rFonts w:hint="eastAsia" w:ascii="宋体" w:hAnsi="宋体" w:eastAsia="宋体" w:cs="宋体"/>
                <w:kern w:val="0"/>
                <w:szCs w:val="21"/>
              </w:rPr>
              <w:t>吊塔主体材料要求为高强度铝合金</w:t>
            </w:r>
            <w:r>
              <w:rPr>
                <w:rFonts w:ascii="宋体" w:hAnsi="宋体" w:eastAsia="宋体" w:cs="宋体"/>
                <w:kern w:val="0"/>
                <w:szCs w:val="21"/>
              </w:rPr>
              <w:t>, 圆弧形全封闭式设计，吊塔整体表面无锐角，无螺丝钉外露, 抗金属疲劳强度高，长时间承重不变形。材料必须防腐蚀，便于清洗，适合医用洁净环境。</w:t>
            </w:r>
          </w:p>
        </w:tc>
      </w:tr>
      <w:tr w14:paraId="5C3FA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38EEB47D">
            <w:pPr>
              <w:jc w:val="center"/>
              <w:rPr>
                <w:rFonts w:hint="eastAsia" w:ascii="宋体" w:hAnsi="宋体" w:eastAsia="宋体" w:cs="宋体"/>
              </w:rPr>
            </w:pPr>
            <w:r>
              <w:rPr>
                <w:rFonts w:hint="eastAsia" w:ascii="宋体" w:hAnsi="宋体" w:eastAsia="宋体" w:cs="宋体"/>
              </w:rPr>
              <w:t>4、</w:t>
            </w:r>
          </w:p>
        </w:tc>
        <w:tc>
          <w:tcPr>
            <w:tcW w:w="8573" w:type="dxa"/>
          </w:tcPr>
          <w:p w14:paraId="388EE04D">
            <w:pPr>
              <w:pStyle w:val="9"/>
              <w:widowControl/>
              <w:ind w:firstLine="0" w:firstLineChars="0"/>
              <w:jc w:val="left"/>
              <w:rPr>
                <w:rFonts w:hint="eastAsia" w:ascii="宋体" w:hAnsi="宋体" w:eastAsia="宋体" w:cs="宋体"/>
              </w:rPr>
            </w:pPr>
            <w:r>
              <w:rPr>
                <w:rFonts w:hint="eastAsia" w:ascii="宋体" w:hAnsi="宋体" w:eastAsia="宋体" w:cs="宋体"/>
                <w:kern w:val="0"/>
                <w:szCs w:val="21"/>
              </w:rPr>
              <w:t>所有负压气体管道和气口必须</w:t>
            </w:r>
            <w:r>
              <w:rPr>
                <w:rFonts w:ascii="宋体" w:hAnsi="宋体" w:eastAsia="宋体" w:cs="宋体"/>
                <w:kern w:val="0"/>
                <w:szCs w:val="21"/>
              </w:rPr>
              <w:t>1：1配置，真正达到一用一备的临床使用效果，不得采用在吊塔内部采用双通或三通来连接负压气管。</w:t>
            </w:r>
          </w:p>
        </w:tc>
      </w:tr>
      <w:tr w14:paraId="7C1E6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1142C289">
            <w:pPr>
              <w:jc w:val="center"/>
              <w:rPr>
                <w:rFonts w:hint="eastAsia" w:ascii="宋体" w:hAnsi="宋体" w:eastAsia="宋体" w:cs="宋体"/>
              </w:rPr>
            </w:pPr>
            <w:r>
              <w:rPr>
                <w:rFonts w:hint="eastAsia" w:ascii="宋体" w:hAnsi="宋体" w:eastAsia="宋体" w:cs="宋体"/>
              </w:rPr>
              <w:t>5、</w:t>
            </w:r>
          </w:p>
        </w:tc>
        <w:tc>
          <w:tcPr>
            <w:tcW w:w="8573" w:type="dxa"/>
          </w:tcPr>
          <w:p w14:paraId="492DC654">
            <w:pPr>
              <w:pStyle w:val="9"/>
              <w:widowControl/>
              <w:ind w:firstLine="0" w:firstLineChars="0"/>
              <w:jc w:val="left"/>
              <w:rPr>
                <w:rFonts w:hint="eastAsia" w:ascii="宋体" w:hAnsi="宋体" w:eastAsia="宋体" w:cs="宋体"/>
              </w:rPr>
            </w:pPr>
            <w:r>
              <w:rPr>
                <w:rFonts w:hint="eastAsia" w:ascii="宋体" w:hAnsi="宋体" w:eastAsia="宋体" w:cs="宋体"/>
                <w:kern w:val="0"/>
                <w:szCs w:val="21"/>
              </w:rPr>
              <w:t>所有电源线路及气源管路必须在塔体内不能外露，保证吊塔在移动过程中，不会因位置的改变导致线路脱落的意外发生。吊柱内部上下三层设计，完全保证气电分离；底部设计有导流孔，可顺畅排除意外情况下产生的气体泄漏；内部空间充足，有利于数字化穿线，便于升级。</w:t>
            </w:r>
          </w:p>
        </w:tc>
      </w:tr>
      <w:tr w14:paraId="59345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353EAD69">
            <w:pPr>
              <w:jc w:val="center"/>
              <w:rPr>
                <w:rFonts w:hint="eastAsia" w:ascii="宋体" w:hAnsi="宋体" w:eastAsia="宋体" w:cs="宋体"/>
              </w:rPr>
            </w:pPr>
            <w:r>
              <w:rPr>
                <w:rFonts w:hint="eastAsia" w:ascii="宋体" w:hAnsi="宋体" w:eastAsia="宋体" w:cs="宋体"/>
              </w:rPr>
              <w:t>6、</w:t>
            </w:r>
          </w:p>
        </w:tc>
        <w:tc>
          <w:tcPr>
            <w:tcW w:w="8573" w:type="dxa"/>
          </w:tcPr>
          <w:p w14:paraId="408F6C23">
            <w:pPr>
              <w:pStyle w:val="9"/>
              <w:widowControl/>
              <w:ind w:firstLine="0" w:firstLineChars="0"/>
              <w:jc w:val="left"/>
              <w:rPr>
                <w:rFonts w:hint="eastAsia" w:ascii="宋体" w:hAnsi="宋体" w:eastAsia="宋体" w:cs="宋体"/>
              </w:rPr>
            </w:pPr>
            <w:r>
              <w:rPr>
                <w:rFonts w:hint="eastAsia" w:ascii="宋体" w:hAnsi="宋体" w:eastAsia="宋体" w:cs="宋体"/>
                <w:kern w:val="0"/>
                <w:szCs w:val="21"/>
              </w:rPr>
              <w:t>吊塔设备表面采用高含量聚酯树脂的抗菌喷粉涂层，能有效抑菌细菌滋生。抗菌率≥</w:t>
            </w:r>
            <w:r>
              <w:rPr>
                <w:rFonts w:ascii="宋体" w:hAnsi="宋体" w:eastAsia="宋体" w:cs="宋体"/>
                <w:kern w:val="0"/>
                <w:szCs w:val="21"/>
              </w:rPr>
              <w:t>99.9%（提供表面涂层成分测试以及抗菌测试的第三方测试报告）</w:t>
            </w:r>
          </w:p>
        </w:tc>
      </w:tr>
      <w:tr w14:paraId="0CB55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46F304E3">
            <w:pPr>
              <w:jc w:val="center"/>
              <w:rPr>
                <w:rFonts w:hint="eastAsia" w:ascii="宋体" w:hAnsi="宋体" w:eastAsia="宋体" w:cs="宋体"/>
              </w:rPr>
            </w:pPr>
            <w:r>
              <w:rPr>
                <w:rFonts w:hint="eastAsia" w:ascii="宋体" w:hAnsi="宋体" w:eastAsia="宋体" w:cs="宋体"/>
              </w:rPr>
              <w:t>7、</w:t>
            </w:r>
          </w:p>
        </w:tc>
        <w:tc>
          <w:tcPr>
            <w:tcW w:w="8573" w:type="dxa"/>
          </w:tcPr>
          <w:p w14:paraId="740F5ED0">
            <w:pPr>
              <w:pStyle w:val="9"/>
              <w:widowControl/>
              <w:ind w:left="360" w:hanging="360" w:firstLineChars="0"/>
              <w:jc w:val="left"/>
              <w:rPr>
                <w:rFonts w:hint="eastAsia" w:ascii="宋体" w:hAnsi="宋体" w:eastAsia="宋体" w:cs="宋体"/>
                <w:kern w:val="0"/>
                <w:szCs w:val="21"/>
              </w:rPr>
            </w:pPr>
            <w:r>
              <w:rPr>
                <w:rFonts w:hint="eastAsia" w:ascii="宋体" w:hAnsi="宋体" w:eastAsia="宋体" w:cs="宋体"/>
                <w:kern w:val="0"/>
                <w:szCs w:val="21"/>
              </w:rPr>
              <w:t>吊塔悬臂水平关节活动度≥</w:t>
            </w:r>
            <w:r>
              <w:rPr>
                <w:rFonts w:ascii="宋体" w:hAnsi="宋体" w:eastAsia="宋体" w:cs="宋体"/>
                <w:kern w:val="0"/>
                <w:szCs w:val="21"/>
              </w:rPr>
              <w:t>330°</w:t>
            </w:r>
          </w:p>
        </w:tc>
      </w:tr>
      <w:tr w14:paraId="0CE6C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23C0D5EF">
            <w:pPr>
              <w:jc w:val="center"/>
              <w:rPr>
                <w:rFonts w:hint="eastAsia" w:ascii="宋体" w:hAnsi="宋体" w:eastAsia="宋体" w:cs="宋体"/>
              </w:rPr>
            </w:pPr>
            <w:r>
              <w:rPr>
                <w:rFonts w:hint="eastAsia" w:ascii="宋体" w:hAnsi="宋体" w:eastAsia="宋体" w:cs="宋体"/>
              </w:rPr>
              <w:t>8、</w:t>
            </w:r>
          </w:p>
        </w:tc>
        <w:tc>
          <w:tcPr>
            <w:tcW w:w="8573" w:type="dxa"/>
          </w:tcPr>
          <w:p w14:paraId="37DBF8DB">
            <w:pPr>
              <w:pStyle w:val="9"/>
              <w:widowControl/>
              <w:ind w:firstLine="0" w:firstLineChars="0"/>
              <w:jc w:val="left"/>
              <w:rPr>
                <w:rFonts w:hint="eastAsia" w:ascii="宋体" w:hAnsi="宋体" w:eastAsia="宋体" w:cs="宋体"/>
                <w:kern w:val="0"/>
                <w:szCs w:val="21"/>
              </w:rPr>
            </w:pPr>
            <w:r>
              <w:rPr>
                <w:rFonts w:hint="eastAsia" w:ascii="宋体" w:hAnsi="宋体" w:eastAsia="宋体" w:cs="宋体"/>
                <w:kern w:val="0"/>
                <w:szCs w:val="21"/>
              </w:rPr>
              <w:t>可选配气动刹车和电磁刹车，通过释放空气和电磁的原理控制刹车，各关节处应有与刹车控制开关相对应的特殊颜色标识，以免误操作。（提供图片说明）</w:t>
            </w:r>
          </w:p>
        </w:tc>
      </w:tr>
      <w:tr w14:paraId="7E381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0D0264CC">
            <w:pPr>
              <w:jc w:val="center"/>
              <w:rPr>
                <w:rFonts w:hint="eastAsia" w:ascii="宋体" w:hAnsi="宋体" w:eastAsia="宋体" w:cs="宋体"/>
              </w:rPr>
            </w:pPr>
            <w:r>
              <w:rPr>
                <w:rFonts w:hint="eastAsia" w:ascii="宋体" w:hAnsi="宋体" w:eastAsia="宋体" w:cs="宋体"/>
              </w:rPr>
              <w:t>9、</w:t>
            </w:r>
          </w:p>
        </w:tc>
        <w:tc>
          <w:tcPr>
            <w:tcW w:w="8573" w:type="dxa"/>
          </w:tcPr>
          <w:p w14:paraId="2FE1A307">
            <w:pPr>
              <w:pStyle w:val="9"/>
              <w:widowControl/>
              <w:ind w:firstLine="0" w:firstLineChars="0"/>
              <w:jc w:val="left"/>
              <w:rPr>
                <w:rFonts w:hint="eastAsia" w:ascii="宋体" w:hAnsi="宋体" w:eastAsia="宋体" w:cs="宋体"/>
                <w:kern w:val="0"/>
                <w:szCs w:val="21"/>
              </w:rPr>
            </w:pPr>
            <w:r>
              <w:rPr>
                <w:rFonts w:hint="eastAsia" w:ascii="宋体" w:hAnsi="宋体" w:eastAsia="宋体" w:cs="宋体"/>
                <w:kern w:val="0"/>
                <w:szCs w:val="21"/>
              </w:rPr>
              <w:t>为保障医院不同空间的不同使用需求，投标产品应具备多样性，同型号的产品应兼顾吊柱式和吊架式的医用吊塔。（提供图片说明）</w:t>
            </w:r>
          </w:p>
        </w:tc>
      </w:tr>
      <w:tr w14:paraId="4D3A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47EBFFDF">
            <w:pPr>
              <w:jc w:val="center"/>
              <w:rPr>
                <w:rFonts w:hint="eastAsia" w:ascii="宋体" w:hAnsi="宋体" w:eastAsia="宋体" w:cs="宋体"/>
              </w:rPr>
            </w:pPr>
            <w:r>
              <w:rPr>
                <w:rFonts w:hint="eastAsia" w:ascii="宋体" w:hAnsi="宋体" w:eastAsia="宋体" w:cs="宋体"/>
              </w:rPr>
              <w:t>10、</w:t>
            </w:r>
          </w:p>
        </w:tc>
        <w:tc>
          <w:tcPr>
            <w:tcW w:w="8573" w:type="dxa"/>
          </w:tcPr>
          <w:p w14:paraId="43C3E527">
            <w:pPr>
              <w:pStyle w:val="9"/>
              <w:widowControl/>
              <w:ind w:firstLine="0" w:firstLineChars="0"/>
              <w:jc w:val="left"/>
              <w:rPr>
                <w:rFonts w:hint="eastAsia" w:ascii="宋体" w:hAnsi="宋体" w:eastAsia="宋体" w:cs="宋体"/>
                <w:kern w:val="0"/>
                <w:szCs w:val="21"/>
              </w:rPr>
            </w:pPr>
            <w:r>
              <w:rPr>
                <w:rFonts w:hint="eastAsia" w:ascii="宋体" w:hAnsi="宋体" w:eastAsia="宋体" w:cs="宋体"/>
                <w:kern w:val="0"/>
                <w:szCs w:val="21"/>
              </w:rPr>
              <w:t>悬挂麻醉机的吊塔带机械、红外、电磁三重保护装置，悬挂重量过大的麻醉机时可提供安全锁开关保护。（需提供图文说明）</w:t>
            </w:r>
          </w:p>
        </w:tc>
      </w:tr>
      <w:tr w14:paraId="2F2F0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6890A4F9">
            <w:pPr>
              <w:jc w:val="center"/>
              <w:rPr>
                <w:rFonts w:hint="eastAsia" w:ascii="宋体" w:hAnsi="宋体" w:eastAsia="宋体" w:cs="宋体"/>
              </w:rPr>
            </w:pPr>
            <w:r>
              <w:rPr>
                <w:rFonts w:hint="eastAsia" w:ascii="宋体" w:hAnsi="宋体" w:eastAsia="宋体" w:cs="宋体"/>
              </w:rPr>
              <w:t>11、</w:t>
            </w:r>
          </w:p>
        </w:tc>
        <w:tc>
          <w:tcPr>
            <w:tcW w:w="8573" w:type="dxa"/>
          </w:tcPr>
          <w:p w14:paraId="1015CB90">
            <w:pPr>
              <w:pStyle w:val="9"/>
              <w:widowControl/>
              <w:ind w:firstLine="0" w:firstLineChars="0"/>
              <w:jc w:val="left"/>
              <w:rPr>
                <w:rFonts w:hint="eastAsia" w:ascii="宋体" w:hAnsi="宋体" w:eastAsia="宋体" w:cs="宋体"/>
                <w:kern w:val="0"/>
                <w:szCs w:val="21"/>
              </w:rPr>
            </w:pPr>
            <w:r>
              <w:rPr>
                <w:rFonts w:hint="eastAsia" w:ascii="宋体" w:hAnsi="宋体" w:eastAsia="宋体" w:cs="宋体"/>
                <w:kern w:val="0"/>
                <w:szCs w:val="21"/>
              </w:rPr>
              <w:t>电动提升距离≥600mm，箱体上需配置升降控制模块，平台前段和箱体中部也可选配控制把手。</w:t>
            </w:r>
          </w:p>
        </w:tc>
      </w:tr>
      <w:tr w14:paraId="265A2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39C84932">
            <w:pPr>
              <w:jc w:val="center"/>
              <w:rPr>
                <w:rFonts w:hint="eastAsia" w:ascii="宋体" w:hAnsi="宋体" w:eastAsia="宋体" w:cs="宋体"/>
              </w:rPr>
            </w:pPr>
            <w:r>
              <w:rPr>
                <w:rFonts w:hint="eastAsia" w:ascii="宋体" w:hAnsi="宋体" w:eastAsia="宋体" w:cs="宋体"/>
              </w:rPr>
              <w:t>12、</w:t>
            </w:r>
          </w:p>
        </w:tc>
        <w:tc>
          <w:tcPr>
            <w:tcW w:w="8573" w:type="dxa"/>
          </w:tcPr>
          <w:p w14:paraId="53ACC6F9">
            <w:pPr>
              <w:pStyle w:val="9"/>
              <w:widowControl/>
              <w:ind w:firstLine="0" w:firstLineChars="0"/>
              <w:jc w:val="left"/>
              <w:rPr>
                <w:rFonts w:hint="eastAsia" w:ascii="宋体" w:hAnsi="宋体" w:eastAsia="宋体" w:cs="宋体"/>
                <w:kern w:val="0"/>
                <w:szCs w:val="21"/>
              </w:rPr>
            </w:pPr>
            <w:r>
              <w:rPr>
                <w:rFonts w:hint="eastAsia" w:ascii="宋体" w:hAnsi="宋体" w:eastAsia="宋体" w:cs="宋体"/>
                <w:kern w:val="0"/>
                <w:szCs w:val="21"/>
              </w:rPr>
              <w:t>拥有形状和色彩标识，气动刹车按钮需要与横臂上颜色对应，电动升降按钮需要有上，下的形状标识，方便控制相对于的横臂及功能。（提供图片说明）</w:t>
            </w:r>
          </w:p>
        </w:tc>
      </w:tr>
    </w:tbl>
    <w:p w14:paraId="6B9933CD">
      <w:pPr>
        <w:rPr>
          <w:rFonts w:hint="eastAsia" w:ascii="宋体" w:hAnsi="宋体" w:eastAsia="宋体" w:cs="宋体"/>
        </w:rPr>
      </w:pPr>
    </w:p>
    <w:p w14:paraId="7891D430">
      <w:pPr>
        <w:widowControl/>
        <w:jc w:val="left"/>
        <w:rPr>
          <w:rFonts w:hint="eastAsia"/>
        </w:rPr>
      </w:pPr>
    </w:p>
    <w:sectPr>
      <w:headerReference r:id="rId5" w:type="first"/>
      <w:headerReference r:id="rId3" w:type="default"/>
      <w:headerReference r:id="rId4" w:type="even"/>
      <w:pgSz w:w="11906" w:h="16838"/>
      <w:pgMar w:top="1213" w:right="1213" w:bottom="1213" w:left="121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5DC39">
    <w:pPr>
      <w:pStyle w:val="3"/>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1E3C8">
    <w:pPr>
      <w:pStyle w:val="3"/>
      <w:rPr>
        <w:rFonts w:hint="eastAsia"/>
      </w:rPr>
    </w:pPr>
    <w: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top</wp:align>
              </wp:positionV>
              <wp:extent cx="443865" cy="443865"/>
              <wp:effectExtent l="0" t="0" r="7620" b="6350"/>
              <wp:wrapNone/>
              <wp:docPr id="2" name="文本框 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BFB01C">
                          <w:pPr>
                            <w:rPr>
                              <w:rFonts w:ascii="Arial" w:hAnsi="Arial" w:eastAsia="Arial" w:cs="Arial"/>
                              <w:color w:val="FF8F1F"/>
                              <w:sz w:val="20"/>
                              <w:szCs w:val="20"/>
                            </w:rPr>
                          </w:pPr>
                          <w:r>
                            <w:rPr>
                              <w:rFonts w:ascii="Arial" w:hAnsi="Arial" w:eastAsia="Arial" w:cs="Arial"/>
                              <w:color w:val="FF8F1F"/>
                              <w:sz w:val="20"/>
                              <w:szCs w:val="20"/>
                            </w:rPr>
                            <w:t>Internal</w:t>
                          </w:r>
                        </w:p>
                      </w:txbxContent>
                    </wps:txbx>
                    <wps:bodyPr rot="0" spcFirstLastPara="0" vertOverflow="overflow" horzOverflow="overflow" vert="horz" wrap="none" lIns="254000" tIns="190500" rIns="0" bIns="0" numCol="1" spcCol="0" rtlCol="0" fromWordArt="0" anchor="t" anchorCtr="0" forceAA="0" compatLnSpc="1">
                      <a:spAutoFit/>
                    </wps:bodyPr>
                  </wps:wsp>
                </a:graphicData>
              </a:graphic>
            </wp:anchor>
          </w:drawing>
        </mc:Choice>
        <mc:Fallback>
          <w:pict>
            <v:shape id="_x0000_s1026" o:spid="_x0000_s1026" o:spt="202" alt="Internal" type="#_x0000_t202" style="position:absolute;left:0pt;height:34.95pt;width:34.95pt;mso-position-horizontal:left;mso-position-horizontal-relative:page;mso-position-vertical:top;mso-position-vertical-relative:page;mso-wrap-style:none;z-index:251660288;mso-width-relative:page;mso-height-relative:page;" filled="f" stroked="f" coordsize="21600,21600" o:gfxdata="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OPfgNNIAAAADAQAADwAAAAAAAAABACAAAAAiAAAAZHJzL2Rvd25yZXYu&#10;eG1sUEsBAhQAFAAAAAgAh07iQCF1lcw6AgAAZQQAAA4AAAAAAAAAAQAgAAAAIQEAAGRycy9lMm9E&#10;b2MueG1sUEsFBgAAAAAGAAYAWQEAAM0FAAAAAA==&#10;">
              <v:fill on="f" focussize="0,0"/>
              <v:stroke on="f"/>
              <v:imagedata o:title=""/>
              <o:lock v:ext="edit" aspectratio="f"/>
              <v:textbox inset="20pt,15pt,0mm,0mm" style="mso-fit-shape-to-text:t;">
                <w:txbxContent>
                  <w:p w14:paraId="0EBFB01C">
                    <w:pPr>
                      <w:rPr>
                        <w:rFonts w:ascii="Arial" w:hAnsi="Arial" w:eastAsia="Arial" w:cs="Arial"/>
                        <w:color w:val="FF8F1F"/>
                        <w:sz w:val="20"/>
                        <w:szCs w:val="20"/>
                      </w:rPr>
                    </w:pPr>
                    <w:r>
                      <w:rPr>
                        <w:rFonts w:ascii="Arial" w:hAnsi="Arial" w:eastAsia="Arial" w:cs="Arial"/>
                        <w:color w:val="FF8F1F"/>
                        <w:sz w:val="20"/>
                        <w:szCs w:val="20"/>
                      </w:rPr>
                      <w:t>Internal</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EE6E1">
    <w:pPr>
      <w:pStyle w:val="3"/>
      <w:rPr>
        <w:rFonts w:hint="eastAsia"/>
      </w:rPr>
    </w:pPr>
    <w:r>
      <mc:AlternateContent>
        <mc:Choice Requires="wps">
          <w:drawing>
            <wp:anchor distT="0" distB="0" distL="0" distR="0" simplePos="0" relativeHeight="251659264" behindDoc="0" locked="0" layoutInCell="1" allowOverlap="1">
              <wp:simplePos x="0" y="0"/>
              <wp:positionH relativeFrom="page">
                <wp:align>left</wp:align>
              </wp:positionH>
              <wp:positionV relativeFrom="page">
                <wp:align>top</wp:align>
              </wp:positionV>
              <wp:extent cx="443865" cy="443865"/>
              <wp:effectExtent l="0" t="0" r="7620" b="6350"/>
              <wp:wrapNone/>
              <wp:docPr id="1" name="文本框 1"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7102B2">
                          <w:pPr>
                            <w:rPr>
                              <w:rFonts w:ascii="Arial" w:hAnsi="Arial" w:eastAsia="Arial" w:cs="Arial"/>
                              <w:color w:val="FF8F1F"/>
                              <w:sz w:val="20"/>
                              <w:szCs w:val="20"/>
                            </w:rPr>
                          </w:pPr>
                          <w:r>
                            <w:rPr>
                              <w:rFonts w:ascii="Arial" w:hAnsi="Arial" w:eastAsia="Arial" w:cs="Arial"/>
                              <w:color w:val="FF8F1F"/>
                              <w:sz w:val="20"/>
                              <w:szCs w:val="20"/>
                            </w:rPr>
                            <w:t>Internal</w:t>
                          </w:r>
                        </w:p>
                      </w:txbxContent>
                    </wps:txbx>
                    <wps:bodyPr rot="0" spcFirstLastPara="0" vertOverflow="overflow" horzOverflow="overflow" vert="horz" wrap="none" lIns="254000" tIns="190500" rIns="0" bIns="0" numCol="1" spcCol="0" rtlCol="0" fromWordArt="0" anchor="t" anchorCtr="0" forceAA="0" compatLnSpc="1">
                      <a:spAutoFit/>
                    </wps:bodyPr>
                  </wps:wsp>
                </a:graphicData>
              </a:graphic>
            </wp:anchor>
          </w:drawing>
        </mc:Choice>
        <mc:Fallback>
          <w:pict>
            <v:shape id="_x0000_s1026" o:spid="_x0000_s1026" o:spt="202" alt="Internal" type="#_x0000_t202" style="position:absolute;left:0pt;height:34.95pt;width:34.95pt;mso-position-horizontal:left;mso-position-horizontal-relative:page;mso-position-vertical:top;mso-position-vertical-relative:page;mso-wrap-style:none;z-index:251659264;mso-width-relative:page;mso-height-relative:page;" filled="f" stroked="f" coordsize="21600,21600" o:gfxdata="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j34DTSAAAAAwEAAA8AAAAAAAAAAQAgAAAAIgAAAGRycy9kb3ducmV2Lnht&#10;bFBLAQIUABQAAAAIAIdO4kC5xZOPOAIAAGUEAAAOAAAAAAAAAAEAIAAAACEBAABkcnMvZTJvRG9j&#10;LnhtbFBLBQYAAAAABgAGAFkBAADLBQAAAAA=&#10;">
              <v:fill on="f" focussize="0,0"/>
              <v:stroke on="f"/>
              <v:imagedata o:title=""/>
              <o:lock v:ext="edit" aspectratio="f"/>
              <v:textbox inset="20pt,15pt,0mm,0mm" style="mso-fit-shape-to-text:t;">
                <w:txbxContent>
                  <w:p w14:paraId="547102B2">
                    <w:pPr>
                      <w:rPr>
                        <w:rFonts w:ascii="Arial" w:hAnsi="Arial" w:eastAsia="Arial" w:cs="Arial"/>
                        <w:color w:val="FF8F1F"/>
                        <w:sz w:val="20"/>
                        <w:szCs w:val="20"/>
                      </w:rPr>
                    </w:pPr>
                    <w:r>
                      <w:rPr>
                        <w:rFonts w:ascii="Arial" w:hAnsi="Arial" w:eastAsia="Arial" w:cs="Arial"/>
                        <w:color w:val="FF8F1F"/>
                        <w:sz w:val="20"/>
                        <w:szCs w:val="20"/>
                      </w:rPr>
                      <w:t>Internal</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iMjBiMTlkZjU0MmFjYmRhMDhlMWFlNTEzNTNjZDkifQ=="/>
  </w:docVars>
  <w:rsids>
    <w:rsidRoot w:val="008204C3"/>
    <w:rsid w:val="00053D6A"/>
    <w:rsid w:val="000739B3"/>
    <w:rsid w:val="00126DBD"/>
    <w:rsid w:val="001C2CFB"/>
    <w:rsid w:val="001E7B9C"/>
    <w:rsid w:val="00222221"/>
    <w:rsid w:val="002B51E1"/>
    <w:rsid w:val="002E7905"/>
    <w:rsid w:val="00357EFE"/>
    <w:rsid w:val="003926E9"/>
    <w:rsid w:val="003A2A29"/>
    <w:rsid w:val="003C261A"/>
    <w:rsid w:val="00447A1C"/>
    <w:rsid w:val="00473ABA"/>
    <w:rsid w:val="00477268"/>
    <w:rsid w:val="006108C3"/>
    <w:rsid w:val="00626629"/>
    <w:rsid w:val="00630AF5"/>
    <w:rsid w:val="00661EA4"/>
    <w:rsid w:val="00670E08"/>
    <w:rsid w:val="00674B97"/>
    <w:rsid w:val="0075704C"/>
    <w:rsid w:val="00794D66"/>
    <w:rsid w:val="007B3E2D"/>
    <w:rsid w:val="008204C3"/>
    <w:rsid w:val="00826DBE"/>
    <w:rsid w:val="008456B3"/>
    <w:rsid w:val="0087569C"/>
    <w:rsid w:val="008A4634"/>
    <w:rsid w:val="009B50C3"/>
    <w:rsid w:val="009C5101"/>
    <w:rsid w:val="009F42CF"/>
    <w:rsid w:val="00A04407"/>
    <w:rsid w:val="00A11733"/>
    <w:rsid w:val="00A40E22"/>
    <w:rsid w:val="00A56332"/>
    <w:rsid w:val="00A9406D"/>
    <w:rsid w:val="00AB4A9C"/>
    <w:rsid w:val="00AE7634"/>
    <w:rsid w:val="00B14169"/>
    <w:rsid w:val="00B66A6E"/>
    <w:rsid w:val="00B81326"/>
    <w:rsid w:val="00C70746"/>
    <w:rsid w:val="00C716F0"/>
    <w:rsid w:val="00C90E20"/>
    <w:rsid w:val="00CA7BA4"/>
    <w:rsid w:val="00CD3B64"/>
    <w:rsid w:val="00D53F4C"/>
    <w:rsid w:val="00E40BAD"/>
    <w:rsid w:val="00E65309"/>
    <w:rsid w:val="00EE4216"/>
    <w:rsid w:val="00EE7EFB"/>
    <w:rsid w:val="0C6943CB"/>
    <w:rsid w:val="1E0778B6"/>
    <w:rsid w:val="1F0A2D75"/>
    <w:rsid w:val="20D64B1C"/>
    <w:rsid w:val="25C70DAC"/>
    <w:rsid w:val="306E19DA"/>
    <w:rsid w:val="410701E9"/>
    <w:rsid w:val="4FA30B36"/>
    <w:rsid w:val="52DA0BB8"/>
    <w:rsid w:val="67271B30"/>
    <w:rsid w:val="699917CC"/>
    <w:rsid w:val="6AA53BD9"/>
    <w:rsid w:val="7C050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上海交通大学医学院附属新华医院</Company>
  <Pages>2</Pages>
  <Words>1529</Words>
  <Characters>1581</Characters>
  <Lines>11</Lines>
  <Paragraphs>3</Paragraphs>
  <TotalTime>2</TotalTime>
  <ScaleCrop>false</ScaleCrop>
  <LinksUpToDate>false</LinksUpToDate>
  <CharactersWithSpaces>1584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2024-07-23T10:21:00Z</dcterms:created>
  <dc:creator>user</dc:creator>
  <cp:lastModifiedBy>杨俐君</cp:lastModifiedBy>
  <dcterms:modified xsi:type="dcterms:W3CDTF">2024-07-23T21:37:00Z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#ff8f1f,10,Arial</vt:lpwstr>
  </property>
  <property fmtid="{D5CDD505-2E9C-101B-9397-08002B2CF9AE}" pid="4" name="ClassificationContentMarkingHeaderText">
    <vt:lpwstr>Internal</vt:lpwstr>
  </property>
  <property fmtid="{D5CDD505-2E9C-101B-9397-08002B2CF9AE}" pid="5" name="KSOProductBuildVer">
    <vt:lpwstr>2052-12.1.0.17147</vt:lpwstr>
  </property>
  <property fmtid="{D5CDD505-2E9C-101B-9397-08002B2CF9AE}" pid="6" name="ICV">
    <vt:lpwstr>18ECFCED317441429108EB47035CC8AB_13</vt:lpwstr>
  </property>
</Properties>
</file>