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12A05">
      <w:pPr>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手术吊塔Ⅱ</w:t>
      </w:r>
      <w:bookmarkStart w:id="0" w:name="_GoBack"/>
      <w:bookmarkEnd w:id="0"/>
      <w:r>
        <w:rPr>
          <w:rFonts w:hint="eastAsia" w:ascii="宋体" w:hAnsi="宋体" w:eastAsia="宋体" w:cs="宋体"/>
          <w:sz w:val="24"/>
          <w:szCs w:val="28"/>
          <w:highlight w:val="none"/>
        </w:rPr>
        <w:t>设备需求参数</w:t>
      </w:r>
    </w:p>
    <w:p w14:paraId="2E45D958">
      <w:pPr>
        <w:rPr>
          <w:rFonts w:hint="eastAsia" w:ascii="宋体" w:hAnsi="宋体" w:eastAsia="宋体" w:cs="宋体"/>
          <w:highlight w:val="none"/>
        </w:rPr>
      </w:pPr>
    </w:p>
    <w:tbl>
      <w:tblPr>
        <w:tblStyle w:val="5"/>
        <w:tblpPr w:leftFromText="180" w:rightFromText="180" w:vertAnchor="text" w:horzAnchor="page" w:tblpXSpec="center" w:tblpY="290"/>
        <w:tblOverlap w:val="never"/>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73"/>
      </w:tblGrid>
      <w:tr w14:paraId="3671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8AFD19F">
            <w:pPr>
              <w:jc w:val="center"/>
              <w:rPr>
                <w:rFonts w:hint="eastAsia" w:ascii="宋体" w:hAnsi="宋体" w:eastAsia="宋体" w:cs="宋体"/>
                <w:highlight w:val="none"/>
              </w:rPr>
            </w:pPr>
            <w:r>
              <w:rPr>
                <w:rFonts w:hint="eastAsia" w:ascii="宋体" w:hAnsi="宋体" w:eastAsia="宋体" w:cs="宋体"/>
                <w:highlight w:val="none"/>
              </w:rPr>
              <w:t>序号</w:t>
            </w:r>
          </w:p>
        </w:tc>
        <w:tc>
          <w:tcPr>
            <w:tcW w:w="8573" w:type="dxa"/>
          </w:tcPr>
          <w:p w14:paraId="1C0993A3">
            <w:pPr>
              <w:jc w:val="center"/>
              <w:rPr>
                <w:rFonts w:hint="eastAsia" w:ascii="宋体" w:hAnsi="宋体" w:eastAsia="宋体" w:cs="宋体"/>
                <w:highlight w:val="none"/>
              </w:rPr>
            </w:pPr>
            <w:r>
              <w:rPr>
                <w:rFonts w:hint="eastAsia" w:ascii="宋体" w:hAnsi="宋体" w:eastAsia="宋体" w:cs="宋体"/>
                <w:highlight w:val="none"/>
              </w:rPr>
              <w:t>需求描述</w:t>
            </w:r>
          </w:p>
        </w:tc>
      </w:tr>
      <w:tr w14:paraId="0931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BD429F5">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一、</w:t>
            </w:r>
          </w:p>
        </w:tc>
        <w:tc>
          <w:tcPr>
            <w:tcW w:w="8573" w:type="dxa"/>
            <w:vAlign w:val="center"/>
          </w:tcPr>
          <w:p w14:paraId="555A6DC0">
            <w:pPr>
              <w:widowControl/>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主要功能及工作原理：</w:t>
            </w:r>
          </w:p>
        </w:tc>
      </w:tr>
      <w:tr w14:paraId="4FBD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14EDF47">
            <w:pPr>
              <w:jc w:val="center"/>
              <w:rPr>
                <w:rFonts w:hint="eastAsia" w:ascii="宋体" w:hAnsi="宋体" w:eastAsia="宋体" w:cs="宋体"/>
                <w:highlight w:val="none"/>
              </w:rPr>
            </w:pPr>
            <w:r>
              <w:rPr>
                <w:rFonts w:hint="eastAsia" w:ascii="宋体" w:hAnsi="宋体" w:eastAsia="宋体" w:cs="宋体"/>
                <w:highlight w:val="none"/>
              </w:rPr>
              <w:t>1、</w:t>
            </w:r>
          </w:p>
        </w:tc>
        <w:tc>
          <w:tcPr>
            <w:tcW w:w="8573" w:type="dxa"/>
          </w:tcPr>
          <w:p w14:paraId="09D872EC">
            <w:pPr>
              <w:rPr>
                <w:rFonts w:hint="eastAsia" w:ascii="宋体" w:hAnsi="宋体" w:eastAsia="宋体" w:cs="宋体"/>
                <w:highlight w:val="none"/>
              </w:rPr>
            </w:pPr>
            <w:r>
              <w:rPr>
                <w:rFonts w:hint="eastAsia" w:ascii="宋体" w:hAnsi="宋体" w:eastAsia="宋体" w:cs="宋体"/>
                <w:kern w:val="0"/>
                <w:szCs w:val="21"/>
                <w:highlight w:val="none"/>
              </w:rPr>
              <w:t>手术吊塔作为气电供应和设备承载的基础设施，具有气电管理和提高层流净化程度的作用，可以有效地利用空间，不占用地面空间；手术</w:t>
            </w:r>
            <w:r>
              <w:rPr>
                <w:rFonts w:ascii="宋体" w:hAnsi="宋体" w:eastAsia="宋体" w:cs="宋体"/>
                <w:kern w:val="0"/>
                <w:szCs w:val="21"/>
                <w:highlight w:val="none"/>
              </w:rPr>
              <w:t>吊塔还可以承载仪器、设备和其他配件，对气源和电缆线做安全、有效的管理，还可以整合数据传输和呼叫系统等，给医护人员提供一个更加整洁、利用率高的治疗空间，提高工作效率，降低治疗中出错的风险，是现代化</w:t>
            </w:r>
            <w:r>
              <w:rPr>
                <w:rFonts w:hint="eastAsia" w:ascii="宋体" w:hAnsi="宋体" w:eastAsia="宋体" w:cs="宋体"/>
                <w:kern w:val="0"/>
                <w:szCs w:val="21"/>
                <w:highlight w:val="none"/>
              </w:rPr>
              <w:t>医院科室</w:t>
            </w:r>
            <w:r>
              <w:rPr>
                <w:rFonts w:ascii="宋体" w:hAnsi="宋体" w:eastAsia="宋体" w:cs="宋体"/>
                <w:kern w:val="0"/>
                <w:szCs w:val="21"/>
                <w:highlight w:val="none"/>
              </w:rPr>
              <w:t>建设必备的条件。</w:t>
            </w:r>
          </w:p>
        </w:tc>
      </w:tr>
      <w:tr w14:paraId="1E1C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6517414">
            <w:pPr>
              <w:jc w:val="center"/>
              <w:rPr>
                <w:rFonts w:hint="eastAsia" w:ascii="宋体" w:hAnsi="宋体" w:eastAsia="宋体" w:cs="宋体"/>
                <w:b/>
                <w:bCs/>
                <w:highlight w:val="none"/>
              </w:rPr>
            </w:pPr>
            <w:r>
              <w:rPr>
                <w:rFonts w:hint="eastAsia" w:ascii="宋体" w:hAnsi="宋体" w:eastAsia="宋体" w:cs="宋体"/>
                <w:b/>
                <w:bCs/>
                <w:highlight w:val="none"/>
              </w:rPr>
              <w:t>二、</w:t>
            </w:r>
          </w:p>
        </w:tc>
        <w:tc>
          <w:tcPr>
            <w:tcW w:w="8573" w:type="dxa"/>
          </w:tcPr>
          <w:p w14:paraId="6DDEF9A8">
            <w:pPr>
              <w:rPr>
                <w:rFonts w:hint="eastAsia" w:ascii="宋体" w:hAnsi="宋体" w:eastAsia="宋体" w:cs="宋体"/>
                <w:b/>
                <w:bCs/>
                <w:highlight w:val="none"/>
              </w:rPr>
            </w:pPr>
            <w:r>
              <w:rPr>
                <w:rFonts w:hint="eastAsia" w:ascii="宋体" w:hAnsi="宋体" w:eastAsia="宋体" w:cs="宋体"/>
                <w:b/>
                <w:bCs/>
                <w:kern w:val="0"/>
                <w:szCs w:val="21"/>
                <w:highlight w:val="none"/>
              </w:rPr>
              <w:t>应用场景：</w:t>
            </w:r>
          </w:p>
        </w:tc>
      </w:tr>
      <w:tr w14:paraId="1330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8442F1A">
            <w:pPr>
              <w:jc w:val="center"/>
              <w:rPr>
                <w:rFonts w:hint="eastAsia" w:ascii="宋体" w:hAnsi="宋体" w:eastAsia="宋体" w:cs="宋体"/>
                <w:highlight w:val="none"/>
              </w:rPr>
            </w:pPr>
            <w:r>
              <w:rPr>
                <w:rFonts w:hint="eastAsia" w:ascii="宋体" w:hAnsi="宋体" w:eastAsia="宋体" w:cs="宋体"/>
                <w:highlight w:val="none"/>
              </w:rPr>
              <w:t>1、</w:t>
            </w:r>
          </w:p>
        </w:tc>
        <w:tc>
          <w:tcPr>
            <w:tcW w:w="8573" w:type="dxa"/>
          </w:tcPr>
          <w:p w14:paraId="7ACFDBCC">
            <w:pPr>
              <w:rPr>
                <w:rFonts w:hint="eastAsia" w:ascii="宋体" w:hAnsi="宋体" w:eastAsia="宋体" w:cs="宋体"/>
                <w:highlight w:val="none"/>
              </w:rPr>
            </w:pPr>
            <w:r>
              <w:rPr>
                <w:rFonts w:hint="eastAsia" w:ascii="宋体" w:hAnsi="宋体" w:eastAsia="宋体" w:cs="宋体"/>
                <w:kern w:val="0"/>
                <w:szCs w:val="21"/>
                <w:highlight w:val="none"/>
              </w:rPr>
              <w:t>主要用于手术室内</w:t>
            </w:r>
            <w:r>
              <w:rPr>
                <w:rFonts w:hint="eastAsia" w:ascii="宋体" w:hAnsi="宋体" w:eastAsia="宋体" w:cs="宋体"/>
                <w:szCs w:val="21"/>
                <w:highlight w:val="none"/>
              </w:rPr>
              <w:t>医疗设备的安放和固定，以及相关医疗设备所需要的医用气体和强弱电的供应</w:t>
            </w:r>
          </w:p>
        </w:tc>
      </w:tr>
      <w:tr w14:paraId="7F4B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7A61561">
            <w:pPr>
              <w:jc w:val="center"/>
              <w:rPr>
                <w:rFonts w:hint="eastAsia" w:ascii="宋体" w:hAnsi="宋体" w:eastAsia="宋体" w:cs="宋体"/>
                <w:b/>
                <w:bCs/>
                <w:highlight w:val="none"/>
              </w:rPr>
            </w:pPr>
            <w:r>
              <w:rPr>
                <w:rFonts w:hint="eastAsia" w:ascii="宋体" w:hAnsi="宋体" w:eastAsia="宋体" w:cs="宋体"/>
                <w:b/>
                <w:bCs/>
                <w:kern w:val="0"/>
                <w:szCs w:val="21"/>
                <w:highlight w:val="none"/>
              </w:rPr>
              <w:t>三、</w:t>
            </w:r>
          </w:p>
        </w:tc>
        <w:tc>
          <w:tcPr>
            <w:tcW w:w="8573" w:type="dxa"/>
          </w:tcPr>
          <w:p w14:paraId="798F08A5">
            <w:pPr>
              <w:rPr>
                <w:rFonts w:hint="eastAsia" w:ascii="宋体" w:hAnsi="宋体" w:eastAsia="宋体" w:cs="宋体"/>
                <w:b/>
                <w:bCs/>
                <w:highlight w:val="none"/>
              </w:rPr>
            </w:pPr>
            <w:r>
              <w:rPr>
                <w:rFonts w:hint="eastAsia" w:ascii="宋体" w:hAnsi="宋体" w:eastAsia="宋体" w:cs="宋体"/>
                <w:b/>
                <w:bCs/>
                <w:kern w:val="0"/>
                <w:szCs w:val="21"/>
                <w:highlight w:val="none"/>
              </w:rPr>
              <w:t>重要技术参数：</w:t>
            </w:r>
          </w:p>
        </w:tc>
      </w:tr>
      <w:tr w14:paraId="57D7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2D4BFFC">
            <w:pPr>
              <w:jc w:val="center"/>
              <w:rPr>
                <w:rFonts w:hint="eastAsia" w:ascii="宋体" w:hAnsi="宋体" w:eastAsia="宋体" w:cs="宋体"/>
                <w:highlight w:val="none"/>
              </w:rPr>
            </w:pPr>
            <w:r>
              <w:rPr>
                <w:rFonts w:hint="eastAsia" w:ascii="宋体" w:hAnsi="宋体" w:eastAsia="宋体" w:cs="宋体"/>
                <w:kern w:val="0"/>
                <w:szCs w:val="21"/>
                <w:highlight w:val="none"/>
              </w:rPr>
              <w:t>★1、</w:t>
            </w:r>
          </w:p>
        </w:tc>
        <w:tc>
          <w:tcPr>
            <w:tcW w:w="8573" w:type="dxa"/>
          </w:tcPr>
          <w:p w14:paraId="06D5EC4F">
            <w:pPr>
              <w:widowControl/>
              <w:jc w:val="left"/>
              <w:rPr>
                <w:rFonts w:hint="eastAsia" w:ascii="宋体" w:hAnsi="宋体" w:eastAsia="宋体" w:cs="宋体"/>
                <w:highlight w:val="none"/>
              </w:rPr>
            </w:pPr>
            <w:r>
              <w:rPr>
                <w:rFonts w:ascii="宋体" w:hAnsi="宋体" w:eastAsia="宋体" w:cs="宋体"/>
                <w:kern w:val="0"/>
                <w:szCs w:val="21"/>
                <w:highlight w:val="none"/>
              </w:rPr>
              <w:t>所有气体终端采用双层六滚珠设计，气体终端具备三密封圈、弹片设计，防止老化漏气，所有气体接口必须带三状态：通、断、拔，确保可正面带气拆卸维修。（提供同品牌实物样品及结构图）</w:t>
            </w:r>
          </w:p>
        </w:tc>
      </w:tr>
      <w:tr w14:paraId="64B0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94A16E7">
            <w:pPr>
              <w:jc w:val="center"/>
              <w:rPr>
                <w:rFonts w:hint="eastAsia" w:ascii="宋体" w:hAnsi="宋体" w:eastAsia="宋体" w:cs="宋体"/>
                <w:highlight w:val="none"/>
              </w:rPr>
            </w:pPr>
            <w:r>
              <w:rPr>
                <w:rFonts w:hint="eastAsia" w:ascii="宋体" w:hAnsi="宋体" w:eastAsia="宋体" w:cs="宋体"/>
                <w:kern w:val="0"/>
                <w:szCs w:val="21"/>
                <w:highlight w:val="none"/>
              </w:rPr>
              <w:t>★2、</w:t>
            </w:r>
          </w:p>
        </w:tc>
        <w:tc>
          <w:tcPr>
            <w:tcW w:w="8573" w:type="dxa"/>
          </w:tcPr>
          <w:p w14:paraId="2A5D9F32">
            <w:pPr>
              <w:widowControl/>
              <w:jc w:val="left"/>
              <w:rPr>
                <w:rFonts w:hint="eastAsia" w:ascii="宋体" w:hAnsi="宋体" w:eastAsia="宋体" w:cs="宋体"/>
                <w:highlight w:val="none"/>
              </w:rPr>
            </w:pPr>
            <w:r>
              <w:rPr>
                <w:rFonts w:ascii="宋体" w:hAnsi="宋体" w:eastAsia="宋体" w:cs="宋体"/>
                <w:kern w:val="0"/>
                <w:szCs w:val="21"/>
                <w:highlight w:val="none"/>
              </w:rPr>
              <w:t>吊塔内部气体软管须采用EPDM橡胶材质，符合医用供气ISO5359安全标准（此标准要求防腐蚀，抗高压，抗菌，防静电）。不得采用PVC材质，管路为原厂自主生产。（提供CE证书上符合ISO5359的检测依据，橡胶软管材质含量分析的第三方检测报告，提供同品牌实物样品）</w:t>
            </w:r>
          </w:p>
        </w:tc>
      </w:tr>
      <w:tr w14:paraId="6BB3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4FEF9BA">
            <w:pPr>
              <w:jc w:val="center"/>
              <w:rPr>
                <w:rFonts w:hint="eastAsia" w:ascii="宋体" w:hAnsi="宋体" w:eastAsia="宋体" w:cs="宋体"/>
                <w:highlight w:val="none"/>
              </w:rPr>
            </w:pPr>
            <w:r>
              <w:rPr>
                <w:rFonts w:hint="eastAsia" w:ascii="宋体" w:hAnsi="宋体" w:eastAsia="宋体" w:cs="宋体"/>
                <w:kern w:val="0"/>
                <w:szCs w:val="21"/>
                <w:highlight w:val="none"/>
              </w:rPr>
              <w:t>▲3、</w:t>
            </w:r>
          </w:p>
        </w:tc>
        <w:tc>
          <w:tcPr>
            <w:tcW w:w="8573" w:type="dxa"/>
          </w:tcPr>
          <w:p w14:paraId="74BF5884">
            <w:pPr>
              <w:widowControl/>
              <w:jc w:val="left"/>
              <w:rPr>
                <w:rFonts w:hint="eastAsia" w:ascii="宋体" w:hAnsi="宋体" w:eastAsia="宋体" w:cs="宋体"/>
                <w:highlight w:val="none"/>
              </w:rPr>
            </w:pPr>
            <w:r>
              <w:rPr>
                <w:rFonts w:ascii="宋体" w:hAnsi="宋体" w:eastAsia="宋体" w:cs="宋体"/>
                <w:kern w:val="0"/>
                <w:szCs w:val="21"/>
                <w:highlight w:val="none"/>
              </w:rPr>
              <w:t>所有气体终端与吊塔为同一制造商。气体终端带有正向止回阀设计。各类气体插座需符合ISO标识标准，均为不同颜色和不同形状。保障接口5万次以上插拔，为了确保气体拔插的可靠性。（提供与吊塔同品牌的气体终端的CE认证和同品牌的插拔证明并提供气体终端样品，激光打印标有与吊塔同品牌的商标）</w:t>
            </w:r>
          </w:p>
        </w:tc>
      </w:tr>
      <w:tr w14:paraId="3463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921D8D0">
            <w:pPr>
              <w:jc w:val="center"/>
              <w:rPr>
                <w:rFonts w:hint="eastAsia" w:ascii="宋体" w:hAnsi="宋体" w:eastAsia="宋体" w:cs="宋体"/>
                <w:highlight w:val="none"/>
              </w:rPr>
            </w:pPr>
            <w:r>
              <w:rPr>
                <w:rFonts w:hint="eastAsia" w:ascii="宋体" w:hAnsi="宋体" w:eastAsia="宋体" w:cs="宋体"/>
                <w:kern w:val="0"/>
                <w:szCs w:val="21"/>
                <w:highlight w:val="none"/>
              </w:rPr>
              <w:t>▲4、</w:t>
            </w:r>
          </w:p>
        </w:tc>
        <w:tc>
          <w:tcPr>
            <w:tcW w:w="8573" w:type="dxa"/>
          </w:tcPr>
          <w:p w14:paraId="52878771">
            <w:pPr>
              <w:widowControl/>
              <w:jc w:val="left"/>
              <w:rPr>
                <w:rFonts w:hint="eastAsia" w:ascii="宋体" w:hAnsi="宋体" w:eastAsia="宋体" w:cs="宋体"/>
                <w:highlight w:val="none"/>
              </w:rPr>
            </w:pPr>
            <w:r>
              <w:rPr>
                <w:rFonts w:ascii="宋体" w:hAnsi="宋体" w:eastAsia="宋体" w:cs="宋体"/>
                <w:kern w:val="0"/>
                <w:szCs w:val="21"/>
                <w:highlight w:val="none"/>
              </w:rPr>
              <w:t>吊塔轴承的基本额定动载荷≥10000KG; 基本额定静载荷≥60000KG。吊塔轴承需采用平面推力滚针轴承，确保载荷均匀分布，可承受很高的轴向载荷，采用高精度滚针，其滚针硬度≥60HRC。（提供实物样品和测试报告）</w:t>
            </w:r>
          </w:p>
        </w:tc>
      </w:tr>
      <w:tr w14:paraId="04F6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57F7B17">
            <w:pPr>
              <w:jc w:val="center"/>
              <w:rPr>
                <w:rFonts w:hint="eastAsia" w:ascii="宋体" w:hAnsi="宋体" w:eastAsia="宋体" w:cs="宋体"/>
                <w:highlight w:val="none"/>
              </w:rPr>
            </w:pPr>
            <w:r>
              <w:rPr>
                <w:rFonts w:hint="eastAsia" w:ascii="宋体" w:hAnsi="宋体" w:eastAsia="宋体" w:cs="宋体"/>
                <w:kern w:val="0"/>
                <w:szCs w:val="21"/>
                <w:highlight w:val="none"/>
              </w:rPr>
              <w:t>★5、</w:t>
            </w:r>
          </w:p>
        </w:tc>
        <w:tc>
          <w:tcPr>
            <w:tcW w:w="8573" w:type="dxa"/>
          </w:tcPr>
          <w:p w14:paraId="36A221C9">
            <w:pPr>
              <w:widowControl/>
              <w:jc w:val="left"/>
              <w:rPr>
                <w:rFonts w:hint="eastAsia" w:ascii="宋体" w:hAnsi="宋体" w:eastAsia="宋体" w:cs="宋体"/>
                <w:highlight w:val="none"/>
              </w:rPr>
            </w:pPr>
            <w:r>
              <w:rPr>
                <w:rFonts w:ascii="宋体" w:hAnsi="宋体" w:eastAsia="宋体" w:cs="宋体"/>
                <w:kern w:val="0"/>
                <w:szCs w:val="21"/>
                <w:highlight w:val="none"/>
              </w:rPr>
              <w:t>托盘高硬度、抗静电、防褪色镁铝合金材质，一体成型设计，无铆钉，四角并带一体成型橡胶防撞角。（提供同品牌托盘截面样品实物证明，并提供吊塔制造商对应此托盘的标签及图样证明）</w:t>
            </w:r>
          </w:p>
        </w:tc>
      </w:tr>
      <w:tr w14:paraId="720D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D717691">
            <w:pPr>
              <w:jc w:val="center"/>
              <w:rPr>
                <w:rFonts w:hint="eastAsia" w:ascii="宋体" w:hAnsi="宋体" w:eastAsia="宋体" w:cs="宋体"/>
                <w:highlight w:val="none"/>
              </w:rPr>
            </w:pPr>
            <w:r>
              <w:rPr>
                <w:rFonts w:hint="eastAsia" w:ascii="宋体" w:hAnsi="宋体" w:eastAsia="宋体" w:cs="宋体"/>
                <w:kern w:val="0"/>
                <w:szCs w:val="21"/>
                <w:highlight w:val="none"/>
              </w:rPr>
              <w:t>▲6、</w:t>
            </w:r>
          </w:p>
        </w:tc>
        <w:tc>
          <w:tcPr>
            <w:tcW w:w="8573" w:type="dxa"/>
          </w:tcPr>
          <w:p w14:paraId="54DE5FC8">
            <w:pPr>
              <w:rPr>
                <w:rFonts w:hint="eastAsia" w:ascii="宋体" w:hAnsi="宋体" w:eastAsia="宋体" w:cs="宋体"/>
                <w:highlight w:val="none"/>
              </w:rPr>
            </w:pPr>
            <w:r>
              <w:rPr>
                <w:rFonts w:ascii="宋体" w:hAnsi="宋体" w:eastAsia="宋体" w:cs="宋体"/>
                <w:kern w:val="0"/>
                <w:szCs w:val="21"/>
                <w:highlight w:val="none"/>
              </w:rPr>
              <w:t>吊塔表面粉末涂层厚度应≥70微米。（提供吊塔粉末涂层厚度的第三方测试报告）</w:t>
            </w:r>
          </w:p>
        </w:tc>
      </w:tr>
      <w:tr w14:paraId="6373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6C081DA">
            <w:pPr>
              <w:jc w:val="center"/>
              <w:rPr>
                <w:rFonts w:hint="eastAsia" w:ascii="宋体" w:hAnsi="宋体" w:eastAsia="宋体" w:cs="宋体"/>
                <w:b/>
                <w:bCs/>
                <w:highlight w:val="none"/>
              </w:rPr>
            </w:pPr>
            <w:r>
              <w:rPr>
                <w:rFonts w:hint="eastAsia" w:ascii="宋体" w:hAnsi="宋体" w:eastAsia="宋体" w:cs="宋体"/>
                <w:b/>
                <w:bCs/>
                <w:kern w:val="0"/>
                <w:szCs w:val="21"/>
                <w:highlight w:val="none"/>
              </w:rPr>
              <w:t>四、</w:t>
            </w:r>
          </w:p>
        </w:tc>
        <w:tc>
          <w:tcPr>
            <w:tcW w:w="8573" w:type="dxa"/>
          </w:tcPr>
          <w:p w14:paraId="22424590">
            <w:pPr>
              <w:widowControl/>
              <w:jc w:val="left"/>
              <w:rPr>
                <w:rFonts w:hint="eastAsia" w:ascii="宋体" w:hAnsi="宋体" w:eastAsia="宋体" w:cs="宋体"/>
                <w:b/>
                <w:bCs/>
                <w:highlight w:val="none"/>
              </w:rPr>
            </w:pPr>
            <w:r>
              <w:rPr>
                <w:rFonts w:hint="eastAsia" w:ascii="宋体" w:hAnsi="宋体" w:eastAsia="宋体" w:cs="宋体"/>
                <w:b/>
                <w:bCs/>
                <w:kern w:val="0"/>
                <w:szCs w:val="21"/>
                <w:highlight w:val="none"/>
              </w:rPr>
              <w:t>一般技术参数：</w:t>
            </w:r>
          </w:p>
        </w:tc>
      </w:tr>
      <w:tr w14:paraId="14D8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F85FC7D">
            <w:pPr>
              <w:jc w:val="center"/>
              <w:rPr>
                <w:rFonts w:hint="eastAsia" w:ascii="宋体" w:hAnsi="宋体" w:eastAsia="宋体" w:cs="宋体"/>
                <w:highlight w:val="none"/>
              </w:rPr>
            </w:pPr>
            <w:r>
              <w:rPr>
                <w:rFonts w:hint="eastAsia" w:ascii="宋体" w:hAnsi="宋体" w:eastAsia="宋体" w:cs="宋体"/>
                <w:highlight w:val="none"/>
              </w:rPr>
              <w:t>1、</w:t>
            </w:r>
          </w:p>
        </w:tc>
        <w:tc>
          <w:tcPr>
            <w:tcW w:w="8573" w:type="dxa"/>
          </w:tcPr>
          <w:p w14:paraId="323420BA">
            <w:pPr>
              <w:pStyle w:val="9"/>
              <w:widowControl/>
              <w:ind w:firstLine="0" w:firstLineChars="0"/>
              <w:jc w:val="left"/>
              <w:rPr>
                <w:rFonts w:hint="eastAsia" w:ascii="宋体" w:hAnsi="宋体" w:eastAsia="宋体" w:cs="宋体"/>
                <w:highlight w:val="none"/>
              </w:rPr>
            </w:pPr>
            <w:r>
              <w:rPr>
                <w:rFonts w:hint="eastAsia" w:ascii="宋体" w:hAnsi="宋体" w:eastAsia="宋体" w:cs="宋体"/>
                <w:kern w:val="0"/>
                <w:szCs w:val="21"/>
                <w:highlight w:val="none"/>
              </w:rPr>
              <w:t>知名品牌吊塔，非贴牌代工、外购第三方品牌产品，制造商必须在中华人民共和国之外设有海外分支机构（提供书面文件证明）。</w:t>
            </w:r>
          </w:p>
        </w:tc>
      </w:tr>
      <w:tr w14:paraId="2FDE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82202E4">
            <w:pPr>
              <w:jc w:val="center"/>
              <w:rPr>
                <w:rFonts w:hint="eastAsia" w:ascii="宋体" w:hAnsi="宋体" w:eastAsia="宋体" w:cs="宋体"/>
                <w:highlight w:val="none"/>
              </w:rPr>
            </w:pPr>
            <w:r>
              <w:rPr>
                <w:rFonts w:hint="eastAsia" w:ascii="宋体" w:hAnsi="宋体" w:eastAsia="宋体" w:cs="宋体"/>
                <w:highlight w:val="none"/>
              </w:rPr>
              <w:t>2、</w:t>
            </w:r>
          </w:p>
        </w:tc>
        <w:tc>
          <w:tcPr>
            <w:tcW w:w="8573" w:type="dxa"/>
          </w:tcPr>
          <w:p w14:paraId="5BD5B06E">
            <w:pPr>
              <w:pStyle w:val="9"/>
              <w:widowControl/>
              <w:ind w:firstLine="0" w:firstLineChars="0"/>
              <w:jc w:val="left"/>
              <w:rPr>
                <w:rFonts w:hint="eastAsia" w:ascii="宋体" w:hAnsi="宋体" w:eastAsia="宋体" w:cs="宋体"/>
                <w:highlight w:val="none"/>
              </w:rPr>
            </w:pPr>
            <w:r>
              <w:rPr>
                <w:rFonts w:hint="eastAsia" w:ascii="宋体" w:hAnsi="宋体" w:eastAsia="宋体" w:cs="宋体"/>
                <w:kern w:val="0"/>
                <w:szCs w:val="21"/>
                <w:highlight w:val="none"/>
              </w:rPr>
              <w:t>所投产品通过多种认证，认证证书上需表明检测依据，包括但不限于</w:t>
            </w:r>
            <w:r>
              <w:rPr>
                <w:rFonts w:ascii="宋体" w:hAnsi="宋体" w:eastAsia="宋体" w:cs="宋体"/>
                <w:kern w:val="0"/>
                <w:szCs w:val="21"/>
                <w:highlight w:val="none"/>
              </w:rPr>
              <w:t>IEC 60601,EN ISO 11197, EN ISO 14971等，并提供产品质量认证证书。</w:t>
            </w:r>
          </w:p>
        </w:tc>
      </w:tr>
      <w:tr w14:paraId="610B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EBDE8E8">
            <w:pPr>
              <w:jc w:val="center"/>
              <w:rPr>
                <w:rFonts w:hint="eastAsia" w:ascii="宋体" w:hAnsi="宋体" w:eastAsia="宋体" w:cs="宋体"/>
                <w:highlight w:val="none"/>
              </w:rPr>
            </w:pPr>
            <w:r>
              <w:rPr>
                <w:rFonts w:hint="eastAsia" w:ascii="宋体" w:hAnsi="宋体" w:eastAsia="宋体" w:cs="宋体"/>
                <w:highlight w:val="none"/>
              </w:rPr>
              <w:t>3、</w:t>
            </w:r>
          </w:p>
        </w:tc>
        <w:tc>
          <w:tcPr>
            <w:tcW w:w="8573" w:type="dxa"/>
          </w:tcPr>
          <w:p w14:paraId="569D066A">
            <w:pPr>
              <w:pStyle w:val="9"/>
              <w:widowControl/>
              <w:ind w:left="360" w:hanging="360" w:firstLineChars="0"/>
              <w:jc w:val="left"/>
              <w:rPr>
                <w:rFonts w:hint="eastAsia" w:ascii="宋体" w:hAnsi="宋体" w:eastAsia="宋体" w:cs="宋体"/>
                <w:highlight w:val="none"/>
              </w:rPr>
            </w:pPr>
            <w:r>
              <w:rPr>
                <w:rFonts w:hint="eastAsia" w:ascii="宋体" w:hAnsi="宋体" w:eastAsia="宋体" w:cs="宋体"/>
                <w:kern w:val="0"/>
                <w:szCs w:val="21"/>
                <w:highlight w:val="none"/>
              </w:rPr>
              <w:t>提供第三方认证机构出具的</w:t>
            </w:r>
            <w:r>
              <w:rPr>
                <w:rFonts w:ascii="宋体" w:hAnsi="宋体" w:eastAsia="宋体" w:cs="宋体"/>
                <w:kern w:val="0"/>
                <w:szCs w:val="21"/>
                <w:highlight w:val="none"/>
              </w:rPr>
              <w:t>ISO9001、ISO13485质量管理体系认证证书。</w:t>
            </w:r>
          </w:p>
        </w:tc>
      </w:tr>
      <w:tr w14:paraId="61C5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19D24D5">
            <w:pPr>
              <w:jc w:val="center"/>
              <w:rPr>
                <w:rFonts w:hint="eastAsia" w:ascii="宋体" w:hAnsi="宋体" w:eastAsia="宋体" w:cs="宋体"/>
                <w:highlight w:val="none"/>
              </w:rPr>
            </w:pPr>
            <w:r>
              <w:rPr>
                <w:rFonts w:hint="eastAsia" w:ascii="宋体" w:hAnsi="宋体" w:eastAsia="宋体" w:cs="宋体"/>
                <w:highlight w:val="none"/>
              </w:rPr>
              <w:t>4、</w:t>
            </w:r>
          </w:p>
        </w:tc>
        <w:tc>
          <w:tcPr>
            <w:tcW w:w="8573" w:type="dxa"/>
          </w:tcPr>
          <w:p w14:paraId="249ACD62">
            <w:pPr>
              <w:pStyle w:val="9"/>
              <w:widowControl/>
              <w:ind w:firstLine="0" w:firstLineChars="0"/>
              <w:jc w:val="left"/>
              <w:rPr>
                <w:rFonts w:hint="eastAsia" w:ascii="宋体" w:hAnsi="宋体" w:eastAsia="宋体" w:cs="宋体"/>
                <w:highlight w:val="none"/>
              </w:rPr>
            </w:pPr>
            <w:r>
              <w:rPr>
                <w:rFonts w:hint="eastAsia" w:ascii="宋体" w:hAnsi="宋体" w:eastAsia="宋体" w:cs="宋体"/>
                <w:kern w:val="0"/>
                <w:szCs w:val="21"/>
                <w:highlight w:val="none"/>
              </w:rPr>
              <w:t>所投吊塔品牌必需具有由第三方检测机构或出具的防撞测试、四倍承重测试检测，提供测试检测通过合格报告复印件。</w:t>
            </w:r>
          </w:p>
        </w:tc>
      </w:tr>
      <w:tr w14:paraId="3BE0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F1A171D">
            <w:pPr>
              <w:jc w:val="center"/>
              <w:rPr>
                <w:rFonts w:hint="eastAsia" w:ascii="宋体" w:hAnsi="宋体" w:eastAsia="宋体" w:cs="宋体"/>
                <w:highlight w:val="none"/>
              </w:rPr>
            </w:pPr>
            <w:r>
              <w:rPr>
                <w:rFonts w:hint="eastAsia" w:ascii="宋体" w:hAnsi="宋体" w:eastAsia="宋体" w:cs="宋体"/>
                <w:highlight w:val="none"/>
              </w:rPr>
              <w:t>5、</w:t>
            </w:r>
          </w:p>
        </w:tc>
        <w:tc>
          <w:tcPr>
            <w:tcW w:w="8573" w:type="dxa"/>
          </w:tcPr>
          <w:p w14:paraId="26F5B9A9">
            <w:pPr>
              <w:pStyle w:val="9"/>
              <w:widowControl/>
              <w:ind w:left="360" w:hanging="360" w:firstLineChars="0"/>
              <w:jc w:val="left"/>
              <w:rPr>
                <w:rFonts w:hint="eastAsia" w:ascii="宋体" w:hAnsi="宋体" w:eastAsia="宋体" w:cs="宋体"/>
                <w:highlight w:val="none"/>
              </w:rPr>
            </w:pPr>
            <w:r>
              <w:rPr>
                <w:rFonts w:hint="eastAsia" w:ascii="宋体" w:hAnsi="宋体" w:eastAsia="宋体" w:cs="宋体"/>
                <w:kern w:val="0"/>
                <w:szCs w:val="21"/>
                <w:highlight w:val="none"/>
              </w:rPr>
              <w:t>提供第三方合作机构出具的吊塔预埋件安装方式及安全性的计算报告。</w:t>
            </w:r>
          </w:p>
        </w:tc>
      </w:tr>
      <w:tr w14:paraId="6A98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534A260">
            <w:pPr>
              <w:jc w:val="center"/>
              <w:rPr>
                <w:rFonts w:hint="eastAsia" w:ascii="宋体" w:hAnsi="宋体" w:eastAsia="宋体" w:cs="宋体"/>
                <w:highlight w:val="none"/>
              </w:rPr>
            </w:pPr>
            <w:r>
              <w:rPr>
                <w:rFonts w:hint="eastAsia" w:ascii="宋体" w:hAnsi="宋体" w:eastAsia="宋体" w:cs="宋体"/>
                <w:highlight w:val="none"/>
              </w:rPr>
              <w:t>6、</w:t>
            </w:r>
          </w:p>
        </w:tc>
        <w:tc>
          <w:tcPr>
            <w:tcW w:w="8573" w:type="dxa"/>
          </w:tcPr>
          <w:p w14:paraId="6F45FA17">
            <w:pPr>
              <w:pStyle w:val="9"/>
              <w:widowControl/>
              <w:ind w:firstLine="0" w:firstLineChars="0"/>
              <w:jc w:val="left"/>
              <w:rPr>
                <w:rFonts w:hint="eastAsia" w:ascii="宋体" w:hAnsi="宋体" w:eastAsia="宋体" w:cs="宋体"/>
                <w:highlight w:val="none"/>
              </w:rPr>
            </w:pPr>
            <w:r>
              <w:rPr>
                <w:rFonts w:hint="eastAsia" w:ascii="宋体" w:hAnsi="宋体" w:eastAsia="宋体" w:cs="宋体"/>
                <w:kern w:val="0"/>
                <w:szCs w:val="21"/>
                <w:highlight w:val="none"/>
              </w:rPr>
              <w:t>吊塔主体材料要求为高强度铝合金</w:t>
            </w:r>
            <w:r>
              <w:rPr>
                <w:rFonts w:ascii="宋体" w:hAnsi="宋体" w:eastAsia="宋体" w:cs="宋体"/>
                <w:kern w:val="0"/>
                <w:szCs w:val="21"/>
                <w:highlight w:val="none"/>
              </w:rPr>
              <w:t>, 圆弧形全封闭式设计，吊塔整体表面无锐角，无螺丝钉外露, 抗金属疲劳强度高，长时间承重不变形。材料必须防腐蚀，便于清洗，适合医用洁净环境。</w:t>
            </w:r>
          </w:p>
        </w:tc>
      </w:tr>
      <w:tr w14:paraId="220F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B187B52">
            <w:pPr>
              <w:jc w:val="center"/>
              <w:rPr>
                <w:rFonts w:hint="eastAsia" w:ascii="宋体" w:hAnsi="宋体" w:eastAsia="宋体" w:cs="宋体"/>
                <w:highlight w:val="none"/>
              </w:rPr>
            </w:pPr>
            <w:r>
              <w:rPr>
                <w:rFonts w:hint="eastAsia" w:ascii="宋体" w:hAnsi="宋体" w:eastAsia="宋体" w:cs="宋体"/>
                <w:highlight w:val="none"/>
              </w:rPr>
              <w:t>7、</w:t>
            </w:r>
          </w:p>
        </w:tc>
        <w:tc>
          <w:tcPr>
            <w:tcW w:w="8573" w:type="dxa"/>
          </w:tcPr>
          <w:p w14:paraId="253FF7B8">
            <w:pPr>
              <w:pStyle w:val="9"/>
              <w:widowControl/>
              <w:ind w:firstLine="0" w:firstLineChars="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所有负压气体管道和气口必须</w:t>
            </w:r>
            <w:r>
              <w:rPr>
                <w:rFonts w:ascii="宋体" w:hAnsi="宋体" w:eastAsia="宋体" w:cs="宋体"/>
                <w:kern w:val="0"/>
                <w:szCs w:val="21"/>
                <w:highlight w:val="none"/>
              </w:rPr>
              <w:t>1：1配置，真正达到一用一备的临床使用效果，不得采用在吊塔内部采用双通或三通来连接负压气管。</w:t>
            </w:r>
          </w:p>
        </w:tc>
      </w:tr>
      <w:tr w14:paraId="4B67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8BD49E8">
            <w:pPr>
              <w:jc w:val="center"/>
              <w:rPr>
                <w:rFonts w:hint="eastAsia" w:ascii="宋体" w:hAnsi="宋体" w:eastAsia="宋体" w:cs="宋体"/>
                <w:highlight w:val="none"/>
              </w:rPr>
            </w:pPr>
            <w:r>
              <w:rPr>
                <w:rFonts w:hint="eastAsia" w:ascii="宋体" w:hAnsi="宋体" w:eastAsia="宋体" w:cs="宋体"/>
                <w:highlight w:val="none"/>
              </w:rPr>
              <w:t>8、</w:t>
            </w:r>
          </w:p>
        </w:tc>
        <w:tc>
          <w:tcPr>
            <w:tcW w:w="8573" w:type="dxa"/>
          </w:tcPr>
          <w:p w14:paraId="50C908E5">
            <w:pPr>
              <w:pStyle w:val="9"/>
              <w:widowControl/>
              <w:ind w:firstLine="0" w:firstLineChars="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所有电源线路及气源管路必须在塔体内不能外露，保证吊塔在移动过程中，不会因位置的改变导致线路脱落的意外发生。吊柱内部上下三层设计，完全保证气电分离；底部设计有导流孔，可顺畅排除意外情况下产生的气体泄漏；内部空间充足，有利于数字化穿线，便于升级。</w:t>
            </w:r>
          </w:p>
        </w:tc>
      </w:tr>
      <w:tr w14:paraId="4D25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D8B3D7B">
            <w:pPr>
              <w:jc w:val="center"/>
              <w:rPr>
                <w:rFonts w:hint="eastAsia" w:ascii="宋体" w:hAnsi="宋体" w:eastAsia="宋体" w:cs="宋体"/>
                <w:highlight w:val="none"/>
              </w:rPr>
            </w:pPr>
            <w:r>
              <w:rPr>
                <w:rFonts w:hint="eastAsia" w:ascii="宋体" w:hAnsi="宋体" w:eastAsia="宋体" w:cs="宋体"/>
                <w:highlight w:val="none"/>
              </w:rPr>
              <w:t>9、</w:t>
            </w:r>
          </w:p>
        </w:tc>
        <w:tc>
          <w:tcPr>
            <w:tcW w:w="8573" w:type="dxa"/>
          </w:tcPr>
          <w:p w14:paraId="71C27C3C">
            <w:pPr>
              <w:pStyle w:val="9"/>
              <w:widowControl/>
              <w:ind w:firstLine="0" w:firstLineChars="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吊塔设备表面采用高含量聚酯树脂的抗菌喷粉涂层，能有效抑菌细菌滋生。抗菌率≥</w:t>
            </w:r>
            <w:r>
              <w:rPr>
                <w:rFonts w:ascii="宋体" w:hAnsi="宋体" w:eastAsia="宋体" w:cs="宋体"/>
                <w:kern w:val="0"/>
                <w:szCs w:val="21"/>
                <w:highlight w:val="none"/>
              </w:rPr>
              <w:t>99.9%（提供表面涂层成分测试以及抗菌测试的第三方测试报告）</w:t>
            </w:r>
          </w:p>
        </w:tc>
      </w:tr>
      <w:tr w14:paraId="619E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F9EC387">
            <w:pPr>
              <w:jc w:val="center"/>
              <w:rPr>
                <w:rFonts w:hint="eastAsia" w:ascii="宋体" w:hAnsi="宋体" w:eastAsia="宋体" w:cs="宋体"/>
                <w:highlight w:val="none"/>
              </w:rPr>
            </w:pPr>
            <w:r>
              <w:rPr>
                <w:rFonts w:hint="eastAsia" w:ascii="宋体" w:hAnsi="宋体" w:eastAsia="宋体" w:cs="宋体"/>
                <w:highlight w:val="none"/>
              </w:rPr>
              <w:t>10、</w:t>
            </w:r>
          </w:p>
        </w:tc>
        <w:tc>
          <w:tcPr>
            <w:tcW w:w="8573" w:type="dxa"/>
          </w:tcPr>
          <w:p w14:paraId="28BFD016">
            <w:pPr>
              <w:pStyle w:val="9"/>
              <w:widowControl/>
              <w:ind w:left="363" w:hanging="363" w:firstLineChars="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吊塔悬臂水平关节活动度≥</w:t>
            </w:r>
            <w:r>
              <w:rPr>
                <w:rFonts w:ascii="宋体" w:hAnsi="宋体" w:eastAsia="宋体" w:cs="宋体"/>
                <w:kern w:val="0"/>
                <w:szCs w:val="21"/>
                <w:highlight w:val="none"/>
              </w:rPr>
              <w:t>330°</w:t>
            </w:r>
          </w:p>
        </w:tc>
      </w:tr>
      <w:tr w14:paraId="1F13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D3D25E3">
            <w:pPr>
              <w:jc w:val="center"/>
              <w:rPr>
                <w:rFonts w:hint="eastAsia" w:ascii="宋体" w:hAnsi="宋体" w:eastAsia="宋体" w:cs="宋体"/>
                <w:highlight w:val="none"/>
              </w:rPr>
            </w:pPr>
            <w:r>
              <w:rPr>
                <w:rFonts w:hint="eastAsia" w:ascii="宋体" w:hAnsi="宋体" w:eastAsia="宋体" w:cs="宋体"/>
                <w:highlight w:val="none"/>
              </w:rPr>
              <w:t>11、</w:t>
            </w:r>
          </w:p>
        </w:tc>
        <w:tc>
          <w:tcPr>
            <w:tcW w:w="8573" w:type="dxa"/>
          </w:tcPr>
          <w:p w14:paraId="4DE32BCA">
            <w:pPr>
              <w:pStyle w:val="9"/>
              <w:widowControl/>
              <w:ind w:firstLine="0" w:firstLineChars="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为保障医院不同空间的不同使用需求，投标产品应具备多样性，同型号的产品应兼顾吊柱式和吊架式的医用吊塔。（提供图片说明）</w:t>
            </w:r>
          </w:p>
        </w:tc>
      </w:tr>
    </w:tbl>
    <w:p w14:paraId="51AC56F1">
      <w:pPr>
        <w:rPr>
          <w:rFonts w:hint="eastAsia" w:ascii="宋体" w:hAnsi="宋体" w:eastAsia="宋体" w:cs="宋体"/>
          <w:highlight w:val="none"/>
        </w:rPr>
      </w:pPr>
    </w:p>
    <w:p w14:paraId="5B903803">
      <w:pPr>
        <w:rPr>
          <w:rFonts w:hint="eastAsia" w:ascii="宋体" w:hAnsi="宋体" w:eastAsia="宋体" w:cs="宋体"/>
        </w:rPr>
      </w:pPr>
    </w:p>
    <w:p w14:paraId="46C1AA79">
      <w:pPr>
        <w:rPr>
          <w:rFonts w:hint="eastAsia" w:ascii="宋体" w:hAnsi="宋体" w:eastAsia="宋体" w:cs="宋体"/>
        </w:rPr>
      </w:pPr>
      <w:r>
        <w:rPr>
          <w:rFonts w:hint="eastAsia" w:ascii="宋体" w:hAnsi="宋体" w:eastAsia="宋体" w:cs="宋体"/>
        </w:rPr>
        <w:t>附件2：</w:t>
      </w:r>
    </w:p>
    <w:p w14:paraId="0EB5C691">
      <w:pPr>
        <w:jc w:val="center"/>
        <w:rPr>
          <w:rFonts w:hint="eastAsia" w:ascii="宋体" w:hAnsi="宋体" w:eastAsia="宋体" w:cs="宋体"/>
        </w:rPr>
      </w:pPr>
      <w:r>
        <w:rPr>
          <w:rFonts w:hint="eastAsia" w:ascii="宋体" w:hAnsi="宋体" w:eastAsia="宋体" w:cs="宋体"/>
        </w:rPr>
        <w:t>配置清单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2333"/>
        <w:gridCol w:w="3198"/>
      </w:tblGrid>
      <w:tr w14:paraId="0919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6E8F5DA6">
            <w:pPr>
              <w:jc w:val="center"/>
              <w:rPr>
                <w:rFonts w:hint="eastAsia" w:ascii="宋体" w:hAnsi="宋体" w:eastAsia="宋体" w:cs="宋体"/>
              </w:rPr>
            </w:pPr>
            <w:r>
              <w:rPr>
                <w:rFonts w:hint="eastAsia" w:ascii="宋体" w:hAnsi="宋体" w:eastAsia="宋体" w:cs="宋体"/>
              </w:rPr>
              <w:t>序号</w:t>
            </w:r>
          </w:p>
        </w:tc>
        <w:tc>
          <w:tcPr>
            <w:tcW w:w="2333" w:type="dxa"/>
          </w:tcPr>
          <w:p w14:paraId="0D089342">
            <w:pPr>
              <w:jc w:val="center"/>
              <w:rPr>
                <w:rFonts w:hint="eastAsia" w:ascii="宋体" w:hAnsi="宋体" w:eastAsia="宋体" w:cs="宋体"/>
              </w:rPr>
            </w:pPr>
            <w:r>
              <w:rPr>
                <w:rFonts w:hint="eastAsia" w:ascii="宋体" w:hAnsi="宋体" w:eastAsia="宋体" w:cs="宋体"/>
              </w:rPr>
              <w:t>项目名称</w:t>
            </w:r>
          </w:p>
        </w:tc>
        <w:tc>
          <w:tcPr>
            <w:tcW w:w="3198" w:type="dxa"/>
          </w:tcPr>
          <w:p w14:paraId="1D05F876">
            <w:pPr>
              <w:jc w:val="center"/>
              <w:rPr>
                <w:rFonts w:hint="eastAsia" w:ascii="宋体" w:hAnsi="宋体" w:eastAsia="宋体" w:cs="宋体"/>
              </w:rPr>
            </w:pPr>
            <w:r>
              <w:rPr>
                <w:rFonts w:hint="eastAsia" w:ascii="宋体" w:hAnsi="宋体" w:eastAsia="宋体" w:cs="宋体"/>
              </w:rPr>
              <w:t>数量</w:t>
            </w:r>
          </w:p>
        </w:tc>
      </w:tr>
      <w:tr w14:paraId="69A8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32EFE2B3">
            <w:pPr>
              <w:jc w:val="center"/>
              <w:rPr>
                <w:rFonts w:hint="eastAsia" w:ascii="宋体" w:hAnsi="宋体" w:eastAsia="宋体" w:cs="宋体"/>
              </w:rPr>
            </w:pPr>
            <w:r>
              <w:rPr>
                <w:rFonts w:hint="eastAsia" w:ascii="宋体" w:hAnsi="宋体" w:eastAsia="宋体" w:cs="宋体"/>
              </w:rPr>
              <w:t>1</w:t>
            </w:r>
          </w:p>
        </w:tc>
        <w:tc>
          <w:tcPr>
            <w:tcW w:w="2333" w:type="dxa"/>
          </w:tcPr>
          <w:p w14:paraId="37D8C3A5">
            <w:pPr>
              <w:jc w:val="center"/>
              <w:rPr>
                <w:rFonts w:hint="eastAsia" w:ascii="宋体" w:hAnsi="宋体" w:eastAsia="宋体" w:cs="宋体"/>
              </w:rPr>
            </w:pPr>
            <w:r>
              <w:rPr>
                <w:rFonts w:hint="eastAsia" w:ascii="宋体" w:hAnsi="宋体" w:eastAsia="宋体" w:cs="宋体"/>
              </w:rPr>
              <w:t>天顶底座及预埋件</w:t>
            </w:r>
          </w:p>
        </w:tc>
        <w:tc>
          <w:tcPr>
            <w:tcW w:w="3198" w:type="dxa"/>
          </w:tcPr>
          <w:p w14:paraId="11D669E2">
            <w:pPr>
              <w:jc w:val="center"/>
              <w:rPr>
                <w:rFonts w:hint="eastAsia" w:ascii="宋体" w:hAnsi="宋体" w:eastAsia="宋体" w:cs="宋体"/>
              </w:rPr>
            </w:pPr>
            <w:r>
              <w:rPr>
                <w:rFonts w:hint="eastAsia" w:ascii="宋体" w:hAnsi="宋体" w:eastAsia="宋体" w:cs="宋体"/>
              </w:rPr>
              <w:t>5套</w:t>
            </w:r>
          </w:p>
        </w:tc>
      </w:tr>
      <w:tr w14:paraId="4E6C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0BEF1538">
            <w:pPr>
              <w:jc w:val="center"/>
              <w:rPr>
                <w:rFonts w:hint="eastAsia" w:ascii="宋体" w:hAnsi="宋体" w:eastAsia="宋体" w:cs="宋体"/>
              </w:rPr>
            </w:pPr>
            <w:r>
              <w:rPr>
                <w:rFonts w:hint="eastAsia" w:ascii="宋体" w:hAnsi="宋体" w:eastAsia="宋体" w:cs="宋体"/>
              </w:rPr>
              <w:t>2</w:t>
            </w:r>
          </w:p>
        </w:tc>
        <w:tc>
          <w:tcPr>
            <w:tcW w:w="2333" w:type="dxa"/>
          </w:tcPr>
          <w:p w14:paraId="6E0DCF12">
            <w:pPr>
              <w:jc w:val="center"/>
              <w:rPr>
                <w:rFonts w:hint="eastAsia" w:ascii="宋体" w:hAnsi="宋体" w:eastAsia="宋体" w:cs="宋体"/>
              </w:rPr>
            </w:pPr>
            <w:r>
              <w:rPr>
                <w:rFonts w:hint="eastAsia" w:ascii="宋体" w:hAnsi="宋体" w:eastAsia="宋体" w:cs="宋体"/>
              </w:rPr>
              <w:t>手术吊塔</w:t>
            </w:r>
          </w:p>
        </w:tc>
        <w:tc>
          <w:tcPr>
            <w:tcW w:w="3198" w:type="dxa"/>
          </w:tcPr>
          <w:p w14:paraId="22CDDB8E">
            <w:pPr>
              <w:jc w:val="center"/>
              <w:rPr>
                <w:rFonts w:hint="eastAsia" w:ascii="宋体" w:hAnsi="宋体" w:eastAsia="宋体" w:cs="宋体"/>
              </w:rPr>
            </w:pPr>
            <w:r>
              <w:rPr>
                <w:rFonts w:hint="eastAsia" w:ascii="宋体" w:hAnsi="宋体" w:eastAsia="宋体" w:cs="宋体"/>
              </w:rPr>
              <w:t>5套</w:t>
            </w:r>
          </w:p>
        </w:tc>
      </w:tr>
      <w:tr w14:paraId="4022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3577D3CC">
            <w:pPr>
              <w:jc w:val="center"/>
              <w:rPr>
                <w:rFonts w:hint="eastAsia" w:ascii="宋体" w:hAnsi="宋体" w:eastAsia="宋体" w:cs="宋体"/>
              </w:rPr>
            </w:pPr>
            <w:r>
              <w:rPr>
                <w:rFonts w:hint="eastAsia" w:ascii="宋体" w:hAnsi="宋体" w:eastAsia="宋体" w:cs="宋体"/>
              </w:rPr>
              <w:t>3</w:t>
            </w:r>
          </w:p>
        </w:tc>
        <w:tc>
          <w:tcPr>
            <w:tcW w:w="2333" w:type="dxa"/>
          </w:tcPr>
          <w:p w14:paraId="5104F6A0">
            <w:pPr>
              <w:jc w:val="center"/>
              <w:rPr>
                <w:rFonts w:hint="eastAsia" w:ascii="宋体" w:hAnsi="宋体" w:eastAsia="宋体" w:cs="宋体"/>
              </w:rPr>
            </w:pPr>
            <w:r>
              <w:rPr>
                <w:rFonts w:hint="eastAsia" w:ascii="宋体" w:hAnsi="宋体" w:eastAsia="宋体" w:cs="宋体"/>
              </w:rPr>
              <w:t>各类气体终端</w:t>
            </w:r>
          </w:p>
        </w:tc>
        <w:tc>
          <w:tcPr>
            <w:tcW w:w="3198" w:type="dxa"/>
          </w:tcPr>
          <w:p w14:paraId="467636D6">
            <w:pPr>
              <w:jc w:val="center"/>
              <w:rPr>
                <w:rFonts w:hint="eastAsia" w:ascii="宋体" w:hAnsi="宋体" w:eastAsia="宋体" w:cs="宋体"/>
              </w:rPr>
            </w:pPr>
            <w:r>
              <w:rPr>
                <w:rFonts w:hint="eastAsia" w:ascii="宋体" w:hAnsi="宋体" w:eastAsia="宋体" w:cs="宋体"/>
              </w:rPr>
              <w:t>5套</w:t>
            </w:r>
          </w:p>
        </w:tc>
      </w:tr>
      <w:tr w14:paraId="7452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05AF05B4">
            <w:pPr>
              <w:jc w:val="center"/>
              <w:rPr>
                <w:rFonts w:hint="eastAsia" w:ascii="宋体" w:hAnsi="宋体" w:eastAsia="宋体" w:cs="宋体"/>
              </w:rPr>
            </w:pPr>
            <w:r>
              <w:rPr>
                <w:rFonts w:hint="eastAsia" w:ascii="宋体" w:hAnsi="宋体" w:eastAsia="宋体" w:cs="宋体"/>
              </w:rPr>
              <w:t>4</w:t>
            </w:r>
          </w:p>
        </w:tc>
        <w:tc>
          <w:tcPr>
            <w:tcW w:w="2333" w:type="dxa"/>
          </w:tcPr>
          <w:p w14:paraId="267A8A9B">
            <w:pPr>
              <w:jc w:val="center"/>
              <w:rPr>
                <w:rFonts w:hint="eastAsia" w:ascii="宋体" w:hAnsi="宋体" w:eastAsia="宋体" w:cs="宋体"/>
              </w:rPr>
            </w:pPr>
            <w:r>
              <w:rPr>
                <w:rFonts w:hint="eastAsia" w:ascii="宋体" w:hAnsi="宋体" w:eastAsia="宋体" w:cs="宋体"/>
              </w:rPr>
              <w:t>电源插座</w:t>
            </w:r>
          </w:p>
        </w:tc>
        <w:tc>
          <w:tcPr>
            <w:tcW w:w="3198" w:type="dxa"/>
          </w:tcPr>
          <w:p w14:paraId="46242956">
            <w:pPr>
              <w:jc w:val="center"/>
              <w:rPr>
                <w:rFonts w:hint="eastAsia" w:ascii="宋体" w:hAnsi="宋体" w:eastAsia="宋体" w:cs="宋体"/>
              </w:rPr>
            </w:pPr>
            <w:r>
              <w:rPr>
                <w:rFonts w:hint="eastAsia" w:ascii="宋体" w:hAnsi="宋体" w:eastAsia="宋体" w:cs="宋体"/>
              </w:rPr>
              <w:t>5套</w:t>
            </w:r>
          </w:p>
        </w:tc>
      </w:tr>
      <w:tr w14:paraId="58B8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1F8E6369">
            <w:pPr>
              <w:jc w:val="center"/>
              <w:rPr>
                <w:rFonts w:hint="eastAsia" w:ascii="宋体" w:hAnsi="宋体" w:eastAsia="宋体" w:cs="宋体"/>
              </w:rPr>
            </w:pPr>
            <w:r>
              <w:rPr>
                <w:rFonts w:hint="eastAsia" w:ascii="宋体" w:hAnsi="宋体" w:eastAsia="宋体" w:cs="宋体"/>
              </w:rPr>
              <w:t>5</w:t>
            </w:r>
          </w:p>
        </w:tc>
        <w:tc>
          <w:tcPr>
            <w:tcW w:w="2333" w:type="dxa"/>
          </w:tcPr>
          <w:p w14:paraId="348867D2">
            <w:pPr>
              <w:jc w:val="center"/>
              <w:rPr>
                <w:rFonts w:hint="eastAsia" w:ascii="宋体" w:hAnsi="宋体" w:eastAsia="宋体" w:cs="宋体"/>
              </w:rPr>
            </w:pPr>
            <w:r>
              <w:rPr>
                <w:rFonts w:hint="eastAsia" w:ascii="宋体" w:hAnsi="宋体" w:eastAsia="宋体" w:cs="宋体"/>
              </w:rPr>
              <w:t>通讯接口</w:t>
            </w:r>
          </w:p>
        </w:tc>
        <w:tc>
          <w:tcPr>
            <w:tcW w:w="3198" w:type="dxa"/>
          </w:tcPr>
          <w:p w14:paraId="7003B15D">
            <w:pPr>
              <w:jc w:val="center"/>
              <w:rPr>
                <w:rFonts w:hint="eastAsia" w:ascii="宋体" w:hAnsi="宋体" w:eastAsia="宋体" w:cs="宋体"/>
              </w:rPr>
            </w:pPr>
            <w:r>
              <w:rPr>
                <w:rFonts w:hint="eastAsia" w:ascii="宋体" w:hAnsi="宋体" w:eastAsia="宋体" w:cs="宋体"/>
              </w:rPr>
              <w:t>5套</w:t>
            </w:r>
          </w:p>
        </w:tc>
      </w:tr>
    </w:tbl>
    <w:p w14:paraId="2AD57807">
      <w:pPr>
        <w:widowControl/>
        <w:jc w:val="left"/>
        <w:rPr>
          <w:rFonts w:hint="eastAsia" w:ascii="宋体" w:hAnsi="宋体" w:eastAsia="宋体" w:cs="宋体"/>
        </w:rPr>
      </w:pPr>
    </w:p>
    <w:p w14:paraId="5A6A6548">
      <w:pPr>
        <w:widowControl/>
        <w:jc w:val="left"/>
        <w:rPr>
          <w:rFonts w:hint="eastAsia"/>
        </w:rPr>
      </w:pPr>
    </w:p>
    <w:p w14:paraId="3EBC5299">
      <w:pPr>
        <w:widowControl/>
        <w:jc w:val="left"/>
        <w:rPr>
          <w:rFonts w:hint="eastAsia"/>
        </w:rPr>
      </w:pPr>
    </w:p>
    <w:p w14:paraId="59B99072">
      <w:pPr>
        <w:widowControl/>
        <w:jc w:val="left"/>
        <w:rPr>
          <w:rFonts w:hint="eastAsia"/>
        </w:rPr>
      </w:pPr>
    </w:p>
    <w:sectPr>
      <w:headerReference r:id="rId5" w:type="first"/>
      <w:headerReference r:id="rId3" w:type="default"/>
      <w:headerReference r:id="rId4" w:type="even"/>
      <w:pgSz w:w="11906" w:h="16838"/>
      <w:pgMar w:top="1213" w:right="1213" w:bottom="1213"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479E9">
    <w:pPr>
      <w:pStyle w:val="3"/>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DEF0D">
    <w:pPr>
      <w:pStyle w:val="3"/>
      <w:rPr>
        <w:rFonts w:hint="eastAsia"/>
      </w:rPr>
    </w:pPr>
    <w: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top</wp:align>
              </wp:positionV>
              <wp:extent cx="443865" cy="443865"/>
              <wp:effectExtent l="0" t="0" r="7620" b="6350"/>
              <wp:wrapNone/>
              <wp:docPr id="2" name="文本框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BD4BA">
                          <w:pPr>
                            <w:rPr>
                              <w:rFonts w:ascii="Arial" w:hAnsi="Arial" w:eastAsia="Arial" w:cs="Arial"/>
                              <w:color w:val="FF8F1F"/>
                              <w:sz w:val="20"/>
                              <w:szCs w:val="20"/>
                            </w:rPr>
                          </w:pPr>
                          <w:r>
                            <w:rPr>
                              <w:rFonts w:ascii="Arial" w:hAnsi="Arial" w:eastAsia="Arial" w:cs="Arial"/>
                              <w:color w:val="FF8F1F"/>
                              <w:sz w:val="20"/>
                              <w:szCs w:val="20"/>
                            </w:rPr>
                            <w:t>Internal</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_x0000_s1026" o:spid="_x0000_s1026" o:spt="202" alt="Internal" type="#_x0000_t202" style="position:absolute;left:0pt;height:34.95pt;width:34.95pt;mso-position-horizontal:left;mso-position-horizontal-relative:page;mso-position-vertical:top;mso-position-vertical-relative:page;mso-wrap-style:none;z-index:251660288;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IXWVzDoCAABlBAAADgAAAGRycy9lMm9Eb2MueG1srVTNbhMxEL4j&#10;8Q6W72Q3IalKlE0VGhVVqmilgDg7Xm92Jdtj2ZPulgeAN+DEhTvPledg7N2kUDj0wMU7f/7G883M&#10;Li46o9m98qEBW/DxKOdMWQllY3cF//jh6tU5ZwGFLYUGqwr+oAK/WL58sWjdXE2gBl0qzwjEhnnr&#10;Cl4junmWBVkrI8IInLLkrMAbgaT6XVZ60RK60dkkz8+yFnzpPEgVAlnXvZMPiP45gFBVjVRrkHuj&#10;LPaoXmmBVFKoGxf4Mr22qpTE26oKCpkuOFWK6aQkJG/jmS0XYr7zwtWNHJ4gnvOEJzUZ0VhKeoJa&#10;CxRs75u/oEwjPQSocCTBZH0hiRGqYpw/4WZTC6dSLUR1cCfSw/+Dle/v7zxryoJPOLPCUMMP374e&#10;vv88/PjCyFSqIImua4vKW6EjX60Lc7q2cXQRu7fQ0RQd7YGMkYau8iZ+qUBGfmL74cS26pBJMk6n&#10;r8/PZpxJcg0yoWePl50P+E6BYVEouKdmJo7F/U3APvQYEnNZuGq0Tg3V9g8DYUZLFl/evzBK2G27&#10;oZwtlA9UjYd+PoKTVw3lvBEB74SngaACaGXwlo5KQ1twGCTOavCf/2WP8dQn8nLW0oAV3NI+caav&#10;LfVvMpvmeRzIpI3f5LOo+aSRsD0Kdm8ugWZ3TEvpZBJjHOqjWHkwn2ijVjEbuYSVlLPgeBQvsR93&#10;2kipVqsURLPnBN7YjZMROpIV3GqPxGAiNtLTczKwRtOXWjNsShzv3/UU9fh3W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PfgNNIAAAADAQAADwAAAAAAAAABACAAAAAiAAAAZHJzL2Rvd25yZXYu&#10;eG1sUEsBAhQAFAAAAAgAh07iQCF1lcw6AgAAZQQAAA4AAAAAAAAAAQAgAAAAIQEAAGRycy9lMm9E&#10;b2MueG1sUEsFBgAAAAAGAAYAWQEAAM0FAAAAAA==&#10;">
              <v:fill on="f" focussize="0,0"/>
              <v:stroke on="f"/>
              <v:imagedata o:title=""/>
              <o:lock v:ext="edit" aspectratio="f"/>
              <v:textbox inset="20pt,15pt,0mm,0mm" style="mso-fit-shape-to-text:t;">
                <w:txbxContent>
                  <w:p w14:paraId="577BD4BA">
                    <w:pPr>
                      <w:rPr>
                        <w:rFonts w:ascii="Arial" w:hAnsi="Arial" w:eastAsia="Arial" w:cs="Arial"/>
                        <w:color w:val="FF8F1F"/>
                        <w:sz w:val="20"/>
                        <w:szCs w:val="20"/>
                      </w:rPr>
                    </w:pPr>
                    <w:r>
                      <w:rPr>
                        <w:rFonts w:ascii="Arial" w:hAnsi="Arial" w:eastAsia="Arial" w:cs="Arial"/>
                        <w:color w:val="FF8F1F"/>
                        <w:sz w:val="20"/>
                        <w:szCs w:val="20"/>
                      </w:rPr>
                      <w:t>Internal</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2E338">
    <w:pPr>
      <w:pStyle w:val="3"/>
      <w:rPr>
        <w:rFonts w:hint="eastAsia"/>
      </w:rPr>
    </w:pPr>
    <w: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top</wp:align>
              </wp:positionV>
              <wp:extent cx="443865" cy="443865"/>
              <wp:effectExtent l="0" t="0" r="7620" b="6350"/>
              <wp:wrapNone/>
              <wp:docPr id="1" name="文本框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A98AA4">
                          <w:pPr>
                            <w:rPr>
                              <w:rFonts w:ascii="Arial" w:hAnsi="Arial" w:eastAsia="Arial" w:cs="Arial"/>
                              <w:color w:val="FF8F1F"/>
                              <w:sz w:val="20"/>
                              <w:szCs w:val="20"/>
                            </w:rPr>
                          </w:pPr>
                          <w:r>
                            <w:rPr>
                              <w:rFonts w:ascii="Arial" w:hAnsi="Arial" w:eastAsia="Arial" w:cs="Arial"/>
                              <w:color w:val="FF8F1F"/>
                              <w:sz w:val="20"/>
                              <w:szCs w:val="20"/>
                            </w:rPr>
                            <w:t>Internal</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_x0000_s1026" o:spid="_x0000_s1026" o:spt="202" alt="Internal" type="#_x0000_t202" style="position:absolute;left:0pt;height:34.95pt;width:34.95pt;mso-position-horizontal:left;mso-position-horizontal-relative:page;mso-position-vertical:top;mso-position-vertical-relative:page;mso-wrap-style:none;z-index:251659264;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ucWTjzgCAABlBAAADgAAAGRycy9lMm9Eb2MueG1srVTNjtMwEL4j&#10;8Q6W7zRpaVdL1XRVtipaqWJXKoiz6zhNJP/JdpuUB4A34MSFO8/V5+BzknZh4bAHLs78+ZuZb8aZ&#10;3TRKkoNwvjI6o8NBSonQ3OSV3mX044fVq2tKfGA6Z9JokdGj8PRm/vLFrLZTMTKlkblwBCDaT2ub&#10;0TIEO00Sz0uhmB8YKzSchXGKBahul+SO1UBXMhml6VVSG5dbZ7jwHtZl56Q9onsOoCmKioul4Xsl&#10;dOhQnZAsoCVfVtbTeVttUQge7ovCi0BkRtFpaE8kgbyNZzKfsenOMVtWvC+BPaeEJz0pVmkkvUAt&#10;WWBk76q/oFTFnfGmCANuVNI10jKCLobpE242JbOi7QVUe3sh3f8/WP7+8OBIlWMTKNFMYeCnb19P&#10;33+efnwhMOXCc9B1p4NwmsnIV239FNc2FhdD89Y08W5v9zBGGprCqfhFgwR+sH28sC2aQDiM4/Hr&#10;66sJJRyuXgZK8njZOh/eCaNIFDLqMMyWY3ZY+9CFnkNiLm1WlZSws6nUfxiAGS1JrLyrMEqh2TZ9&#10;2VuTH9GNM91+eMtXFXKumQ8PzGEh0ACeTLjHUUhTZ9T0EiWlcZ//ZY/xmBO8lNRYsIxqvCdK5J3G&#10;/EaTcZrGhWy14Zt0EjXXahC2Z0Hv1a3B7mIUqKoVY1yQZ7FwRn3Ci1rEbHAxzZEzo+Es3oZu3fEi&#10;uVgs2iDsnmVhrTeWR+hIlreLfQCDLbGRno6TnjVsXzua/qXE9f5db6Me/w7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j34DTSAAAAAwEAAA8AAAAAAAAAAQAgAAAAIgAAAGRycy9kb3ducmV2Lnht&#10;bFBLAQIUABQAAAAIAIdO4kC5xZOPOAIAAGUEAAAOAAAAAAAAAAEAIAAAACEBAABkcnMvZTJvRG9j&#10;LnhtbFBLBQYAAAAABgAGAFkBAADLBQAAAAA=&#10;">
              <v:fill on="f" focussize="0,0"/>
              <v:stroke on="f"/>
              <v:imagedata o:title=""/>
              <o:lock v:ext="edit" aspectratio="f"/>
              <v:textbox inset="20pt,15pt,0mm,0mm" style="mso-fit-shape-to-text:t;">
                <w:txbxContent>
                  <w:p w14:paraId="37A98AA4">
                    <w:pPr>
                      <w:rPr>
                        <w:rFonts w:ascii="Arial" w:hAnsi="Arial" w:eastAsia="Arial" w:cs="Arial"/>
                        <w:color w:val="FF8F1F"/>
                        <w:sz w:val="20"/>
                        <w:szCs w:val="20"/>
                      </w:rPr>
                    </w:pPr>
                    <w:r>
                      <w:rPr>
                        <w:rFonts w:ascii="Arial" w:hAnsi="Arial" w:eastAsia="Arial" w:cs="Arial"/>
                        <w:color w:val="FF8F1F"/>
                        <w:sz w:val="20"/>
                        <w:szCs w:val="20"/>
                      </w:rPr>
                      <w:t>Internal</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iMjBiMTlkZjU0MmFjYmRhMDhlMWFlNTEzNTNjZDkifQ=="/>
  </w:docVars>
  <w:rsids>
    <w:rsidRoot w:val="008204C3"/>
    <w:rsid w:val="00052AAE"/>
    <w:rsid w:val="000739B3"/>
    <w:rsid w:val="00126DBD"/>
    <w:rsid w:val="001C2CFB"/>
    <w:rsid w:val="001E7B9C"/>
    <w:rsid w:val="00222221"/>
    <w:rsid w:val="00257CE1"/>
    <w:rsid w:val="002B51E1"/>
    <w:rsid w:val="002E7905"/>
    <w:rsid w:val="00357EFE"/>
    <w:rsid w:val="003926E9"/>
    <w:rsid w:val="003A2A29"/>
    <w:rsid w:val="003C261A"/>
    <w:rsid w:val="00447A1C"/>
    <w:rsid w:val="00473ABA"/>
    <w:rsid w:val="00477268"/>
    <w:rsid w:val="006108C3"/>
    <w:rsid w:val="00626629"/>
    <w:rsid w:val="00630AF5"/>
    <w:rsid w:val="00661EA4"/>
    <w:rsid w:val="00670E08"/>
    <w:rsid w:val="00674B97"/>
    <w:rsid w:val="0075704C"/>
    <w:rsid w:val="00794D66"/>
    <w:rsid w:val="007B3E2D"/>
    <w:rsid w:val="008204C3"/>
    <w:rsid w:val="00826DBE"/>
    <w:rsid w:val="008456B3"/>
    <w:rsid w:val="0087569C"/>
    <w:rsid w:val="008A4634"/>
    <w:rsid w:val="009B50C3"/>
    <w:rsid w:val="009C5101"/>
    <w:rsid w:val="009F42CF"/>
    <w:rsid w:val="00A04407"/>
    <w:rsid w:val="00A11733"/>
    <w:rsid w:val="00A36058"/>
    <w:rsid w:val="00A40E22"/>
    <w:rsid w:val="00A56332"/>
    <w:rsid w:val="00AB4A9C"/>
    <w:rsid w:val="00B14169"/>
    <w:rsid w:val="00B66A6E"/>
    <w:rsid w:val="00B81326"/>
    <w:rsid w:val="00C70746"/>
    <w:rsid w:val="00C90E20"/>
    <w:rsid w:val="00CA7BA4"/>
    <w:rsid w:val="00CD3B64"/>
    <w:rsid w:val="00D53F4C"/>
    <w:rsid w:val="00E40BAD"/>
    <w:rsid w:val="00E65309"/>
    <w:rsid w:val="00EE4216"/>
    <w:rsid w:val="00EE7EFB"/>
    <w:rsid w:val="00F13D00"/>
    <w:rsid w:val="0C6943CB"/>
    <w:rsid w:val="15B809AB"/>
    <w:rsid w:val="1E0778B6"/>
    <w:rsid w:val="1F0A2D75"/>
    <w:rsid w:val="20D64B1C"/>
    <w:rsid w:val="25C70DAC"/>
    <w:rsid w:val="2EEF7C03"/>
    <w:rsid w:val="39443F15"/>
    <w:rsid w:val="410701E9"/>
    <w:rsid w:val="4FA30B36"/>
    <w:rsid w:val="535F5D26"/>
    <w:rsid w:val="57FC3070"/>
    <w:rsid w:val="699917CC"/>
    <w:rsid w:val="6DA63570"/>
    <w:rsid w:val="7C050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2</Pages>
  <Words>1519</Words>
  <Characters>1602</Characters>
  <Lines>12</Lines>
  <Paragraphs>3</Paragraphs>
  <TotalTime>1</TotalTime>
  <ScaleCrop>false</ScaleCrop>
  <LinksUpToDate>false</LinksUpToDate>
  <CharactersWithSpaces>1611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2024-07-23T10:22:00Z</dcterms:created>
  <dc:creator>user</dc:creator>
  <cp:lastModifiedBy>杨俐君</cp:lastModifiedBy>
  <dcterms:modified xsi:type="dcterms:W3CDTF">2024-07-23T21:49:30Z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#ff8f1f,10,Arial</vt:lpwstr>
  </property>
  <property fmtid="{D5CDD505-2E9C-101B-9397-08002B2CF9AE}" pid="4" name="ClassificationContentMarkingHeaderText">
    <vt:lpwstr>Internal</vt:lpwstr>
  </property>
  <property fmtid="{D5CDD505-2E9C-101B-9397-08002B2CF9AE}" pid="5" name="KSOProductBuildVer">
    <vt:lpwstr>2052-12.1.0.17147</vt:lpwstr>
  </property>
  <property fmtid="{D5CDD505-2E9C-101B-9397-08002B2CF9AE}" pid="6" name="ICV">
    <vt:lpwstr>437D70AA8CC34EE782D1790505E4B1FC_13</vt:lpwstr>
  </property>
</Properties>
</file>