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310A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一、项目概述</w:t>
      </w:r>
    </w:p>
    <w:p w14:paraId="2F4C8F9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1、项目名称：2024-2025年机房服务器及存储扩容项目</w:t>
      </w:r>
    </w:p>
    <w:p w14:paraId="033DF9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2、交付日期：合同签订后60天内</w:t>
      </w:r>
    </w:p>
    <w:p w14:paraId="277085C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3、付款方式：交货验收合格并安装调试后，招标方根据医院付款流程，支付合同款项100%。   </w:t>
      </w:r>
    </w:p>
    <w:p w14:paraId="0F65F46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4、交付地点：招标人指定地点</w:t>
      </w:r>
    </w:p>
    <w:p w14:paraId="47DC1D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5、项目背景：随着医疗技术的不断进步和信息化建设的深入发展，医院对信息系统和数据存储的需求日益增长。具体来说，项目建设背景可能包括以下几点：</w:t>
      </w:r>
    </w:p>
    <w:p w14:paraId="6CDE958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首先，随着医院业务规模的不断扩大，如电子病历、影像资料、检验报告等医疗数据的快速增长，现有的服务器和存储设备可能无法满足医院日益增长的数据存储需求。因此，需要进行服务器及存储扩容，以确保医院信息系统能够稳定、高效地运行。</w:t>
      </w:r>
    </w:p>
    <w:p w14:paraId="7F009CC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其次，医疗数据的安全性和可靠性对于医院来说至关重要。服务器及存储扩容项目旨在提升医院信息系统的安全防护能力，确保医疗数据的完整性和机密性，防止数据泄露和丢失。</w:t>
      </w:r>
    </w:p>
    <w:p w14:paraId="6C753E0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此外，随着医疗信息化的深入发展，医院对信息系统的性能和稳定性要求也越来越高。服务器及存储扩容项目可以优化医院信息系统的架构和配置，提升系统的处理能力和响应速度，为医护人员提供更加便捷、高效的信息服务。</w:t>
      </w:r>
    </w:p>
    <w:p w14:paraId="7FE4C02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二、产品清单</w:t>
      </w:r>
    </w:p>
    <w:tbl>
      <w:tblPr>
        <w:tblStyle w:val="8"/>
        <w:tblW w:w="93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5"/>
        <w:gridCol w:w="1856"/>
        <w:gridCol w:w="1313"/>
        <w:gridCol w:w="1369"/>
        <w:gridCol w:w="1275"/>
        <w:gridCol w:w="2191"/>
      </w:tblGrid>
      <w:tr w14:paraId="4161F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1" w:hRule="atLeast"/>
          <w:jc w:val="center"/>
        </w:trPr>
        <w:tc>
          <w:tcPr>
            <w:tcW w:w="1335" w:type="dxa"/>
            <w:noWrap w:val="0"/>
            <w:vAlign w:val="center"/>
          </w:tcPr>
          <w:p w14:paraId="5A5FEBB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856" w:type="dxa"/>
            <w:noWrap w:val="0"/>
            <w:vAlign w:val="center"/>
          </w:tcPr>
          <w:p w14:paraId="628A3E2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313" w:type="dxa"/>
            <w:noWrap w:val="0"/>
            <w:vAlign w:val="center"/>
          </w:tcPr>
          <w:p w14:paraId="7FE96A8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369" w:type="dxa"/>
            <w:tcBorders>
              <w:right w:val="single" w:color="auto" w:sz="4" w:space="0"/>
            </w:tcBorders>
            <w:noWrap w:val="0"/>
            <w:vAlign w:val="center"/>
          </w:tcPr>
          <w:p w14:paraId="6B762A4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04971D7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质保</w:t>
            </w:r>
          </w:p>
        </w:tc>
        <w:tc>
          <w:tcPr>
            <w:tcW w:w="2191" w:type="dxa"/>
            <w:tcBorders>
              <w:left w:val="single" w:color="auto" w:sz="4" w:space="0"/>
            </w:tcBorders>
            <w:noWrap w:val="0"/>
            <w:vAlign w:val="center"/>
          </w:tcPr>
          <w:p w14:paraId="0F57E0E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核心产品</w:t>
            </w:r>
          </w:p>
        </w:tc>
      </w:tr>
      <w:tr w14:paraId="509B6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35" w:type="dxa"/>
            <w:noWrap w:val="0"/>
            <w:vAlign w:val="center"/>
          </w:tcPr>
          <w:p w14:paraId="44506A87">
            <w:pPr>
              <w:autoSpaceDE w:val="0"/>
              <w:autoSpaceDN w:val="0"/>
              <w:adjustRightInd w:val="0"/>
              <w:spacing w:line="360" w:lineRule="auto"/>
              <w:jc w:val="left"/>
              <w:rPr>
                <w:rFonts w:hint="eastAsia" w:ascii="宋体" w:hAnsi="宋体" w:eastAsia="宋体" w:cs="宋体"/>
                <w:kern w:val="0"/>
                <w:sz w:val="24"/>
                <w:szCs w:val="24"/>
              </w:rPr>
            </w:pPr>
          </w:p>
        </w:tc>
        <w:tc>
          <w:tcPr>
            <w:tcW w:w="1856" w:type="dxa"/>
            <w:noWrap w:val="0"/>
            <w:vAlign w:val="center"/>
          </w:tcPr>
          <w:p w14:paraId="6577D86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交换机</w:t>
            </w:r>
          </w:p>
        </w:tc>
        <w:tc>
          <w:tcPr>
            <w:tcW w:w="1313" w:type="dxa"/>
            <w:noWrap w:val="0"/>
            <w:vAlign w:val="center"/>
          </w:tcPr>
          <w:p w14:paraId="359B4D2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69" w:type="dxa"/>
            <w:noWrap w:val="0"/>
            <w:vAlign w:val="center"/>
          </w:tcPr>
          <w:p w14:paraId="6A7B7F0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275" w:type="dxa"/>
            <w:tcBorders>
              <w:top w:val="single" w:color="auto" w:sz="4" w:space="0"/>
            </w:tcBorders>
            <w:noWrap w:val="0"/>
            <w:vAlign w:val="center"/>
          </w:tcPr>
          <w:p w14:paraId="67E324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≥3年</w:t>
            </w:r>
          </w:p>
        </w:tc>
        <w:tc>
          <w:tcPr>
            <w:tcW w:w="2191" w:type="dxa"/>
            <w:noWrap w:val="0"/>
            <w:vAlign w:val="center"/>
          </w:tcPr>
          <w:p w14:paraId="251C9C99">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否</w:t>
            </w:r>
          </w:p>
        </w:tc>
      </w:tr>
      <w:tr w14:paraId="068CF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35" w:type="dxa"/>
            <w:noWrap w:val="0"/>
            <w:vAlign w:val="center"/>
          </w:tcPr>
          <w:p w14:paraId="56848AD7">
            <w:pPr>
              <w:autoSpaceDE w:val="0"/>
              <w:autoSpaceDN w:val="0"/>
              <w:adjustRightInd w:val="0"/>
              <w:spacing w:line="360" w:lineRule="auto"/>
              <w:jc w:val="left"/>
              <w:rPr>
                <w:rFonts w:hint="eastAsia" w:ascii="宋体" w:hAnsi="宋体" w:eastAsia="宋体" w:cs="宋体"/>
                <w:kern w:val="0"/>
                <w:sz w:val="24"/>
                <w:szCs w:val="24"/>
              </w:rPr>
            </w:pPr>
          </w:p>
        </w:tc>
        <w:tc>
          <w:tcPr>
            <w:tcW w:w="1856" w:type="dxa"/>
            <w:noWrap w:val="0"/>
            <w:vAlign w:val="center"/>
          </w:tcPr>
          <w:p w14:paraId="2EB18BE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w:t>
            </w:r>
          </w:p>
        </w:tc>
        <w:tc>
          <w:tcPr>
            <w:tcW w:w="1313" w:type="dxa"/>
            <w:noWrap w:val="0"/>
            <w:vAlign w:val="center"/>
          </w:tcPr>
          <w:p w14:paraId="341284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69" w:type="dxa"/>
            <w:noWrap w:val="0"/>
            <w:vAlign w:val="center"/>
          </w:tcPr>
          <w:p w14:paraId="07462C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275" w:type="dxa"/>
            <w:noWrap w:val="0"/>
            <w:vAlign w:val="center"/>
          </w:tcPr>
          <w:p w14:paraId="1BF631E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≥3年</w:t>
            </w:r>
          </w:p>
        </w:tc>
        <w:tc>
          <w:tcPr>
            <w:tcW w:w="2191" w:type="dxa"/>
            <w:noWrap w:val="0"/>
            <w:vAlign w:val="center"/>
          </w:tcPr>
          <w:p w14:paraId="211C90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否</w:t>
            </w:r>
          </w:p>
        </w:tc>
      </w:tr>
      <w:tr w14:paraId="75E61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35" w:type="dxa"/>
            <w:noWrap w:val="0"/>
            <w:vAlign w:val="center"/>
          </w:tcPr>
          <w:p w14:paraId="5B0C6D0B">
            <w:pPr>
              <w:autoSpaceDE w:val="0"/>
              <w:autoSpaceDN w:val="0"/>
              <w:adjustRightInd w:val="0"/>
              <w:spacing w:line="360" w:lineRule="auto"/>
              <w:jc w:val="left"/>
              <w:rPr>
                <w:rFonts w:hint="eastAsia" w:ascii="宋体" w:hAnsi="宋体" w:eastAsia="宋体" w:cs="宋体"/>
                <w:kern w:val="0"/>
                <w:sz w:val="24"/>
                <w:szCs w:val="24"/>
              </w:rPr>
            </w:pPr>
          </w:p>
        </w:tc>
        <w:tc>
          <w:tcPr>
            <w:tcW w:w="1856" w:type="dxa"/>
            <w:noWrap w:val="0"/>
            <w:vAlign w:val="center"/>
          </w:tcPr>
          <w:p w14:paraId="2286FB7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服务器1</w:t>
            </w:r>
          </w:p>
        </w:tc>
        <w:tc>
          <w:tcPr>
            <w:tcW w:w="1313" w:type="dxa"/>
            <w:noWrap w:val="0"/>
            <w:vAlign w:val="center"/>
          </w:tcPr>
          <w:p w14:paraId="6B44CB1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69" w:type="dxa"/>
            <w:noWrap w:val="0"/>
            <w:vAlign w:val="center"/>
          </w:tcPr>
          <w:p w14:paraId="5A8AC06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275" w:type="dxa"/>
            <w:noWrap w:val="0"/>
            <w:vAlign w:val="center"/>
          </w:tcPr>
          <w:p w14:paraId="151057E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≥3年</w:t>
            </w:r>
          </w:p>
        </w:tc>
        <w:tc>
          <w:tcPr>
            <w:tcW w:w="2191" w:type="dxa"/>
            <w:noWrap w:val="0"/>
            <w:vAlign w:val="center"/>
          </w:tcPr>
          <w:p w14:paraId="260C714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否</w:t>
            </w:r>
          </w:p>
        </w:tc>
      </w:tr>
      <w:tr w14:paraId="00C4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35" w:type="dxa"/>
            <w:noWrap w:val="0"/>
            <w:vAlign w:val="center"/>
          </w:tcPr>
          <w:p w14:paraId="28BF960E">
            <w:pPr>
              <w:autoSpaceDE w:val="0"/>
              <w:autoSpaceDN w:val="0"/>
              <w:adjustRightInd w:val="0"/>
              <w:spacing w:line="360" w:lineRule="auto"/>
              <w:jc w:val="left"/>
              <w:rPr>
                <w:rFonts w:hint="eastAsia" w:ascii="宋体" w:hAnsi="宋体" w:eastAsia="宋体" w:cs="宋体"/>
                <w:kern w:val="0"/>
                <w:sz w:val="24"/>
                <w:szCs w:val="24"/>
              </w:rPr>
            </w:pPr>
          </w:p>
        </w:tc>
        <w:tc>
          <w:tcPr>
            <w:tcW w:w="1856" w:type="dxa"/>
            <w:noWrap w:val="0"/>
            <w:vAlign w:val="center"/>
          </w:tcPr>
          <w:p w14:paraId="11B1236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服务器2</w:t>
            </w:r>
          </w:p>
        </w:tc>
        <w:tc>
          <w:tcPr>
            <w:tcW w:w="1313" w:type="dxa"/>
            <w:noWrap w:val="0"/>
            <w:vAlign w:val="center"/>
          </w:tcPr>
          <w:p w14:paraId="1A3180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369" w:type="dxa"/>
            <w:noWrap w:val="0"/>
            <w:vAlign w:val="center"/>
          </w:tcPr>
          <w:p w14:paraId="553DE4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275" w:type="dxa"/>
            <w:noWrap w:val="0"/>
            <w:vAlign w:val="center"/>
          </w:tcPr>
          <w:p w14:paraId="562896C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≥3年</w:t>
            </w:r>
          </w:p>
        </w:tc>
        <w:tc>
          <w:tcPr>
            <w:tcW w:w="2191" w:type="dxa"/>
            <w:noWrap w:val="0"/>
            <w:vAlign w:val="center"/>
          </w:tcPr>
          <w:p w14:paraId="3D7EA7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否</w:t>
            </w:r>
          </w:p>
        </w:tc>
      </w:tr>
      <w:tr w14:paraId="6E423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335" w:type="dxa"/>
            <w:noWrap w:val="0"/>
            <w:vAlign w:val="center"/>
          </w:tcPr>
          <w:p w14:paraId="57102E96">
            <w:pPr>
              <w:autoSpaceDE w:val="0"/>
              <w:autoSpaceDN w:val="0"/>
              <w:adjustRightInd w:val="0"/>
              <w:spacing w:line="360" w:lineRule="auto"/>
              <w:jc w:val="left"/>
              <w:rPr>
                <w:rFonts w:hint="eastAsia" w:ascii="宋体" w:hAnsi="宋体" w:eastAsia="宋体" w:cs="宋体"/>
                <w:kern w:val="0"/>
                <w:sz w:val="24"/>
                <w:szCs w:val="24"/>
              </w:rPr>
            </w:pPr>
          </w:p>
        </w:tc>
        <w:tc>
          <w:tcPr>
            <w:tcW w:w="1856" w:type="dxa"/>
            <w:noWrap w:val="0"/>
            <w:vAlign w:val="center"/>
          </w:tcPr>
          <w:p w14:paraId="72A90D9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服务器3</w:t>
            </w:r>
          </w:p>
        </w:tc>
        <w:tc>
          <w:tcPr>
            <w:tcW w:w="1313" w:type="dxa"/>
            <w:noWrap w:val="0"/>
            <w:vAlign w:val="center"/>
          </w:tcPr>
          <w:p w14:paraId="1A5665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369" w:type="dxa"/>
            <w:noWrap w:val="0"/>
            <w:vAlign w:val="center"/>
          </w:tcPr>
          <w:p w14:paraId="46B8FF0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台</w:t>
            </w:r>
          </w:p>
        </w:tc>
        <w:tc>
          <w:tcPr>
            <w:tcW w:w="1275" w:type="dxa"/>
            <w:noWrap w:val="0"/>
            <w:vAlign w:val="center"/>
          </w:tcPr>
          <w:p w14:paraId="1737174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≥3年</w:t>
            </w:r>
          </w:p>
        </w:tc>
        <w:tc>
          <w:tcPr>
            <w:tcW w:w="2191" w:type="dxa"/>
            <w:noWrap w:val="0"/>
            <w:vAlign w:val="center"/>
          </w:tcPr>
          <w:p w14:paraId="5775AA50">
            <w:pPr>
              <w:autoSpaceDE w:val="0"/>
              <w:autoSpaceDN w:val="0"/>
              <w:adjustRightInd w:val="0"/>
              <w:spacing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是</w:t>
            </w:r>
          </w:p>
        </w:tc>
      </w:tr>
    </w:tbl>
    <w:p w14:paraId="03C28692">
      <w:pPr>
        <w:autoSpaceDE w:val="0"/>
        <w:autoSpaceDN w:val="0"/>
        <w:adjustRightInd w:val="0"/>
        <w:spacing w:line="360" w:lineRule="auto"/>
        <w:jc w:val="left"/>
        <w:rPr>
          <w:rFonts w:hint="eastAsia" w:ascii="宋体" w:hAnsi="宋体" w:eastAsia="宋体" w:cs="宋体"/>
          <w:kern w:val="0"/>
          <w:sz w:val="24"/>
          <w:szCs w:val="24"/>
        </w:rPr>
      </w:pPr>
    </w:p>
    <w:p w14:paraId="2EC8D04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三、产品参数</w:t>
      </w:r>
    </w:p>
    <w:p w14:paraId="07E2252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1.交换机</w:t>
      </w:r>
    </w:p>
    <w:tbl>
      <w:tblPr>
        <w:tblStyle w:val="8"/>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0"/>
        <w:gridCol w:w="1690"/>
        <w:gridCol w:w="5624"/>
      </w:tblGrid>
      <w:tr w14:paraId="23C03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top"/>
          </w:tcPr>
          <w:p w14:paraId="6E41631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1984" w:type="dxa"/>
            <w:noWrap w:val="0"/>
            <w:vAlign w:val="top"/>
          </w:tcPr>
          <w:p w14:paraId="26A3394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指标项</w:t>
            </w:r>
          </w:p>
        </w:tc>
        <w:tc>
          <w:tcPr>
            <w:tcW w:w="6426" w:type="dxa"/>
            <w:noWrap w:val="0"/>
            <w:vAlign w:val="top"/>
          </w:tcPr>
          <w:p w14:paraId="014E443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技术规格要求</w:t>
            </w:r>
          </w:p>
        </w:tc>
      </w:tr>
      <w:tr w14:paraId="29C54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top"/>
          </w:tcPr>
          <w:p w14:paraId="7739DD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984" w:type="dxa"/>
            <w:noWrap w:val="0"/>
            <w:vAlign w:val="top"/>
          </w:tcPr>
          <w:p w14:paraId="737F37E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▲转发性能</w:t>
            </w:r>
          </w:p>
        </w:tc>
        <w:tc>
          <w:tcPr>
            <w:tcW w:w="6426" w:type="dxa"/>
            <w:noWrap w:val="0"/>
            <w:vAlign w:val="top"/>
          </w:tcPr>
          <w:p w14:paraId="73F025B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交换容量≥336Gbps，最大包转发率＞50Mpps，至少支持24个10/100/1000Base-T以太网端口，4个千兆SFP</w:t>
            </w:r>
          </w:p>
        </w:tc>
      </w:tr>
      <w:tr w14:paraId="0B60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restart"/>
            <w:noWrap w:val="0"/>
            <w:vAlign w:val="top"/>
          </w:tcPr>
          <w:p w14:paraId="40766BD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984" w:type="dxa"/>
            <w:vMerge w:val="restart"/>
            <w:noWrap w:val="0"/>
            <w:vAlign w:val="top"/>
          </w:tcPr>
          <w:p w14:paraId="002F8D9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二层功能</w:t>
            </w:r>
          </w:p>
          <w:p w14:paraId="5E55470B">
            <w:pPr>
              <w:autoSpaceDE w:val="0"/>
              <w:autoSpaceDN w:val="0"/>
              <w:adjustRightInd w:val="0"/>
              <w:spacing w:line="360" w:lineRule="auto"/>
              <w:jc w:val="left"/>
              <w:rPr>
                <w:rFonts w:hint="eastAsia" w:ascii="宋体" w:hAnsi="宋体" w:eastAsia="宋体" w:cs="宋体"/>
                <w:kern w:val="0"/>
                <w:sz w:val="24"/>
                <w:szCs w:val="24"/>
              </w:rPr>
            </w:pPr>
          </w:p>
        </w:tc>
        <w:tc>
          <w:tcPr>
            <w:tcW w:w="6426" w:type="dxa"/>
            <w:noWrap w:val="0"/>
            <w:vAlign w:val="top"/>
          </w:tcPr>
          <w:p w14:paraId="19BE3EC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支持MAC地址≥32K</w:t>
            </w:r>
          </w:p>
        </w:tc>
      </w:tr>
      <w:tr w14:paraId="031FA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vMerge w:val="continue"/>
            <w:noWrap w:val="0"/>
            <w:vAlign w:val="top"/>
          </w:tcPr>
          <w:p w14:paraId="50B6A07D">
            <w:pPr>
              <w:autoSpaceDE w:val="0"/>
              <w:autoSpaceDN w:val="0"/>
              <w:adjustRightInd w:val="0"/>
              <w:spacing w:line="360" w:lineRule="auto"/>
              <w:jc w:val="left"/>
              <w:rPr>
                <w:rFonts w:hint="eastAsia" w:ascii="宋体" w:hAnsi="宋体" w:eastAsia="宋体" w:cs="宋体"/>
                <w:kern w:val="0"/>
                <w:sz w:val="24"/>
                <w:szCs w:val="24"/>
              </w:rPr>
            </w:pPr>
          </w:p>
        </w:tc>
        <w:tc>
          <w:tcPr>
            <w:tcW w:w="1984" w:type="dxa"/>
            <w:vMerge w:val="continue"/>
            <w:noWrap w:val="0"/>
            <w:vAlign w:val="top"/>
          </w:tcPr>
          <w:p w14:paraId="45E4612E">
            <w:pPr>
              <w:autoSpaceDE w:val="0"/>
              <w:autoSpaceDN w:val="0"/>
              <w:adjustRightInd w:val="0"/>
              <w:spacing w:line="360" w:lineRule="auto"/>
              <w:jc w:val="left"/>
              <w:rPr>
                <w:rFonts w:hint="eastAsia" w:ascii="宋体" w:hAnsi="宋体" w:eastAsia="宋体" w:cs="宋体"/>
                <w:kern w:val="0"/>
                <w:sz w:val="24"/>
                <w:szCs w:val="24"/>
              </w:rPr>
            </w:pPr>
          </w:p>
        </w:tc>
        <w:tc>
          <w:tcPr>
            <w:tcW w:w="6426" w:type="dxa"/>
            <w:noWrap w:val="0"/>
            <w:vAlign w:val="top"/>
          </w:tcPr>
          <w:p w14:paraId="0F0838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至少支持IGMP v1/v2/v3、PIM-SM、PIM-DM、PIM-SSM</w:t>
            </w:r>
          </w:p>
        </w:tc>
      </w:tr>
      <w:tr w14:paraId="5F541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noWrap w:val="0"/>
            <w:vAlign w:val="top"/>
          </w:tcPr>
          <w:p w14:paraId="2EB55C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1984" w:type="dxa"/>
            <w:noWrap w:val="0"/>
            <w:vAlign w:val="top"/>
          </w:tcPr>
          <w:p w14:paraId="580FF55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w:t>
            </w:r>
          </w:p>
        </w:tc>
        <w:tc>
          <w:tcPr>
            <w:tcW w:w="6426" w:type="dxa"/>
            <w:noWrap w:val="0"/>
            <w:vAlign w:val="top"/>
          </w:tcPr>
          <w:p w14:paraId="68B7988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至少支持防ARP攻击、DOS攻击、ICMP防攻击、CPU防攻击</w:t>
            </w:r>
          </w:p>
        </w:tc>
      </w:tr>
    </w:tbl>
    <w:p w14:paraId="24140F88">
      <w:pPr>
        <w:autoSpaceDE w:val="0"/>
        <w:autoSpaceDN w:val="0"/>
        <w:adjustRightInd w:val="0"/>
        <w:spacing w:line="360" w:lineRule="auto"/>
        <w:jc w:val="left"/>
        <w:rPr>
          <w:rFonts w:hint="eastAsia" w:ascii="宋体" w:hAnsi="宋体" w:eastAsia="宋体" w:cs="宋体"/>
          <w:kern w:val="0"/>
          <w:sz w:val="24"/>
          <w:szCs w:val="24"/>
        </w:rPr>
      </w:pPr>
    </w:p>
    <w:p w14:paraId="56ECED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2.存储</w:t>
      </w:r>
    </w:p>
    <w:tbl>
      <w:tblPr>
        <w:tblStyle w:val="8"/>
        <w:tblW w:w="5041"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296"/>
        <w:gridCol w:w="6600"/>
      </w:tblGrid>
      <w:tr w14:paraId="16CA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17" w:type="pct"/>
            <w:noWrap w:val="0"/>
            <w:vAlign w:val="center"/>
          </w:tcPr>
          <w:p w14:paraId="4ADB8AE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689" w:type="pct"/>
            <w:noWrap w:val="0"/>
            <w:vAlign w:val="center"/>
          </w:tcPr>
          <w:p w14:paraId="31CC2DF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指标项</w:t>
            </w:r>
          </w:p>
        </w:tc>
        <w:tc>
          <w:tcPr>
            <w:tcW w:w="3894" w:type="pct"/>
            <w:noWrap w:val="0"/>
            <w:vAlign w:val="center"/>
          </w:tcPr>
          <w:p w14:paraId="20C0CA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指标要求</w:t>
            </w:r>
          </w:p>
        </w:tc>
      </w:tr>
      <w:tr w14:paraId="329B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17" w:type="pct"/>
            <w:noWrap w:val="0"/>
            <w:vAlign w:val="center"/>
          </w:tcPr>
          <w:p w14:paraId="7E11FB4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1 </w:t>
            </w:r>
          </w:p>
        </w:tc>
        <w:tc>
          <w:tcPr>
            <w:tcW w:w="689" w:type="pct"/>
            <w:noWrap w:val="0"/>
            <w:vAlign w:val="center"/>
          </w:tcPr>
          <w:p w14:paraId="027423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▲体系架构</w:t>
            </w:r>
          </w:p>
        </w:tc>
        <w:tc>
          <w:tcPr>
            <w:tcW w:w="3894" w:type="pct"/>
            <w:noWrap w:val="0"/>
            <w:vAlign w:val="center"/>
          </w:tcPr>
          <w:p w14:paraId="5234D8F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存储系统采用对称AA架构，LUN无控制器归属。并提供第三方权威评测机构签字盖章的测试报告，加盖投标人有效印章</w:t>
            </w:r>
          </w:p>
        </w:tc>
      </w:tr>
      <w:tr w14:paraId="533E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417" w:type="pct"/>
            <w:noWrap w:val="0"/>
            <w:vAlign w:val="center"/>
          </w:tcPr>
          <w:p w14:paraId="761CBC4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2 </w:t>
            </w:r>
          </w:p>
        </w:tc>
        <w:tc>
          <w:tcPr>
            <w:tcW w:w="689" w:type="pct"/>
            <w:noWrap w:val="0"/>
            <w:vAlign w:val="center"/>
          </w:tcPr>
          <w:p w14:paraId="4CFCA53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▲SAN&amp;NAS融合</w:t>
            </w:r>
          </w:p>
        </w:tc>
        <w:tc>
          <w:tcPr>
            <w:tcW w:w="3894" w:type="pct"/>
            <w:noWrap w:val="0"/>
            <w:vAlign w:val="center"/>
          </w:tcPr>
          <w:p w14:paraId="0F48CF2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SAN和NAS一体化，配置NAS协议（包括NFS、CIFS以及NDMP），支持SAN和NAS共资源池，无需独立分配。</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并提供第三方权威评测机构签字盖章的测试报告，加盖投标人有效印章</w:t>
            </w:r>
          </w:p>
        </w:tc>
      </w:tr>
      <w:tr w14:paraId="60796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17" w:type="pct"/>
            <w:noWrap w:val="0"/>
            <w:vAlign w:val="center"/>
          </w:tcPr>
          <w:p w14:paraId="03AFAA4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3 </w:t>
            </w:r>
          </w:p>
        </w:tc>
        <w:tc>
          <w:tcPr>
            <w:tcW w:w="689" w:type="pct"/>
            <w:noWrap w:val="0"/>
            <w:vAlign w:val="center"/>
          </w:tcPr>
          <w:p w14:paraId="0B1A6CC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控制器扩展</w:t>
            </w:r>
          </w:p>
        </w:tc>
        <w:tc>
          <w:tcPr>
            <w:tcW w:w="3894" w:type="pct"/>
            <w:noWrap w:val="0"/>
            <w:vAlign w:val="center"/>
          </w:tcPr>
          <w:p w14:paraId="23D3BF2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支持控制器扩展，最大可扩展至≥8个控制器；可以跨控制器实现资源访问，LUN无控制器归属, 多控配置下能够负载到所有控制器，提供证明材料。</w:t>
            </w:r>
          </w:p>
        </w:tc>
      </w:tr>
      <w:tr w14:paraId="2140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417" w:type="pct"/>
            <w:noWrap w:val="0"/>
            <w:vAlign w:val="center"/>
          </w:tcPr>
          <w:p w14:paraId="4443D6A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4 </w:t>
            </w:r>
          </w:p>
        </w:tc>
        <w:tc>
          <w:tcPr>
            <w:tcW w:w="689" w:type="pct"/>
            <w:noWrap w:val="0"/>
            <w:vAlign w:val="center"/>
          </w:tcPr>
          <w:p w14:paraId="3AAAD9D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控制器配置</w:t>
            </w:r>
          </w:p>
        </w:tc>
        <w:tc>
          <w:tcPr>
            <w:tcW w:w="3894" w:type="pct"/>
            <w:noWrap w:val="0"/>
            <w:vAlign w:val="center"/>
          </w:tcPr>
          <w:p w14:paraId="4445BF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配置≥2个控制器，系统内总一级缓存容量配置≥128GB（不含任何性能加速模块、FlashCache、PAM卡，SSD Cache、SCM等）。</w:t>
            </w:r>
          </w:p>
        </w:tc>
      </w:tr>
      <w:tr w14:paraId="6D70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17" w:type="pct"/>
            <w:noWrap w:val="0"/>
            <w:vAlign w:val="center"/>
          </w:tcPr>
          <w:p w14:paraId="5F01A8D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5 </w:t>
            </w:r>
          </w:p>
        </w:tc>
        <w:tc>
          <w:tcPr>
            <w:tcW w:w="689" w:type="pct"/>
            <w:noWrap w:val="0"/>
            <w:vAlign w:val="center"/>
          </w:tcPr>
          <w:p w14:paraId="3BBE517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多核处理器</w:t>
            </w:r>
          </w:p>
        </w:tc>
        <w:tc>
          <w:tcPr>
            <w:tcW w:w="3894" w:type="pct"/>
            <w:noWrap w:val="0"/>
            <w:vAlign w:val="center"/>
          </w:tcPr>
          <w:p w14:paraId="3A89B52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配置≥2个控制器，控制器采用多核处理器，且单控制器处理器总核心数≥20核，CPU主频≥2.1GHz；</w:t>
            </w:r>
          </w:p>
        </w:tc>
      </w:tr>
      <w:tr w14:paraId="5D32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417" w:type="pct"/>
            <w:shd w:val="clear" w:color="auto" w:fill="auto"/>
            <w:noWrap w:val="0"/>
            <w:vAlign w:val="center"/>
          </w:tcPr>
          <w:p w14:paraId="77FFEEF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6 </w:t>
            </w:r>
          </w:p>
        </w:tc>
        <w:tc>
          <w:tcPr>
            <w:tcW w:w="689" w:type="pct"/>
            <w:shd w:val="clear" w:color="000000" w:fill="FFFFFF"/>
            <w:noWrap w:val="0"/>
            <w:vAlign w:val="center"/>
          </w:tcPr>
          <w:p w14:paraId="25F4CAD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前端主机通道接口</w:t>
            </w:r>
          </w:p>
        </w:tc>
        <w:tc>
          <w:tcPr>
            <w:tcW w:w="3894" w:type="pct"/>
            <w:shd w:val="clear" w:color="000000" w:fill="FFFFFF"/>
            <w:noWrap w:val="0"/>
            <w:vAlign w:val="center"/>
          </w:tcPr>
          <w:p w14:paraId="3A7BF16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配置≥8个16Gbps FC接口（含光模块），≥4个10Gbps ETH接口（含光模块）≥8个1Gbps ETH接口，支持配置8/16/32G FC接口，1/10/25 GE接口。</w:t>
            </w:r>
          </w:p>
        </w:tc>
      </w:tr>
      <w:tr w14:paraId="5429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17" w:type="pct"/>
            <w:shd w:val="clear" w:color="auto" w:fill="auto"/>
            <w:noWrap w:val="0"/>
            <w:vAlign w:val="center"/>
          </w:tcPr>
          <w:p w14:paraId="4FA5859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7 </w:t>
            </w:r>
          </w:p>
        </w:tc>
        <w:tc>
          <w:tcPr>
            <w:tcW w:w="689" w:type="pct"/>
            <w:shd w:val="clear" w:color="000000" w:fill="FFFFFF"/>
            <w:noWrap w:val="0"/>
            <w:vAlign w:val="center"/>
          </w:tcPr>
          <w:p w14:paraId="53BF04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配置硬盘</w:t>
            </w:r>
          </w:p>
        </w:tc>
        <w:tc>
          <w:tcPr>
            <w:tcW w:w="3894" w:type="pct"/>
            <w:shd w:val="clear" w:color="000000" w:fill="FFFFFF"/>
            <w:noWrap w:val="0"/>
            <w:vAlign w:val="center"/>
          </w:tcPr>
          <w:p w14:paraId="20CCDD3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配置不少于4个容量≥480GB企业级SAS SSD硬盘；不少于6个容量≥2.4TB SAS硬盘。</w:t>
            </w:r>
          </w:p>
        </w:tc>
      </w:tr>
      <w:tr w14:paraId="7311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17" w:type="pct"/>
            <w:shd w:val="clear" w:color="auto" w:fill="auto"/>
            <w:noWrap w:val="0"/>
            <w:vAlign w:val="center"/>
          </w:tcPr>
          <w:p w14:paraId="78FD837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8 </w:t>
            </w:r>
          </w:p>
        </w:tc>
        <w:tc>
          <w:tcPr>
            <w:tcW w:w="689" w:type="pct"/>
            <w:shd w:val="clear" w:color="000000" w:fill="FFFFFF"/>
            <w:noWrap w:val="0"/>
            <w:vAlign w:val="center"/>
          </w:tcPr>
          <w:p w14:paraId="2E7A719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协议加密</w:t>
            </w:r>
          </w:p>
        </w:tc>
        <w:tc>
          <w:tcPr>
            <w:tcW w:w="3894" w:type="pct"/>
            <w:shd w:val="clear" w:color="000000" w:fill="FFFFFF"/>
            <w:noWrap w:val="0"/>
            <w:vAlign w:val="center"/>
          </w:tcPr>
          <w:p w14:paraId="719A166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至少支持NFS（NFS Kerberos ）、CIFS/SMB协议层加密传输</w:t>
            </w:r>
          </w:p>
        </w:tc>
      </w:tr>
      <w:tr w14:paraId="50F65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417" w:type="pct"/>
            <w:shd w:val="clear" w:color="auto" w:fill="auto"/>
            <w:noWrap w:val="0"/>
            <w:vAlign w:val="center"/>
          </w:tcPr>
          <w:p w14:paraId="71895FD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9 </w:t>
            </w:r>
          </w:p>
        </w:tc>
        <w:tc>
          <w:tcPr>
            <w:tcW w:w="689" w:type="pct"/>
            <w:shd w:val="clear" w:color="000000" w:fill="FFFFFF"/>
            <w:noWrap w:val="0"/>
            <w:vAlign w:val="center"/>
          </w:tcPr>
          <w:p w14:paraId="7A1E292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QoS</w:t>
            </w:r>
          </w:p>
        </w:tc>
        <w:tc>
          <w:tcPr>
            <w:tcW w:w="3894" w:type="pct"/>
            <w:shd w:val="clear" w:color="000000" w:fill="FFFFFF"/>
            <w:noWrap w:val="0"/>
            <w:vAlign w:val="center"/>
          </w:tcPr>
          <w:p w14:paraId="6EAEA9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存储配置服务质量控制功能，支持按照 LUN、LUN组以及主机的方式进行流量控制。提供上限控制和下限保障两种 QoS 策略，支持 Burst 突发流量控制，并提供配置截图。并提供具备CNAS(中国合格评定国家认可委员会)资质的第三方权威评测机构签字盖章的测试报告，加盖投标人有效印章</w:t>
            </w:r>
          </w:p>
        </w:tc>
      </w:tr>
      <w:tr w14:paraId="32BD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17" w:type="pct"/>
            <w:shd w:val="clear" w:color="auto" w:fill="auto"/>
            <w:noWrap w:val="0"/>
            <w:vAlign w:val="center"/>
          </w:tcPr>
          <w:p w14:paraId="347722F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10 </w:t>
            </w:r>
          </w:p>
        </w:tc>
        <w:tc>
          <w:tcPr>
            <w:tcW w:w="689" w:type="pct"/>
            <w:shd w:val="clear" w:color="000000" w:fill="FFFFFF"/>
            <w:noWrap w:val="0"/>
            <w:vAlign w:val="center"/>
          </w:tcPr>
          <w:p w14:paraId="245F5BF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克隆</w:t>
            </w:r>
          </w:p>
        </w:tc>
        <w:tc>
          <w:tcPr>
            <w:tcW w:w="3894" w:type="pct"/>
            <w:shd w:val="clear" w:color="000000" w:fill="FFFFFF"/>
            <w:noWrap w:val="0"/>
            <w:vAlign w:val="center"/>
          </w:tcPr>
          <w:p w14:paraId="77BC56C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支持克隆立即可用、支持 LUN 的一致性组，数据同步支持增量同步和反向增量同步，提供截图证明</w:t>
            </w:r>
          </w:p>
        </w:tc>
      </w:tr>
      <w:tr w14:paraId="1D47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417" w:type="pct"/>
            <w:noWrap w:val="0"/>
            <w:vAlign w:val="center"/>
          </w:tcPr>
          <w:p w14:paraId="2F9BB29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11 </w:t>
            </w:r>
          </w:p>
        </w:tc>
        <w:tc>
          <w:tcPr>
            <w:tcW w:w="689" w:type="pct"/>
            <w:noWrap w:val="0"/>
            <w:vAlign w:val="center"/>
          </w:tcPr>
          <w:p w14:paraId="1A8980C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RAID支持</w:t>
            </w:r>
          </w:p>
        </w:tc>
        <w:tc>
          <w:tcPr>
            <w:tcW w:w="3894" w:type="pct"/>
            <w:noWrap w:val="0"/>
            <w:vAlign w:val="center"/>
          </w:tcPr>
          <w:p w14:paraId="2C689CD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支持RAID-TP，在同一个RAID组内容忍任意3盘同时失效，数据不丢并且不中断业务，并提供第三方权威评测机构签字盖章的测试报告，加盖投标人有效公章。</w:t>
            </w:r>
          </w:p>
        </w:tc>
      </w:tr>
      <w:tr w14:paraId="045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417" w:type="pct"/>
            <w:noWrap w:val="0"/>
            <w:vAlign w:val="center"/>
          </w:tcPr>
          <w:p w14:paraId="1129353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12 </w:t>
            </w:r>
          </w:p>
        </w:tc>
        <w:tc>
          <w:tcPr>
            <w:tcW w:w="689" w:type="pct"/>
            <w:noWrap w:val="0"/>
            <w:vAlign w:val="center"/>
          </w:tcPr>
          <w:p w14:paraId="0A57969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DIF</w:t>
            </w:r>
          </w:p>
        </w:tc>
        <w:tc>
          <w:tcPr>
            <w:tcW w:w="3894" w:type="pct"/>
            <w:noWrap w:val="0"/>
            <w:vAlign w:val="center"/>
          </w:tcPr>
          <w:p w14:paraId="1501A75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存储支持端到端 DIF 校验特性，对静默数据的损坏可以检测和修复并提供具备第三方权威评测机构签字盖章的测试报告，加盖投标人有效印章</w:t>
            </w:r>
          </w:p>
        </w:tc>
      </w:tr>
      <w:tr w14:paraId="21948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417" w:type="pct"/>
            <w:noWrap w:val="0"/>
            <w:vAlign w:val="center"/>
          </w:tcPr>
          <w:p w14:paraId="5127AAA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13 </w:t>
            </w:r>
          </w:p>
        </w:tc>
        <w:tc>
          <w:tcPr>
            <w:tcW w:w="689" w:type="pct"/>
            <w:noWrap w:val="0"/>
            <w:vAlign w:val="center"/>
          </w:tcPr>
          <w:p w14:paraId="65C3BFF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存储专用多路径软件</w:t>
            </w:r>
          </w:p>
        </w:tc>
        <w:tc>
          <w:tcPr>
            <w:tcW w:w="3894" w:type="pct"/>
            <w:noWrap w:val="0"/>
            <w:vAlign w:val="center"/>
          </w:tcPr>
          <w:p w14:paraId="2994255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系统支持厂商自研的多路径软件，支持链路的负载均衡，支持路径故障自动切换与回切，支持链路检测和隔离，支持主机链路告警在存储界面统一管理，并提供第三方权威评测机构签字盖章的测试报告，加盖投标人有效印章。提供多路径软件著作权证书。</w:t>
            </w:r>
          </w:p>
        </w:tc>
      </w:tr>
      <w:tr w14:paraId="6EAA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trPr>
        <w:tc>
          <w:tcPr>
            <w:tcW w:w="417" w:type="pct"/>
            <w:noWrap w:val="0"/>
            <w:vAlign w:val="center"/>
          </w:tcPr>
          <w:p w14:paraId="536E74B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14 </w:t>
            </w:r>
          </w:p>
        </w:tc>
        <w:tc>
          <w:tcPr>
            <w:tcW w:w="689" w:type="pct"/>
            <w:noWrap w:val="0"/>
            <w:vAlign w:val="center"/>
          </w:tcPr>
          <w:p w14:paraId="2287FB4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智能管理运维</w:t>
            </w:r>
          </w:p>
        </w:tc>
        <w:tc>
          <w:tcPr>
            <w:tcW w:w="3894" w:type="pct"/>
            <w:noWrap w:val="0"/>
            <w:vAlign w:val="center"/>
          </w:tcPr>
          <w:p w14:paraId="08F161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通过性能监控界面可以实时统计指定对象（控制器的缓存、处理器、前端端口，以及LUN和卷组等）的性能指标（包括但不限于：占用率、IOPS、时延、带宽），并能单独统计读、写IOPS、时延和带宽指标，且性能监控数据的采样间隔小于等于5秒，并能持续观察15分钟以上的性能曲线。历史性能工具支持半年以上历史数据的查看、统计，支持查看指定周期内（小时、天、周、月）的性能数据。</w:t>
            </w:r>
          </w:p>
        </w:tc>
      </w:tr>
    </w:tbl>
    <w:p w14:paraId="543E77A7">
      <w:pPr>
        <w:autoSpaceDE w:val="0"/>
        <w:autoSpaceDN w:val="0"/>
        <w:adjustRightInd w:val="0"/>
        <w:spacing w:line="360" w:lineRule="auto"/>
        <w:jc w:val="left"/>
        <w:rPr>
          <w:rFonts w:hint="eastAsia" w:ascii="宋体" w:hAnsi="宋体" w:eastAsia="宋体" w:cs="宋体"/>
          <w:kern w:val="0"/>
          <w:sz w:val="24"/>
          <w:szCs w:val="24"/>
        </w:rPr>
      </w:pPr>
    </w:p>
    <w:p w14:paraId="37E752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3.服务器1</w:t>
      </w:r>
    </w:p>
    <w:tbl>
      <w:tblPr>
        <w:tblStyle w:val="8"/>
        <w:tblW w:w="5061"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177"/>
        <w:gridCol w:w="6826"/>
      </w:tblGrid>
      <w:tr w14:paraId="334CB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031FF24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585" w:type="pct"/>
            <w:noWrap/>
            <w:vAlign w:val="center"/>
          </w:tcPr>
          <w:p w14:paraId="02CCC8C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类型</w:t>
            </w:r>
          </w:p>
        </w:tc>
        <w:tc>
          <w:tcPr>
            <w:tcW w:w="4004" w:type="pct"/>
            <w:noWrap/>
            <w:vAlign w:val="center"/>
          </w:tcPr>
          <w:p w14:paraId="64EEB61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技术参数</w:t>
            </w:r>
          </w:p>
        </w:tc>
      </w:tr>
      <w:tr w14:paraId="36B8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0E1B2F3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85" w:type="pct"/>
            <w:noWrap/>
            <w:vAlign w:val="center"/>
          </w:tcPr>
          <w:p w14:paraId="1E714C7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4004" w:type="pct"/>
            <w:noWrap w:val="0"/>
            <w:vAlign w:val="center"/>
          </w:tcPr>
          <w:p w14:paraId="34E9896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国产品牌非oem产品；</w:t>
            </w:r>
          </w:p>
        </w:tc>
      </w:tr>
      <w:tr w14:paraId="2748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139F888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85" w:type="pct"/>
            <w:noWrap/>
            <w:vAlign w:val="center"/>
          </w:tcPr>
          <w:p w14:paraId="3757D39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4004" w:type="pct"/>
            <w:noWrap w:val="0"/>
            <w:vAlign w:val="center"/>
          </w:tcPr>
          <w:p w14:paraId="3DB19BE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≥2U标准机架式服务器；</w:t>
            </w:r>
          </w:p>
        </w:tc>
      </w:tr>
      <w:tr w14:paraId="32D7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10" w:type="pct"/>
            <w:vMerge w:val="restart"/>
            <w:noWrap w:val="0"/>
            <w:vAlign w:val="top"/>
          </w:tcPr>
          <w:p w14:paraId="4348F7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85" w:type="pct"/>
            <w:vMerge w:val="restart"/>
            <w:noWrap/>
            <w:vAlign w:val="center"/>
          </w:tcPr>
          <w:p w14:paraId="5D0FC66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处理器</w:t>
            </w:r>
          </w:p>
        </w:tc>
        <w:tc>
          <w:tcPr>
            <w:tcW w:w="4004" w:type="pct"/>
            <w:noWrap w:val="0"/>
            <w:vAlign w:val="center"/>
          </w:tcPr>
          <w:p w14:paraId="41D78E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▲≥2颗英特尔第三代至强（或不低于此配置）可扩展处理器；单颗主频≥2.1GHz 核数≥12 三级缓存≥18MB</w:t>
            </w:r>
          </w:p>
        </w:tc>
      </w:tr>
      <w:tr w14:paraId="3161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vMerge w:val="continue"/>
            <w:noWrap w:val="0"/>
            <w:vAlign w:val="top"/>
          </w:tcPr>
          <w:p w14:paraId="08C38C3D">
            <w:pPr>
              <w:autoSpaceDE w:val="0"/>
              <w:autoSpaceDN w:val="0"/>
              <w:adjustRightInd w:val="0"/>
              <w:spacing w:line="360" w:lineRule="auto"/>
              <w:jc w:val="left"/>
              <w:rPr>
                <w:rFonts w:hint="eastAsia" w:ascii="宋体" w:hAnsi="宋体" w:eastAsia="宋体" w:cs="宋体"/>
                <w:kern w:val="0"/>
                <w:sz w:val="24"/>
                <w:szCs w:val="24"/>
              </w:rPr>
            </w:pPr>
          </w:p>
        </w:tc>
        <w:tc>
          <w:tcPr>
            <w:tcW w:w="585" w:type="pct"/>
            <w:vMerge w:val="continue"/>
            <w:noWrap w:val="0"/>
            <w:vAlign w:val="center"/>
          </w:tcPr>
          <w:p w14:paraId="51400965">
            <w:pPr>
              <w:autoSpaceDE w:val="0"/>
              <w:autoSpaceDN w:val="0"/>
              <w:adjustRightInd w:val="0"/>
              <w:spacing w:line="360" w:lineRule="auto"/>
              <w:jc w:val="left"/>
              <w:rPr>
                <w:rFonts w:hint="eastAsia" w:ascii="宋体" w:hAnsi="宋体" w:eastAsia="宋体" w:cs="宋体"/>
                <w:kern w:val="0"/>
                <w:sz w:val="24"/>
                <w:szCs w:val="24"/>
              </w:rPr>
            </w:pPr>
          </w:p>
        </w:tc>
        <w:tc>
          <w:tcPr>
            <w:tcW w:w="4004" w:type="pct"/>
            <w:noWrap w:val="0"/>
            <w:vAlign w:val="center"/>
          </w:tcPr>
          <w:p w14:paraId="391F1B1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▲芯片组 ：Intel C621A芯片组（或不低于此配置）；</w:t>
            </w:r>
          </w:p>
        </w:tc>
      </w:tr>
      <w:tr w14:paraId="0A22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10" w:type="pct"/>
            <w:noWrap w:val="0"/>
            <w:vAlign w:val="top"/>
          </w:tcPr>
          <w:p w14:paraId="344C1E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85" w:type="pct"/>
            <w:noWrap/>
            <w:vAlign w:val="center"/>
          </w:tcPr>
          <w:p w14:paraId="232469E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内存</w:t>
            </w:r>
          </w:p>
        </w:tc>
        <w:tc>
          <w:tcPr>
            <w:tcW w:w="4004" w:type="pct"/>
            <w:noWrap w:val="0"/>
            <w:vAlign w:val="center"/>
          </w:tcPr>
          <w:p w14:paraId="6D2B936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≥单条32GB DDR4；频率:3200MHz；内存容量 128G；最大支持≥32 个内存插槽；</w:t>
            </w:r>
          </w:p>
        </w:tc>
      </w:tr>
      <w:tr w14:paraId="7CB1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10" w:type="pct"/>
            <w:vMerge w:val="restart"/>
            <w:noWrap w:val="0"/>
            <w:vAlign w:val="top"/>
          </w:tcPr>
          <w:p w14:paraId="05AE364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85" w:type="pct"/>
            <w:vMerge w:val="restart"/>
            <w:noWrap/>
            <w:vAlign w:val="center"/>
          </w:tcPr>
          <w:p w14:paraId="19AED5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w:t>
            </w:r>
          </w:p>
        </w:tc>
        <w:tc>
          <w:tcPr>
            <w:tcW w:w="4004" w:type="pct"/>
            <w:noWrap w:val="0"/>
            <w:vAlign w:val="center"/>
          </w:tcPr>
          <w:p w14:paraId="1154F9F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≥2块 600GB SAS 2.5英寸热插拔硬盘；最大支持＞30个2.5寸SATA/SAS硬盘 或 最大支持≥20个3.5寸SATA/SAS硬盘 或 最大支持≥24个NVMe硬盘</w:t>
            </w:r>
          </w:p>
        </w:tc>
      </w:tr>
      <w:tr w14:paraId="54FE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vMerge w:val="continue"/>
            <w:noWrap w:val="0"/>
            <w:vAlign w:val="top"/>
          </w:tcPr>
          <w:p w14:paraId="4502374A">
            <w:pPr>
              <w:autoSpaceDE w:val="0"/>
              <w:autoSpaceDN w:val="0"/>
              <w:adjustRightInd w:val="0"/>
              <w:spacing w:line="360" w:lineRule="auto"/>
              <w:jc w:val="left"/>
              <w:rPr>
                <w:rFonts w:hint="eastAsia" w:ascii="宋体" w:hAnsi="宋体" w:eastAsia="宋体" w:cs="宋体"/>
                <w:kern w:val="0"/>
                <w:sz w:val="24"/>
                <w:szCs w:val="24"/>
              </w:rPr>
            </w:pPr>
          </w:p>
        </w:tc>
        <w:tc>
          <w:tcPr>
            <w:tcW w:w="585" w:type="pct"/>
            <w:vMerge w:val="continue"/>
            <w:noWrap w:val="0"/>
            <w:vAlign w:val="center"/>
          </w:tcPr>
          <w:p w14:paraId="6150FD8D">
            <w:pPr>
              <w:autoSpaceDE w:val="0"/>
              <w:autoSpaceDN w:val="0"/>
              <w:adjustRightInd w:val="0"/>
              <w:spacing w:line="360" w:lineRule="auto"/>
              <w:jc w:val="left"/>
              <w:rPr>
                <w:rFonts w:hint="eastAsia" w:ascii="宋体" w:hAnsi="宋体" w:eastAsia="宋体" w:cs="宋体"/>
                <w:kern w:val="0"/>
                <w:sz w:val="24"/>
                <w:szCs w:val="24"/>
              </w:rPr>
            </w:pPr>
          </w:p>
        </w:tc>
        <w:tc>
          <w:tcPr>
            <w:tcW w:w="4004" w:type="pct"/>
            <w:noWrap w:val="0"/>
            <w:vAlign w:val="center"/>
          </w:tcPr>
          <w:p w14:paraId="03E2E4E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 2*M.2 SATA SSD，支持硬RAID1，支持免开箱热插拔</w:t>
            </w:r>
          </w:p>
        </w:tc>
      </w:tr>
      <w:tr w14:paraId="68A9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4737946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585" w:type="pct"/>
            <w:noWrap/>
            <w:vAlign w:val="center"/>
          </w:tcPr>
          <w:p w14:paraId="604851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raid</w:t>
            </w:r>
          </w:p>
        </w:tc>
        <w:tc>
          <w:tcPr>
            <w:tcW w:w="4004" w:type="pct"/>
            <w:noWrap w:val="0"/>
            <w:vAlign w:val="center"/>
          </w:tcPr>
          <w:p w14:paraId="6CB2D73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≥1块SAS阵列控制器；支持RAID 0/1/10</w:t>
            </w:r>
          </w:p>
        </w:tc>
      </w:tr>
      <w:tr w14:paraId="500C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10" w:type="pct"/>
            <w:vMerge w:val="restart"/>
            <w:noWrap w:val="0"/>
            <w:vAlign w:val="top"/>
          </w:tcPr>
          <w:p w14:paraId="0DC5D1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585" w:type="pct"/>
            <w:vMerge w:val="restart"/>
            <w:noWrap/>
            <w:vAlign w:val="center"/>
          </w:tcPr>
          <w:p w14:paraId="171B010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I/O扩展</w:t>
            </w:r>
          </w:p>
        </w:tc>
        <w:tc>
          <w:tcPr>
            <w:tcW w:w="4004" w:type="pct"/>
            <w:noWrap w:val="0"/>
            <w:vAlign w:val="center"/>
          </w:tcPr>
          <w:p w14:paraId="6DC10A1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最大可扩展≥14个PCIe 4.0槽位 或 最多支持≥4个双宽GPU 或 最多支持＞10个单宽GPU</w:t>
            </w:r>
          </w:p>
        </w:tc>
      </w:tr>
      <w:tr w14:paraId="64D9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vMerge w:val="continue"/>
            <w:noWrap w:val="0"/>
            <w:vAlign w:val="top"/>
          </w:tcPr>
          <w:p w14:paraId="11F96285">
            <w:pPr>
              <w:autoSpaceDE w:val="0"/>
              <w:autoSpaceDN w:val="0"/>
              <w:adjustRightInd w:val="0"/>
              <w:spacing w:line="360" w:lineRule="auto"/>
              <w:jc w:val="left"/>
              <w:rPr>
                <w:rFonts w:hint="eastAsia" w:ascii="宋体" w:hAnsi="宋体" w:eastAsia="宋体" w:cs="宋体"/>
                <w:kern w:val="0"/>
                <w:sz w:val="24"/>
                <w:szCs w:val="24"/>
              </w:rPr>
            </w:pPr>
          </w:p>
        </w:tc>
        <w:tc>
          <w:tcPr>
            <w:tcW w:w="585" w:type="pct"/>
            <w:vMerge w:val="continue"/>
            <w:noWrap w:val="0"/>
            <w:vAlign w:val="center"/>
          </w:tcPr>
          <w:p w14:paraId="6E62D1F8">
            <w:pPr>
              <w:autoSpaceDE w:val="0"/>
              <w:autoSpaceDN w:val="0"/>
              <w:adjustRightInd w:val="0"/>
              <w:spacing w:line="360" w:lineRule="auto"/>
              <w:jc w:val="left"/>
              <w:rPr>
                <w:rFonts w:hint="eastAsia" w:ascii="宋体" w:hAnsi="宋体" w:eastAsia="宋体" w:cs="宋体"/>
                <w:kern w:val="0"/>
                <w:sz w:val="24"/>
                <w:szCs w:val="24"/>
              </w:rPr>
            </w:pPr>
          </w:p>
        </w:tc>
        <w:tc>
          <w:tcPr>
            <w:tcW w:w="4004" w:type="pct"/>
            <w:noWrap w:val="0"/>
            <w:vAlign w:val="center"/>
          </w:tcPr>
          <w:p w14:paraId="0E90A68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≥1块4口千兆电卡；≥1块双口16GB HBA卡</w:t>
            </w:r>
          </w:p>
        </w:tc>
      </w:tr>
      <w:tr w14:paraId="35BD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410" w:type="pct"/>
            <w:vMerge w:val="continue"/>
            <w:noWrap w:val="0"/>
            <w:vAlign w:val="top"/>
          </w:tcPr>
          <w:p w14:paraId="7BA82DDF">
            <w:pPr>
              <w:autoSpaceDE w:val="0"/>
              <w:autoSpaceDN w:val="0"/>
              <w:adjustRightInd w:val="0"/>
              <w:spacing w:line="360" w:lineRule="auto"/>
              <w:jc w:val="left"/>
              <w:rPr>
                <w:rFonts w:hint="eastAsia" w:ascii="宋体" w:hAnsi="宋体" w:eastAsia="宋体" w:cs="宋体"/>
                <w:kern w:val="0"/>
                <w:sz w:val="24"/>
                <w:szCs w:val="24"/>
              </w:rPr>
            </w:pPr>
          </w:p>
        </w:tc>
        <w:tc>
          <w:tcPr>
            <w:tcW w:w="585" w:type="pct"/>
            <w:vMerge w:val="continue"/>
            <w:noWrap w:val="0"/>
            <w:vAlign w:val="center"/>
          </w:tcPr>
          <w:p w14:paraId="5EBD5E65">
            <w:pPr>
              <w:autoSpaceDE w:val="0"/>
              <w:autoSpaceDN w:val="0"/>
              <w:adjustRightInd w:val="0"/>
              <w:spacing w:line="360" w:lineRule="auto"/>
              <w:jc w:val="left"/>
              <w:rPr>
                <w:rFonts w:hint="eastAsia" w:ascii="宋体" w:hAnsi="宋体" w:eastAsia="宋体" w:cs="宋体"/>
                <w:kern w:val="0"/>
                <w:sz w:val="24"/>
                <w:szCs w:val="24"/>
              </w:rPr>
            </w:pPr>
          </w:p>
        </w:tc>
        <w:tc>
          <w:tcPr>
            <w:tcW w:w="4004" w:type="pct"/>
            <w:noWrap w:val="0"/>
            <w:vAlign w:val="center"/>
          </w:tcPr>
          <w:p w14:paraId="0BBC0E8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集成显卡，显存≥32 MB，VGA端口数量≥2，支持Type-C，内置DVD驱动器</w:t>
            </w:r>
          </w:p>
        </w:tc>
      </w:tr>
      <w:tr w14:paraId="50DA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15FAF1C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585" w:type="pct"/>
            <w:noWrap/>
            <w:vAlign w:val="center"/>
          </w:tcPr>
          <w:p w14:paraId="6C23DC0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电源</w:t>
            </w:r>
          </w:p>
        </w:tc>
        <w:tc>
          <w:tcPr>
            <w:tcW w:w="4004" w:type="pct"/>
            <w:noWrap w:val="0"/>
            <w:vAlign w:val="center"/>
          </w:tcPr>
          <w:p w14:paraId="1E3F010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≥900w交流电源，1+1冗余配置</w:t>
            </w:r>
          </w:p>
        </w:tc>
      </w:tr>
      <w:tr w14:paraId="6CB6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7C8F945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585" w:type="pct"/>
            <w:noWrap/>
            <w:vAlign w:val="center"/>
          </w:tcPr>
          <w:p w14:paraId="17EFA09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温度</w:t>
            </w:r>
          </w:p>
        </w:tc>
        <w:tc>
          <w:tcPr>
            <w:tcW w:w="4004" w:type="pct"/>
            <w:noWrap w:val="0"/>
            <w:vAlign w:val="center"/>
          </w:tcPr>
          <w:p w14:paraId="6E8A3D5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长期工作环境温度至少支持5-45摄氏度</w:t>
            </w:r>
          </w:p>
        </w:tc>
      </w:tr>
      <w:tr w14:paraId="57C1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10" w:type="pct"/>
            <w:noWrap w:val="0"/>
            <w:vAlign w:val="top"/>
          </w:tcPr>
          <w:p w14:paraId="52F9828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585" w:type="pct"/>
            <w:noWrap/>
            <w:vAlign w:val="center"/>
          </w:tcPr>
          <w:p w14:paraId="23BAA1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BIOS</w:t>
            </w:r>
          </w:p>
        </w:tc>
        <w:tc>
          <w:tcPr>
            <w:tcW w:w="4004" w:type="pct"/>
            <w:noWrap w:val="0"/>
            <w:vAlign w:val="center"/>
          </w:tcPr>
          <w:p w14:paraId="14B081F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投标产品BIOS支持图形化界面，支持鼠标操作，支持中文BIOS</w:t>
            </w:r>
          </w:p>
        </w:tc>
      </w:tr>
      <w:tr w14:paraId="4855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10" w:type="pct"/>
            <w:noWrap w:val="0"/>
            <w:vAlign w:val="top"/>
          </w:tcPr>
          <w:p w14:paraId="301AE56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585" w:type="pct"/>
            <w:noWrap/>
            <w:vAlign w:val="center"/>
          </w:tcPr>
          <w:p w14:paraId="7AC6348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管理性</w:t>
            </w:r>
          </w:p>
        </w:tc>
        <w:tc>
          <w:tcPr>
            <w:tcW w:w="4004" w:type="pct"/>
            <w:noWrap w:val="0"/>
            <w:vAlign w:val="center"/>
          </w:tcPr>
          <w:p w14:paraId="675C08B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服务器管理软件支持在中华人民共和国境内工商局登记注册的芯片，支持内存UCE Non-Fatal/PCIe标卡UCE故障精准告警功能，支持内存故障隔离功能，USB Type-C接口可近端接入连接iBMC网络开展带外运维管理，可使用安卓及IOS系统手机APP接入管理服务器，基于Redfish规范的SSDP自动发现协议，支持网管通过SSDP报文识别新接入服务器设备</w:t>
            </w:r>
          </w:p>
        </w:tc>
      </w:tr>
      <w:tr w14:paraId="7F28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10" w:type="pct"/>
            <w:noWrap w:val="0"/>
            <w:vAlign w:val="top"/>
          </w:tcPr>
          <w:p w14:paraId="3A3CD7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585" w:type="pct"/>
            <w:noWrap/>
            <w:vAlign w:val="center"/>
          </w:tcPr>
          <w:p w14:paraId="46C0022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4004" w:type="pct"/>
            <w:noWrap w:val="0"/>
            <w:vAlign w:val="center"/>
          </w:tcPr>
          <w:p w14:paraId="33D7B4B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支持基于Kerberos协议的用户认证管理机制，基于芯片可信根实现固件启动前的完整性校验，支持TLS 1.2、TLS 1.3版本，支持SNMP功能及SHA256/SHA384/SHA512鉴权和AES256加密算法</w:t>
            </w:r>
          </w:p>
        </w:tc>
      </w:tr>
      <w:tr w14:paraId="1FD7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10" w:type="pct"/>
            <w:noWrap w:val="0"/>
            <w:vAlign w:val="top"/>
          </w:tcPr>
          <w:p w14:paraId="74C2E7D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585" w:type="pct"/>
            <w:noWrap/>
            <w:vAlign w:val="center"/>
          </w:tcPr>
          <w:p w14:paraId="650F1CE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安全防护</w:t>
            </w:r>
          </w:p>
        </w:tc>
        <w:tc>
          <w:tcPr>
            <w:tcW w:w="4004" w:type="pct"/>
            <w:noWrap w:val="0"/>
            <w:vAlign w:val="center"/>
          </w:tcPr>
          <w:p w14:paraId="086660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提供1台支持IPS、AV和URL过滤特性库功能的设备，该产品拥有高性能网络参数和多功能接口，支持IPv6、访问控制、用户认证等功能</w:t>
            </w:r>
          </w:p>
        </w:tc>
      </w:tr>
    </w:tbl>
    <w:p w14:paraId="54517440">
      <w:pPr>
        <w:autoSpaceDE w:val="0"/>
        <w:autoSpaceDN w:val="0"/>
        <w:adjustRightInd w:val="0"/>
        <w:spacing w:line="360" w:lineRule="auto"/>
        <w:jc w:val="left"/>
        <w:rPr>
          <w:rFonts w:hint="eastAsia" w:ascii="宋体" w:hAnsi="宋体" w:eastAsia="宋体" w:cs="宋体"/>
          <w:kern w:val="0"/>
          <w:sz w:val="24"/>
          <w:szCs w:val="24"/>
        </w:rPr>
      </w:pPr>
    </w:p>
    <w:p w14:paraId="72B1B2D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4.服务器2</w:t>
      </w:r>
    </w:p>
    <w:tbl>
      <w:tblPr>
        <w:tblStyle w:val="8"/>
        <w:tblW w:w="4998" w:type="pct"/>
        <w:tblInd w:w="0" w:type="dxa"/>
        <w:tblLayout w:type="autofit"/>
        <w:tblCellMar>
          <w:top w:w="0" w:type="dxa"/>
          <w:left w:w="108" w:type="dxa"/>
          <w:bottom w:w="0" w:type="dxa"/>
          <w:right w:w="108" w:type="dxa"/>
        </w:tblCellMar>
      </w:tblPr>
      <w:tblGrid>
        <w:gridCol w:w="456"/>
        <w:gridCol w:w="1176"/>
        <w:gridCol w:w="6887"/>
      </w:tblGrid>
      <w:tr w14:paraId="0E6A7AB9">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4CB58C54">
            <w:pPr>
              <w:autoSpaceDE w:val="0"/>
              <w:autoSpaceDN w:val="0"/>
              <w:adjustRightInd w:val="0"/>
              <w:spacing w:line="360" w:lineRule="auto"/>
              <w:jc w:val="left"/>
              <w:rPr>
                <w:rFonts w:hint="eastAsia" w:ascii="宋体" w:hAnsi="宋体" w:eastAsia="宋体" w:cs="宋体"/>
                <w:kern w:val="0"/>
                <w:sz w:val="24"/>
                <w:szCs w:val="24"/>
              </w:rPr>
            </w:pPr>
            <w:bookmarkStart w:id="0" w:name="_GoBack"/>
            <w:r>
              <w:rPr>
                <w:rFonts w:hint="eastAsia" w:ascii="宋体" w:hAnsi="宋体" w:eastAsia="宋体" w:cs="宋体"/>
                <w:kern w:val="0"/>
                <w:sz w:val="24"/>
                <w:szCs w:val="24"/>
              </w:rPr>
              <w:t>序号</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26CF79B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类型</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46CD0C1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技术参数</w:t>
            </w:r>
          </w:p>
        </w:tc>
      </w:tr>
      <w:tr w14:paraId="400B7047">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631F4C1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4508E5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342A4C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国产品牌非oem产品</w:t>
            </w:r>
          </w:p>
        </w:tc>
      </w:tr>
      <w:tr w14:paraId="6210621B">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0AF8285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287D7D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06D2F54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≥4U机架式服务器</w:t>
            </w:r>
          </w:p>
        </w:tc>
      </w:tr>
      <w:tr w14:paraId="3C37F8BD">
        <w:tblPrEx>
          <w:tblCellMar>
            <w:top w:w="0" w:type="dxa"/>
            <w:left w:w="108" w:type="dxa"/>
            <w:bottom w:w="0" w:type="dxa"/>
            <w:right w:w="108" w:type="dxa"/>
          </w:tblCellMar>
        </w:tblPrEx>
        <w:trPr>
          <w:trHeight w:val="697" w:hRule="atLeast"/>
        </w:trPr>
        <w:tc>
          <w:tcPr>
            <w:tcW w:w="342" w:type="pct"/>
            <w:vMerge w:val="restart"/>
            <w:tcBorders>
              <w:top w:val="single" w:color="000000" w:sz="4" w:space="0"/>
              <w:left w:val="single" w:color="000000" w:sz="4" w:space="0"/>
              <w:right w:val="single" w:color="000000" w:sz="4" w:space="0"/>
            </w:tcBorders>
            <w:noWrap w:val="0"/>
            <w:vAlign w:val="top"/>
          </w:tcPr>
          <w:p w14:paraId="6DF64C2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514" w:type="pct"/>
            <w:vMerge w:val="restart"/>
            <w:tcBorders>
              <w:top w:val="single" w:color="000000" w:sz="4" w:space="0"/>
              <w:left w:val="single" w:color="000000" w:sz="4" w:space="0"/>
              <w:right w:val="single" w:color="000000" w:sz="4" w:space="0"/>
            </w:tcBorders>
            <w:noWrap/>
            <w:vAlign w:val="center"/>
          </w:tcPr>
          <w:p w14:paraId="570F404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处理器</w:t>
            </w: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5F32064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▲≥2颗 英特尔®至强®（或不低于此配置）可扩展系列处理器；单颗主频≥2.2GHz </w:t>
            </w:r>
          </w:p>
        </w:tc>
      </w:tr>
      <w:tr w14:paraId="54D5A08E">
        <w:tblPrEx>
          <w:tblCellMar>
            <w:top w:w="0" w:type="dxa"/>
            <w:left w:w="108" w:type="dxa"/>
            <w:bottom w:w="0" w:type="dxa"/>
            <w:right w:w="108" w:type="dxa"/>
          </w:tblCellMar>
        </w:tblPrEx>
        <w:trPr>
          <w:trHeight w:val="697" w:hRule="atLeast"/>
        </w:trPr>
        <w:tc>
          <w:tcPr>
            <w:tcW w:w="342" w:type="pct"/>
            <w:vMerge w:val="continue"/>
            <w:tcBorders>
              <w:left w:val="single" w:color="000000" w:sz="4" w:space="0"/>
              <w:bottom w:val="single" w:color="000000" w:sz="4" w:space="0"/>
              <w:right w:val="single" w:color="000000" w:sz="4" w:space="0"/>
            </w:tcBorders>
            <w:noWrap w:val="0"/>
            <w:vAlign w:val="top"/>
          </w:tcPr>
          <w:p w14:paraId="6E04BF63">
            <w:pPr>
              <w:autoSpaceDE w:val="0"/>
              <w:autoSpaceDN w:val="0"/>
              <w:adjustRightInd w:val="0"/>
              <w:spacing w:line="360" w:lineRule="auto"/>
              <w:jc w:val="left"/>
              <w:rPr>
                <w:rFonts w:hint="eastAsia" w:ascii="宋体" w:hAnsi="宋体" w:eastAsia="宋体" w:cs="宋体"/>
                <w:kern w:val="0"/>
                <w:sz w:val="24"/>
                <w:szCs w:val="24"/>
              </w:rPr>
            </w:pPr>
          </w:p>
        </w:tc>
        <w:tc>
          <w:tcPr>
            <w:tcW w:w="514" w:type="pct"/>
            <w:vMerge w:val="continue"/>
            <w:tcBorders>
              <w:left w:val="single" w:color="000000" w:sz="4" w:space="0"/>
              <w:bottom w:val="single" w:color="000000" w:sz="4" w:space="0"/>
              <w:right w:val="single" w:color="000000" w:sz="4" w:space="0"/>
            </w:tcBorders>
            <w:noWrap/>
            <w:vAlign w:val="center"/>
          </w:tcPr>
          <w:p w14:paraId="2DBF492E">
            <w:pPr>
              <w:autoSpaceDE w:val="0"/>
              <w:autoSpaceDN w:val="0"/>
              <w:adjustRightInd w:val="0"/>
              <w:spacing w:line="360" w:lineRule="auto"/>
              <w:jc w:val="left"/>
              <w:rPr>
                <w:rFonts w:hint="eastAsia" w:ascii="宋体" w:hAnsi="宋体" w:eastAsia="宋体" w:cs="宋体"/>
                <w:kern w:val="0"/>
                <w:sz w:val="24"/>
                <w:szCs w:val="24"/>
              </w:rPr>
            </w:pP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437A710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▲GPU处理器：≥4颗RTX2080ti（或不低于此配置）</w:t>
            </w:r>
          </w:p>
        </w:tc>
      </w:tr>
      <w:tr w14:paraId="3B388491">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03CD10B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67DCC8B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内存</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7C12973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单条≥32GB DDR4，频率不低于3200MHz，总内存容量≥128GB；</w:t>
            </w:r>
          </w:p>
        </w:tc>
      </w:tr>
      <w:tr w14:paraId="1D38EC35">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6577E5B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3073530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w:t>
            </w: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52FA06A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≥1块240GB SSD，≥1块480GB SSD，≥6块HDD 8TB</w:t>
            </w:r>
          </w:p>
        </w:tc>
      </w:tr>
      <w:tr w14:paraId="294CDDD5">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461BE98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0E096E4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raid</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20090E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支持RAID 0，1，5，6，10，50，60</w:t>
            </w:r>
          </w:p>
        </w:tc>
      </w:tr>
      <w:tr w14:paraId="765C6AFB">
        <w:tblPrEx>
          <w:tblCellMar>
            <w:top w:w="0" w:type="dxa"/>
            <w:left w:w="108" w:type="dxa"/>
            <w:bottom w:w="0" w:type="dxa"/>
            <w:right w:w="108" w:type="dxa"/>
          </w:tblCellMar>
        </w:tblPrEx>
        <w:trPr>
          <w:trHeight w:val="855" w:hRule="atLeast"/>
        </w:trPr>
        <w:tc>
          <w:tcPr>
            <w:tcW w:w="342" w:type="pct"/>
            <w:vMerge w:val="restart"/>
            <w:tcBorders>
              <w:top w:val="single" w:color="000000" w:sz="4" w:space="0"/>
              <w:left w:val="single" w:color="000000" w:sz="4" w:space="0"/>
              <w:right w:val="single" w:color="000000" w:sz="4" w:space="0"/>
            </w:tcBorders>
            <w:noWrap w:val="0"/>
            <w:vAlign w:val="top"/>
          </w:tcPr>
          <w:p w14:paraId="1EA879A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514" w:type="pct"/>
            <w:vMerge w:val="restart"/>
            <w:tcBorders>
              <w:top w:val="single" w:color="000000" w:sz="4" w:space="0"/>
              <w:left w:val="single" w:color="000000" w:sz="4" w:space="0"/>
              <w:bottom w:val="single" w:color="000000" w:sz="4" w:space="0"/>
              <w:right w:val="single" w:color="000000" w:sz="4" w:space="0"/>
            </w:tcBorders>
            <w:noWrap/>
            <w:vAlign w:val="center"/>
          </w:tcPr>
          <w:p w14:paraId="16D15EC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I/O扩展</w:t>
            </w: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46AAC92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≥4个PCI-E 3.0 x16 (双宽) 插槽，≥2个PCI-E 3.0 x16 (单宽) 插槽，≥1个PCI-E 3.0 x4 (在x8插槽中)</w:t>
            </w:r>
          </w:p>
        </w:tc>
      </w:tr>
      <w:tr w14:paraId="4D4D2ECE">
        <w:tblPrEx>
          <w:tblCellMar>
            <w:top w:w="0" w:type="dxa"/>
            <w:left w:w="108" w:type="dxa"/>
            <w:bottom w:w="0" w:type="dxa"/>
            <w:right w:w="108" w:type="dxa"/>
          </w:tblCellMar>
        </w:tblPrEx>
        <w:trPr>
          <w:trHeight w:val="285" w:hRule="atLeast"/>
        </w:trPr>
        <w:tc>
          <w:tcPr>
            <w:tcW w:w="342" w:type="pct"/>
            <w:vMerge w:val="continue"/>
            <w:tcBorders>
              <w:left w:val="single" w:color="000000" w:sz="4" w:space="0"/>
              <w:right w:val="single" w:color="000000" w:sz="4" w:space="0"/>
            </w:tcBorders>
            <w:noWrap w:val="0"/>
            <w:vAlign w:val="top"/>
          </w:tcPr>
          <w:p w14:paraId="38E35F38">
            <w:pPr>
              <w:autoSpaceDE w:val="0"/>
              <w:autoSpaceDN w:val="0"/>
              <w:adjustRightInd w:val="0"/>
              <w:spacing w:line="360" w:lineRule="auto"/>
              <w:jc w:val="left"/>
              <w:rPr>
                <w:rFonts w:hint="eastAsia" w:ascii="宋体" w:hAnsi="宋体" w:eastAsia="宋体" w:cs="宋体"/>
                <w:kern w:val="0"/>
                <w:sz w:val="24"/>
                <w:szCs w:val="24"/>
              </w:rPr>
            </w:pPr>
          </w:p>
        </w:tc>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18096">
            <w:pPr>
              <w:autoSpaceDE w:val="0"/>
              <w:autoSpaceDN w:val="0"/>
              <w:adjustRightInd w:val="0"/>
              <w:spacing w:line="360" w:lineRule="auto"/>
              <w:jc w:val="left"/>
              <w:rPr>
                <w:rFonts w:hint="eastAsia" w:ascii="宋体" w:hAnsi="宋体" w:eastAsia="宋体" w:cs="宋体"/>
                <w:kern w:val="0"/>
                <w:sz w:val="24"/>
                <w:szCs w:val="24"/>
              </w:rPr>
            </w:pP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47B8FE2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单节点≥1个4口10GE网卡，单节点≥1个1口万兆网卡， </w:t>
            </w:r>
          </w:p>
        </w:tc>
      </w:tr>
      <w:tr w14:paraId="36201418">
        <w:tblPrEx>
          <w:tblCellMar>
            <w:top w:w="0" w:type="dxa"/>
            <w:left w:w="108" w:type="dxa"/>
            <w:bottom w:w="0" w:type="dxa"/>
            <w:right w:w="108" w:type="dxa"/>
          </w:tblCellMar>
        </w:tblPrEx>
        <w:trPr>
          <w:trHeight w:val="285" w:hRule="atLeast"/>
        </w:trPr>
        <w:tc>
          <w:tcPr>
            <w:tcW w:w="342" w:type="pct"/>
            <w:vMerge w:val="continue"/>
            <w:tcBorders>
              <w:left w:val="single" w:color="000000" w:sz="4" w:space="0"/>
              <w:bottom w:val="single" w:color="000000" w:sz="4" w:space="0"/>
              <w:right w:val="single" w:color="000000" w:sz="4" w:space="0"/>
            </w:tcBorders>
            <w:noWrap w:val="0"/>
            <w:vAlign w:val="top"/>
          </w:tcPr>
          <w:p w14:paraId="7736E0AF">
            <w:pPr>
              <w:autoSpaceDE w:val="0"/>
              <w:autoSpaceDN w:val="0"/>
              <w:adjustRightInd w:val="0"/>
              <w:spacing w:line="360" w:lineRule="auto"/>
              <w:jc w:val="left"/>
              <w:rPr>
                <w:rFonts w:hint="eastAsia" w:ascii="宋体" w:hAnsi="宋体" w:eastAsia="宋体" w:cs="宋体"/>
                <w:kern w:val="0"/>
                <w:sz w:val="24"/>
                <w:szCs w:val="24"/>
              </w:rPr>
            </w:pPr>
          </w:p>
        </w:tc>
        <w:tc>
          <w:tcPr>
            <w:tcW w:w="51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E6E4CE">
            <w:pPr>
              <w:autoSpaceDE w:val="0"/>
              <w:autoSpaceDN w:val="0"/>
              <w:adjustRightInd w:val="0"/>
              <w:spacing w:line="360" w:lineRule="auto"/>
              <w:jc w:val="left"/>
              <w:rPr>
                <w:rFonts w:hint="eastAsia" w:ascii="宋体" w:hAnsi="宋体" w:eastAsia="宋体" w:cs="宋体"/>
                <w:kern w:val="0"/>
                <w:sz w:val="24"/>
                <w:szCs w:val="24"/>
              </w:rPr>
            </w:pP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718A6EF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≥1个IPMI管理接口（RJ45）</w:t>
            </w:r>
          </w:p>
        </w:tc>
      </w:tr>
      <w:tr w14:paraId="77A65D12">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128212A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7B3F971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电源电扇</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6033AC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≥2200W 1+1冗余电源，≥4个内置风扇，≥2个后置风扇</w:t>
            </w:r>
          </w:p>
        </w:tc>
      </w:tr>
      <w:tr w14:paraId="4DA7536A">
        <w:tblPrEx>
          <w:tblCellMar>
            <w:top w:w="0" w:type="dxa"/>
            <w:left w:w="108" w:type="dxa"/>
            <w:bottom w:w="0" w:type="dxa"/>
            <w:right w:w="108" w:type="dxa"/>
          </w:tblCellMar>
        </w:tblPrEx>
        <w:trPr>
          <w:trHeight w:val="285"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1275AF2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6E1231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BIOS</w:t>
            </w:r>
          </w:p>
        </w:tc>
        <w:tc>
          <w:tcPr>
            <w:tcW w:w="4143" w:type="pct"/>
            <w:tcBorders>
              <w:top w:val="single" w:color="000000" w:sz="4" w:space="0"/>
              <w:left w:val="single" w:color="000000" w:sz="4" w:space="0"/>
              <w:bottom w:val="single" w:color="000000" w:sz="4" w:space="0"/>
              <w:right w:val="single" w:color="000000" w:sz="4" w:space="0"/>
            </w:tcBorders>
            <w:noWrap/>
            <w:vAlign w:val="center"/>
          </w:tcPr>
          <w:p w14:paraId="7E40C89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支持图形化界面、鼠标操作、中文BIOS</w:t>
            </w:r>
          </w:p>
        </w:tc>
      </w:tr>
      <w:tr w14:paraId="77ECA683">
        <w:tblPrEx>
          <w:tblCellMar>
            <w:top w:w="0" w:type="dxa"/>
            <w:left w:w="108" w:type="dxa"/>
            <w:bottom w:w="0" w:type="dxa"/>
            <w:right w:w="108" w:type="dxa"/>
          </w:tblCellMar>
        </w:tblPrEx>
        <w:trPr>
          <w:trHeight w:val="570"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0C5D88D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589397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管理性</w:t>
            </w: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13AD9EF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支持智能动态调节风扇转速功能，集成BMC芯片，支持IPMI2.0和KVMOverIP管理功能</w:t>
            </w:r>
          </w:p>
        </w:tc>
      </w:tr>
      <w:tr w14:paraId="109BCCE1">
        <w:tblPrEx>
          <w:tblCellMar>
            <w:top w:w="0" w:type="dxa"/>
            <w:left w:w="108" w:type="dxa"/>
            <w:bottom w:w="0" w:type="dxa"/>
            <w:right w:w="108" w:type="dxa"/>
          </w:tblCellMar>
        </w:tblPrEx>
        <w:trPr>
          <w:trHeight w:val="570" w:hRule="atLeast"/>
        </w:trPr>
        <w:tc>
          <w:tcPr>
            <w:tcW w:w="342" w:type="pct"/>
            <w:tcBorders>
              <w:top w:val="single" w:color="000000" w:sz="4" w:space="0"/>
              <w:left w:val="single" w:color="000000" w:sz="4" w:space="0"/>
              <w:bottom w:val="single" w:color="000000" w:sz="4" w:space="0"/>
              <w:right w:val="single" w:color="000000" w:sz="4" w:space="0"/>
            </w:tcBorders>
            <w:noWrap w:val="0"/>
            <w:vAlign w:val="top"/>
          </w:tcPr>
          <w:p w14:paraId="0FD43FC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514" w:type="pct"/>
            <w:tcBorders>
              <w:top w:val="single" w:color="000000" w:sz="4" w:space="0"/>
              <w:left w:val="single" w:color="000000" w:sz="4" w:space="0"/>
              <w:bottom w:val="single" w:color="000000" w:sz="4" w:space="0"/>
              <w:right w:val="single" w:color="000000" w:sz="4" w:space="0"/>
            </w:tcBorders>
            <w:noWrap/>
            <w:vAlign w:val="center"/>
          </w:tcPr>
          <w:p w14:paraId="21932BEB">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4143" w:type="pct"/>
            <w:tcBorders>
              <w:top w:val="single" w:color="000000" w:sz="4" w:space="0"/>
              <w:left w:val="single" w:color="000000" w:sz="4" w:space="0"/>
              <w:bottom w:val="single" w:color="000000" w:sz="4" w:space="0"/>
              <w:right w:val="single" w:color="000000" w:sz="4" w:space="0"/>
            </w:tcBorders>
            <w:noWrap w:val="0"/>
            <w:vAlign w:val="center"/>
          </w:tcPr>
          <w:p w14:paraId="00CEBF0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具有高级内存容错功能，可选SAS RAID卡，支持RAID0/1/5/6/50/60，支持Cache超级电容保护，提供RAID状态迁移、RAID配置记忆等功能</w:t>
            </w:r>
          </w:p>
        </w:tc>
      </w:tr>
      <w:bookmarkEnd w:id="0"/>
    </w:tbl>
    <w:p w14:paraId="45986CCA">
      <w:pPr>
        <w:autoSpaceDE w:val="0"/>
        <w:autoSpaceDN w:val="0"/>
        <w:adjustRightInd w:val="0"/>
        <w:spacing w:line="360" w:lineRule="auto"/>
        <w:jc w:val="left"/>
        <w:rPr>
          <w:rFonts w:hint="eastAsia" w:ascii="宋体" w:hAnsi="宋体" w:eastAsia="宋体" w:cs="宋体"/>
          <w:kern w:val="0"/>
          <w:sz w:val="24"/>
          <w:szCs w:val="24"/>
        </w:rPr>
      </w:pPr>
    </w:p>
    <w:p w14:paraId="32A91FD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5.服务器3</w:t>
      </w:r>
    </w:p>
    <w:tbl>
      <w:tblPr>
        <w:tblStyle w:val="8"/>
        <w:tblW w:w="5133"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218"/>
        <w:gridCol w:w="6563"/>
      </w:tblGrid>
      <w:tr w14:paraId="4C1D2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1AD4062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696" w:type="pct"/>
            <w:noWrap/>
            <w:vAlign w:val="center"/>
          </w:tcPr>
          <w:p w14:paraId="67C612AD">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类型</w:t>
            </w:r>
          </w:p>
        </w:tc>
        <w:tc>
          <w:tcPr>
            <w:tcW w:w="3751" w:type="pct"/>
            <w:noWrap w:val="0"/>
            <w:vAlign w:val="center"/>
          </w:tcPr>
          <w:p w14:paraId="6895FD7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技术参数</w:t>
            </w:r>
          </w:p>
        </w:tc>
      </w:tr>
      <w:tr w14:paraId="6DC5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23E843C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696" w:type="pct"/>
            <w:noWrap/>
            <w:vAlign w:val="center"/>
          </w:tcPr>
          <w:p w14:paraId="535F19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品牌</w:t>
            </w:r>
          </w:p>
        </w:tc>
        <w:tc>
          <w:tcPr>
            <w:tcW w:w="3751" w:type="pct"/>
            <w:noWrap w:val="0"/>
            <w:vAlign w:val="center"/>
          </w:tcPr>
          <w:p w14:paraId="4C78333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国产品牌非oem产品；</w:t>
            </w:r>
          </w:p>
        </w:tc>
      </w:tr>
      <w:tr w14:paraId="28CE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6FFD225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696" w:type="pct"/>
            <w:noWrap/>
            <w:vAlign w:val="center"/>
          </w:tcPr>
          <w:p w14:paraId="1E617EE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规格</w:t>
            </w:r>
          </w:p>
        </w:tc>
        <w:tc>
          <w:tcPr>
            <w:tcW w:w="3751" w:type="pct"/>
            <w:noWrap w:val="0"/>
            <w:vAlign w:val="center"/>
          </w:tcPr>
          <w:p w14:paraId="59B27EC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机架式服务器，机箱高度≤2U；</w:t>
            </w:r>
          </w:p>
        </w:tc>
      </w:tr>
      <w:tr w14:paraId="4D5BB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vMerge w:val="restart"/>
            <w:noWrap w:val="0"/>
            <w:vAlign w:val="top"/>
          </w:tcPr>
          <w:p w14:paraId="204A1D6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696" w:type="pct"/>
            <w:vMerge w:val="restart"/>
            <w:noWrap/>
            <w:vAlign w:val="center"/>
          </w:tcPr>
          <w:p w14:paraId="7DCE838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处理器</w:t>
            </w:r>
          </w:p>
        </w:tc>
        <w:tc>
          <w:tcPr>
            <w:tcW w:w="3751" w:type="pct"/>
            <w:noWrap w:val="0"/>
            <w:vAlign w:val="center"/>
          </w:tcPr>
          <w:p w14:paraId="7A21EA0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▲支持≥4个节点，单节点≥2颗英特尔第三代至强可扩展处理器（或不低于此配置）；单颗主频≥2.1GHz 核数≥24 </w:t>
            </w:r>
          </w:p>
        </w:tc>
      </w:tr>
      <w:tr w14:paraId="1577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vMerge w:val="continue"/>
            <w:noWrap w:val="0"/>
            <w:vAlign w:val="top"/>
          </w:tcPr>
          <w:p w14:paraId="2430FE2D">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noWrap w:val="0"/>
            <w:vAlign w:val="center"/>
          </w:tcPr>
          <w:p w14:paraId="6A1CCD26">
            <w:pPr>
              <w:autoSpaceDE w:val="0"/>
              <w:autoSpaceDN w:val="0"/>
              <w:adjustRightInd w:val="0"/>
              <w:spacing w:line="360" w:lineRule="auto"/>
              <w:jc w:val="left"/>
              <w:rPr>
                <w:rFonts w:hint="eastAsia" w:ascii="宋体" w:hAnsi="宋体" w:eastAsia="宋体" w:cs="宋体"/>
                <w:kern w:val="0"/>
                <w:sz w:val="24"/>
                <w:szCs w:val="24"/>
              </w:rPr>
            </w:pPr>
          </w:p>
        </w:tc>
        <w:tc>
          <w:tcPr>
            <w:tcW w:w="3751" w:type="pct"/>
            <w:noWrap w:val="0"/>
            <w:vAlign w:val="center"/>
          </w:tcPr>
          <w:p w14:paraId="3EABA4D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▲芯片组 ：Intel C621A芯片组（或不低于此配置）；</w:t>
            </w:r>
          </w:p>
        </w:tc>
      </w:tr>
      <w:tr w14:paraId="447A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52C69DC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696" w:type="pct"/>
            <w:noWrap/>
            <w:vAlign w:val="center"/>
          </w:tcPr>
          <w:p w14:paraId="1234AD0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内存</w:t>
            </w:r>
          </w:p>
        </w:tc>
        <w:tc>
          <w:tcPr>
            <w:tcW w:w="3751" w:type="pct"/>
            <w:noWrap w:val="0"/>
            <w:vAlign w:val="center"/>
          </w:tcPr>
          <w:p w14:paraId="52CA243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支持≥4个节点，单节点≥4根64GB DDR4；频率:不低于3200MHz；</w:t>
            </w:r>
          </w:p>
        </w:tc>
      </w:tr>
      <w:tr w14:paraId="7FA0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vMerge w:val="restart"/>
            <w:noWrap w:val="0"/>
            <w:vAlign w:val="top"/>
          </w:tcPr>
          <w:p w14:paraId="2CD5AE3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696" w:type="pct"/>
            <w:vMerge w:val="restart"/>
            <w:noWrap/>
            <w:vAlign w:val="center"/>
          </w:tcPr>
          <w:p w14:paraId="6308BA3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存储</w:t>
            </w:r>
          </w:p>
        </w:tc>
        <w:tc>
          <w:tcPr>
            <w:tcW w:w="3751" w:type="pct"/>
            <w:noWrap w:val="0"/>
            <w:vAlign w:val="center"/>
          </w:tcPr>
          <w:p w14:paraId="7035038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支持≥4个节点，单节点≥2块 1.2TB SAS 2.5英寸热插拔硬盘；</w:t>
            </w:r>
          </w:p>
        </w:tc>
      </w:tr>
      <w:tr w14:paraId="33DF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vMerge w:val="continue"/>
            <w:noWrap w:val="0"/>
            <w:vAlign w:val="top"/>
          </w:tcPr>
          <w:p w14:paraId="646621B4">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noWrap w:val="0"/>
            <w:vAlign w:val="center"/>
          </w:tcPr>
          <w:p w14:paraId="3932DD80">
            <w:pPr>
              <w:autoSpaceDE w:val="0"/>
              <w:autoSpaceDN w:val="0"/>
              <w:adjustRightInd w:val="0"/>
              <w:spacing w:line="360" w:lineRule="auto"/>
              <w:jc w:val="left"/>
              <w:rPr>
                <w:rFonts w:hint="eastAsia" w:ascii="宋体" w:hAnsi="宋体" w:eastAsia="宋体" w:cs="宋体"/>
                <w:kern w:val="0"/>
                <w:sz w:val="24"/>
                <w:szCs w:val="24"/>
              </w:rPr>
            </w:pPr>
          </w:p>
        </w:tc>
        <w:tc>
          <w:tcPr>
            <w:tcW w:w="3751" w:type="pct"/>
            <w:noWrap w:val="0"/>
            <w:vAlign w:val="center"/>
          </w:tcPr>
          <w:p w14:paraId="7CB304E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支持SAS/SATA/NVMe，支持任意配比混配。</w:t>
            </w:r>
          </w:p>
        </w:tc>
      </w:tr>
      <w:tr w14:paraId="79C25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376EB3E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696" w:type="pct"/>
            <w:noWrap/>
            <w:vAlign w:val="center"/>
          </w:tcPr>
          <w:p w14:paraId="21EE429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raid</w:t>
            </w:r>
          </w:p>
        </w:tc>
        <w:tc>
          <w:tcPr>
            <w:tcW w:w="3751" w:type="pct"/>
            <w:noWrap w:val="0"/>
            <w:vAlign w:val="center"/>
          </w:tcPr>
          <w:p w14:paraId="61A142D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单节点≥1张磁盘阵列卡，缓存≥2G，支持RAID 0/1/10/5/50/6/60</w:t>
            </w:r>
          </w:p>
        </w:tc>
      </w:tr>
      <w:tr w14:paraId="73600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3" w:type="pct"/>
            <w:vMerge w:val="restart"/>
            <w:noWrap w:val="0"/>
            <w:vAlign w:val="top"/>
          </w:tcPr>
          <w:p w14:paraId="44F6282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696" w:type="pct"/>
            <w:vMerge w:val="restart"/>
            <w:noWrap/>
            <w:vAlign w:val="center"/>
          </w:tcPr>
          <w:p w14:paraId="0C9362F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I/O扩展</w:t>
            </w:r>
          </w:p>
        </w:tc>
        <w:tc>
          <w:tcPr>
            <w:tcW w:w="3751" w:type="pct"/>
            <w:noWrap w:val="0"/>
            <w:vAlign w:val="center"/>
          </w:tcPr>
          <w:p w14:paraId="526320B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支持≥4个节点，单节点支持1*GE管理网口（汇聚管理网口）通过单节点汇聚管理网口可以访问同机箱其他节点BMC系统</w:t>
            </w:r>
          </w:p>
        </w:tc>
      </w:tr>
      <w:tr w14:paraId="6A55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3" w:type="pct"/>
            <w:vMerge w:val="continue"/>
            <w:noWrap w:val="0"/>
            <w:vAlign w:val="top"/>
          </w:tcPr>
          <w:p w14:paraId="69E9F763">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noWrap w:val="0"/>
            <w:vAlign w:val="center"/>
          </w:tcPr>
          <w:p w14:paraId="0AE6D2F1">
            <w:pPr>
              <w:autoSpaceDE w:val="0"/>
              <w:autoSpaceDN w:val="0"/>
              <w:adjustRightInd w:val="0"/>
              <w:spacing w:line="360" w:lineRule="auto"/>
              <w:jc w:val="left"/>
              <w:rPr>
                <w:rFonts w:hint="eastAsia" w:ascii="宋体" w:hAnsi="宋体" w:eastAsia="宋体" w:cs="宋体"/>
                <w:kern w:val="0"/>
                <w:sz w:val="24"/>
                <w:szCs w:val="24"/>
              </w:rPr>
            </w:pPr>
          </w:p>
        </w:tc>
        <w:tc>
          <w:tcPr>
            <w:tcW w:w="3751" w:type="pct"/>
            <w:noWrap w:val="0"/>
            <w:vAlign w:val="center"/>
          </w:tcPr>
          <w:p w14:paraId="154B953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单节点支持2个PCIe 4.0 x16半高半长的标准扩展插槽，1个OCPx16插槽，其中1张标卡可配置支持Multi-host</w:t>
            </w:r>
          </w:p>
        </w:tc>
      </w:tr>
      <w:tr w14:paraId="6CC4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53" w:type="pct"/>
            <w:vMerge w:val="continue"/>
            <w:noWrap w:val="0"/>
            <w:vAlign w:val="top"/>
          </w:tcPr>
          <w:p w14:paraId="59A57ABC">
            <w:pPr>
              <w:autoSpaceDE w:val="0"/>
              <w:autoSpaceDN w:val="0"/>
              <w:adjustRightInd w:val="0"/>
              <w:spacing w:line="360" w:lineRule="auto"/>
              <w:jc w:val="left"/>
              <w:rPr>
                <w:rFonts w:hint="eastAsia" w:ascii="宋体" w:hAnsi="宋体" w:eastAsia="宋体" w:cs="宋体"/>
                <w:kern w:val="0"/>
                <w:sz w:val="24"/>
                <w:szCs w:val="24"/>
              </w:rPr>
            </w:pPr>
          </w:p>
        </w:tc>
        <w:tc>
          <w:tcPr>
            <w:tcW w:w="696" w:type="pct"/>
            <w:vMerge w:val="continue"/>
            <w:noWrap w:val="0"/>
            <w:vAlign w:val="center"/>
          </w:tcPr>
          <w:p w14:paraId="6EC7C9EA">
            <w:pPr>
              <w:autoSpaceDE w:val="0"/>
              <w:autoSpaceDN w:val="0"/>
              <w:adjustRightInd w:val="0"/>
              <w:spacing w:line="360" w:lineRule="auto"/>
              <w:jc w:val="left"/>
              <w:rPr>
                <w:rFonts w:hint="eastAsia" w:ascii="宋体" w:hAnsi="宋体" w:eastAsia="宋体" w:cs="宋体"/>
                <w:kern w:val="0"/>
                <w:sz w:val="24"/>
                <w:szCs w:val="24"/>
              </w:rPr>
            </w:pPr>
          </w:p>
        </w:tc>
        <w:tc>
          <w:tcPr>
            <w:tcW w:w="3751" w:type="pct"/>
            <w:noWrap w:val="0"/>
            <w:vAlign w:val="center"/>
          </w:tcPr>
          <w:p w14:paraId="39B718E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支持≥4个节点，单节点≥1张4口千兆电卡；单节点≥1张双口万兆光卡；单节点≥1张16GB HBA卡</w:t>
            </w:r>
          </w:p>
        </w:tc>
      </w:tr>
      <w:tr w14:paraId="796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3AE99FE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696" w:type="pct"/>
            <w:noWrap/>
            <w:vAlign w:val="center"/>
          </w:tcPr>
          <w:p w14:paraId="44931B7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电源风扇</w:t>
            </w:r>
          </w:p>
        </w:tc>
        <w:tc>
          <w:tcPr>
            <w:tcW w:w="3751" w:type="pct"/>
            <w:noWrap w:val="0"/>
            <w:vAlign w:val="center"/>
          </w:tcPr>
          <w:p w14:paraId="5E211BA6">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≥2000w交流电源，1+1冗余配置</w:t>
            </w:r>
          </w:p>
        </w:tc>
      </w:tr>
      <w:tr w14:paraId="02A7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1DFCD39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696" w:type="pct"/>
            <w:noWrap/>
            <w:vAlign w:val="center"/>
          </w:tcPr>
          <w:p w14:paraId="1F82655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温度</w:t>
            </w:r>
          </w:p>
        </w:tc>
        <w:tc>
          <w:tcPr>
            <w:tcW w:w="3751" w:type="pct"/>
            <w:noWrap w:val="0"/>
            <w:vAlign w:val="center"/>
          </w:tcPr>
          <w:p w14:paraId="64C8498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长期工作环境温度至少支持5-45摄氏度</w:t>
            </w:r>
          </w:p>
        </w:tc>
      </w:tr>
      <w:tr w14:paraId="1002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pct"/>
            <w:noWrap w:val="0"/>
            <w:vAlign w:val="top"/>
          </w:tcPr>
          <w:p w14:paraId="6AF33032">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696" w:type="pct"/>
            <w:noWrap/>
            <w:vAlign w:val="center"/>
          </w:tcPr>
          <w:p w14:paraId="5DC8D565">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BIOS</w:t>
            </w:r>
          </w:p>
        </w:tc>
        <w:tc>
          <w:tcPr>
            <w:tcW w:w="3751" w:type="pct"/>
            <w:noWrap w:val="0"/>
            <w:vAlign w:val="center"/>
          </w:tcPr>
          <w:p w14:paraId="59DEAF2E">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投标产品BIOS支持图形化界面，支持鼠标操作，支持中文BIOS</w:t>
            </w:r>
          </w:p>
        </w:tc>
      </w:tr>
      <w:tr w14:paraId="61C1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53" w:type="pct"/>
            <w:noWrap w:val="0"/>
            <w:vAlign w:val="top"/>
          </w:tcPr>
          <w:p w14:paraId="2A4C85C7">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696" w:type="pct"/>
            <w:noWrap/>
            <w:vAlign w:val="center"/>
          </w:tcPr>
          <w:p w14:paraId="1C3AE7EA">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管理性</w:t>
            </w:r>
          </w:p>
        </w:tc>
        <w:tc>
          <w:tcPr>
            <w:tcW w:w="3751" w:type="pct"/>
            <w:noWrap w:val="0"/>
            <w:vAlign w:val="center"/>
          </w:tcPr>
          <w:p w14:paraId="1DB320C1">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服务器管理软件支持在中华人民共和国境内工商局登记注册的芯片，支持内存UCE Non-Fatal/PCIe标卡UCE故障精准告警功能，支持内存故障隔离功能，USB Type-C接口可近端接入连接iBMC网络开展带外运维管理，可使用安卓及IOS系统手机APP接入管理服务器，基于Redfish规范的SSDP自动发现协议，支持网管通过SSDP报文识别新接入服务器设备</w:t>
            </w:r>
          </w:p>
        </w:tc>
      </w:tr>
      <w:tr w14:paraId="4E99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3" w:type="pct"/>
            <w:noWrap w:val="0"/>
            <w:vAlign w:val="top"/>
          </w:tcPr>
          <w:p w14:paraId="018F061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696" w:type="pct"/>
            <w:noWrap/>
            <w:vAlign w:val="center"/>
          </w:tcPr>
          <w:p w14:paraId="76E45F8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安全性</w:t>
            </w:r>
          </w:p>
        </w:tc>
        <w:tc>
          <w:tcPr>
            <w:tcW w:w="3751" w:type="pct"/>
            <w:noWrap w:val="0"/>
            <w:vAlign w:val="center"/>
          </w:tcPr>
          <w:p w14:paraId="20484A5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支持基于Kerberos协议的用户认证管理机制，基于芯片可信根实现固件启动前的完整性校验，支持TLS 1.2、TLS 1.3版本，支持SNMP功能及SHA256/SHA384/SHA512鉴权和AES256加密算法</w:t>
            </w:r>
          </w:p>
        </w:tc>
      </w:tr>
    </w:tbl>
    <w:p w14:paraId="570AEE50">
      <w:pPr>
        <w:autoSpaceDE w:val="0"/>
        <w:autoSpaceDN w:val="0"/>
        <w:adjustRightInd w:val="0"/>
        <w:spacing w:line="360" w:lineRule="auto"/>
        <w:jc w:val="left"/>
        <w:rPr>
          <w:rFonts w:hint="eastAsia" w:ascii="宋体" w:hAnsi="宋体" w:eastAsia="宋体" w:cs="宋体"/>
          <w:kern w:val="0"/>
          <w:sz w:val="24"/>
          <w:szCs w:val="24"/>
        </w:rPr>
      </w:pPr>
    </w:p>
    <w:p w14:paraId="40B7DC7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四、售后服务要求</w:t>
      </w:r>
    </w:p>
    <w:p w14:paraId="133E62F3">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1、★提供不少于三年原厂维护服务。</w:t>
      </w:r>
    </w:p>
    <w:p w14:paraId="009CB1C8">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rPr>
        <w:tab/>
      </w:r>
      <w:r>
        <w:rPr>
          <w:rFonts w:hint="eastAsia" w:ascii="宋体" w:hAnsi="宋体" w:eastAsia="宋体" w:cs="宋体"/>
          <w:kern w:val="0"/>
          <w:sz w:val="24"/>
          <w:szCs w:val="24"/>
        </w:rPr>
        <w:t>响应时间：7*24小时电话及现场响应。</w:t>
      </w:r>
    </w:p>
    <w:p w14:paraId="4456D0B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rPr>
        <w:tab/>
      </w:r>
      <w:r>
        <w:rPr>
          <w:rFonts w:hint="eastAsia" w:ascii="宋体" w:hAnsi="宋体" w:eastAsia="宋体" w:cs="宋体"/>
          <w:kern w:val="0"/>
          <w:sz w:val="24"/>
          <w:szCs w:val="24"/>
        </w:rPr>
        <w:t>▲非工作日，当系统出现严重故障，投标人按7*24*2响应服务，派工程师到现场响应服务。</w:t>
      </w:r>
    </w:p>
    <w:p w14:paraId="6BF421A4">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4、</w:t>
      </w:r>
      <w:r>
        <w:rPr>
          <w:rFonts w:hint="eastAsia" w:ascii="宋体" w:hAnsi="宋体" w:eastAsia="宋体" w:cs="宋体"/>
          <w:kern w:val="0"/>
          <w:sz w:val="24"/>
          <w:szCs w:val="24"/>
        </w:rPr>
        <w:tab/>
      </w:r>
      <w:r>
        <w:rPr>
          <w:rFonts w:hint="eastAsia" w:ascii="宋体" w:hAnsi="宋体" w:eastAsia="宋体" w:cs="宋体"/>
          <w:kern w:val="0"/>
          <w:sz w:val="24"/>
          <w:szCs w:val="24"/>
        </w:rPr>
        <w:t>提供热线支持服务及远程故障诊断服务。   </w:t>
      </w:r>
    </w:p>
    <w:p w14:paraId="0744B1E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rPr>
        <w:tab/>
      </w:r>
      <w:r>
        <w:rPr>
          <w:rFonts w:hint="eastAsia" w:ascii="宋体" w:hAnsi="宋体" w:eastAsia="宋体" w:cs="宋体"/>
          <w:kern w:val="0"/>
          <w:sz w:val="24"/>
          <w:szCs w:val="24"/>
        </w:rPr>
        <w:t>提供原厂备件及技术支持服务。</w:t>
      </w:r>
    </w:p>
    <w:p w14:paraId="41B7CB3C">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kern w:val="0"/>
          <w:sz w:val="24"/>
          <w:szCs w:val="24"/>
        </w:rPr>
        <w:tab/>
      </w:r>
      <w:r>
        <w:rPr>
          <w:rFonts w:hint="eastAsia" w:ascii="宋体" w:hAnsi="宋体" w:eastAsia="宋体" w:cs="宋体"/>
          <w:kern w:val="0"/>
          <w:sz w:val="24"/>
          <w:szCs w:val="24"/>
        </w:rPr>
        <w:t>技术咨询：使用中遇到操作、工作流程不清晰、系统维护等技术上问题时，提供咨询服务，技术人员将负责详细解答。</w:t>
      </w:r>
    </w:p>
    <w:p w14:paraId="7A9AEA00">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7、</w:t>
      </w:r>
      <w:r>
        <w:rPr>
          <w:rFonts w:hint="eastAsia" w:ascii="宋体" w:hAnsi="宋体" w:eastAsia="宋体" w:cs="宋体"/>
          <w:kern w:val="0"/>
          <w:sz w:val="24"/>
          <w:szCs w:val="24"/>
        </w:rPr>
        <w:tab/>
      </w:r>
      <w:r>
        <w:rPr>
          <w:rFonts w:hint="eastAsia" w:ascii="宋体" w:hAnsi="宋体" w:eastAsia="宋体" w:cs="宋体"/>
          <w:kern w:val="0"/>
          <w:sz w:val="24"/>
          <w:szCs w:val="24"/>
        </w:rPr>
        <w:t>系统定期优化：定期为招标人进行系统优化，对服务器端的系统性能进行例行检查和优化工作。</w:t>
      </w:r>
    </w:p>
    <w:p w14:paraId="7899725F">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8、</w:t>
      </w:r>
      <w:r>
        <w:rPr>
          <w:rFonts w:hint="eastAsia" w:ascii="宋体" w:hAnsi="宋体" w:eastAsia="宋体" w:cs="宋体"/>
          <w:kern w:val="0"/>
          <w:sz w:val="24"/>
          <w:szCs w:val="24"/>
        </w:rPr>
        <w:tab/>
      </w:r>
      <w:r>
        <w:rPr>
          <w:rFonts w:hint="eastAsia" w:ascii="宋体" w:hAnsi="宋体" w:eastAsia="宋体" w:cs="宋体"/>
          <w:kern w:val="0"/>
          <w:sz w:val="24"/>
          <w:szCs w:val="24"/>
        </w:rPr>
        <w:t>软件版本升级：质保期内，有新版本软件推出时，进行现有模块功能的版本升级。</w:t>
      </w:r>
    </w:p>
    <w:p w14:paraId="7150F079">
      <w:pPr>
        <w:autoSpaceDE w:val="0"/>
        <w:autoSpaceDN w:val="0"/>
        <w:adjustRightInd w:val="0"/>
        <w:spacing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五、★投标人需为所有投标货物制造厂家，或具备合法代理资质的经营销售企业（提供投标截止日在有效期内的制造厂家授权书或代理证明文件）；</w:t>
      </w:r>
    </w:p>
    <w:p w14:paraId="3B252181">
      <w:pPr>
        <w:adjustRightInd w:val="0"/>
        <w:snapToGrid w:val="0"/>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六、</w:t>
      </w:r>
      <w:r>
        <w:rPr>
          <w:rFonts w:hint="eastAsia" w:ascii="宋体" w:hAnsi="宋体" w:eastAsia="宋体" w:cs="宋体"/>
          <w:b w:val="0"/>
          <w:bCs/>
          <w:color w:val="000000" w:themeColor="text1"/>
          <w:sz w:val="24"/>
          <w:szCs w:val="24"/>
          <w14:textFill>
            <w14:solidFill>
              <w14:schemeClr w14:val="tx1"/>
            </w14:solidFill>
          </w14:textFill>
        </w:rPr>
        <w:t>商务要求</w:t>
      </w:r>
    </w:p>
    <w:p w14:paraId="334CE1E7">
      <w:pPr>
        <w:pStyle w:val="15"/>
        <w:numPr>
          <w:ilvl w:val="0"/>
          <w:numId w:val="1"/>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交付日期：合同签订后60天内</w:t>
      </w:r>
    </w:p>
    <w:p w14:paraId="10902231">
      <w:pPr>
        <w:pStyle w:val="15"/>
        <w:numPr>
          <w:ilvl w:val="0"/>
          <w:numId w:val="1"/>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交付地点：招标人指定地点</w:t>
      </w:r>
    </w:p>
    <w:p w14:paraId="30C3FC78">
      <w:pPr>
        <w:pStyle w:val="15"/>
        <w:numPr>
          <w:ilvl w:val="0"/>
          <w:numId w:val="1"/>
        </w:numPr>
        <w:adjustRightInd w:val="0"/>
        <w:snapToGrid w:val="0"/>
        <w:spacing w:line="360" w:lineRule="auto"/>
        <w:ind w:left="425" w:leftChars="0" w:hanging="425"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付款方式：</w:t>
      </w:r>
    </w:p>
    <w:p w14:paraId="611676BE">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交货验收合格并安装调试后，招标方根据医院付款流程，支付合同款项100%。</w:t>
      </w:r>
    </w:p>
    <w:p w14:paraId="24DD97B1">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最高限价</w:t>
      </w:r>
    </w:p>
    <w:p w14:paraId="3F937189">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人民币</w:t>
      </w:r>
      <w:r>
        <w:rPr>
          <w:rFonts w:hint="eastAsia" w:ascii="宋体" w:hAnsi="宋体" w:eastAsia="宋体" w:cs="宋体"/>
          <w:color w:val="000000" w:themeColor="text1"/>
          <w:sz w:val="24"/>
          <w:szCs w:val="24"/>
          <w:lang w:val="en-US" w:eastAsia="zh-CN"/>
          <w14:textFill>
            <w14:solidFill>
              <w14:schemeClr w14:val="tx1"/>
            </w14:solidFill>
          </w14:textFill>
        </w:rPr>
        <w:t>170</w:t>
      </w:r>
      <w:r>
        <w:rPr>
          <w:rFonts w:hint="eastAsia" w:ascii="宋体" w:hAnsi="宋体" w:eastAsia="宋体" w:cs="宋体"/>
          <w:color w:val="000000" w:themeColor="text1"/>
          <w:sz w:val="24"/>
          <w:szCs w:val="24"/>
          <w:lang w:eastAsia="zh-CN"/>
          <w14:textFill>
            <w14:solidFill>
              <w14:schemeClr w14:val="tx1"/>
            </w14:solidFill>
          </w14:textFill>
        </w:rPr>
        <w:t>.00万元</w:t>
      </w:r>
    </w:p>
    <w:p w14:paraId="2F700BA9">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ab/>
      </w:r>
      <w:r>
        <w:rPr>
          <w:rFonts w:hint="eastAsia" w:ascii="宋体" w:hAnsi="宋体" w:eastAsia="宋体" w:cs="宋体"/>
          <w:color w:val="000000" w:themeColor="text1"/>
          <w:sz w:val="24"/>
          <w:szCs w:val="24"/>
          <w:lang w:eastAsia="zh-CN"/>
          <w14:textFill>
            <w14:solidFill>
              <w14:schemeClr w14:val="tx1"/>
            </w14:solidFill>
          </w14:textFill>
        </w:rPr>
        <w:t>资格条件</w:t>
      </w:r>
    </w:p>
    <w:p w14:paraId="6981DE86">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（1）具有合法经营资质的独立法人、其他组织；</w:t>
      </w:r>
    </w:p>
    <w:p w14:paraId="474ABF68">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（2）未被“信用中国”网站（www.creditchina.gov.cn）列入失信被执行人名单、重大税收违法案件当事人名单，且未被中国政府采购网（www.ccgp.gov.cn）列入政府采购严重违法失信行为记录名单；</w:t>
      </w:r>
    </w:p>
    <w:p w14:paraId="6D619CF8">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（3）本项目不接受联合体投标。</w:t>
      </w:r>
    </w:p>
    <w:p w14:paraId="70BFAD92">
      <w:pPr>
        <w:pStyle w:val="15"/>
        <w:numPr>
          <w:ilvl w:val="0"/>
          <w:numId w:val="0"/>
        </w:numPr>
        <w:adjustRightInd w:val="0"/>
        <w:snapToGrid w:val="0"/>
        <w:spacing w:line="360" w:lineRule="auto"/>
        <w:ind w:leftChars="0"/>
        <w:rPr>
          <w:rFonts w:hint="eastAsia" w:ascii="宋体" w:hAnsi="宋体" w:eastAsia="宋体" w:cs="宋体"/>
          <w:color w:val="000000" w:themeColor="text1"/>
          <w:sz w:val="24"/>
          <w:szCs w:val="24"/>
          <w:lang w:eastAsia="zh-CN"/>
          <w14:textFill>
            <w14:solidFill>
              <w14:schemeClr w14:val="tx1"/>
            </w14:solidFill>
          </w14:textFill>
        </w:rPr>
      </w:pPr>
    </w:p>
    <w:p w14:paraId="4C02E06A">
      <w:pPr>
        <w:adjustRightInd w:val="0"/>
        <w:snapToGrid w:val="0"/>
        <w:spacing w:line="360" w:lineRule="auto"/>
        <w:rPr>
          <w:rFonts w:hint="eastAsia" w:ascii="宋体" w:hAnsi="宋体" w:eastAsia="宋体" w:cs="宋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9BA43"/>
    <w:multiLevelType w:val="singleLevel"/>
    <w:tmpl w:val="8499BA4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N2YyNGE3MGRmODA3YWUxMTEzMzYyNzE2N2EyZGMifQ=="/>
  </w:docVars>
  <w:rsids>
    <w:rsidRoot w:val="00802568"/>
    <w:rsid w:val="00097888"/>
    <w:rsid w:val="000B35DF"/>
    <w:rsid w:val="0013594E"/>
    <w:rsid w:val="001B75E0"/>
    <w:rsid w:val="001C1877"/>
    <w:rsid w:val="001D1C86"/>
    <w:rsid w:val="002E581F"/>
    <w:rsid w:val="00442A8D"/>
    <w:rsid w:val="007E4B52"/>
    <w:rsid w:val="00802568"/>
    <w:rsid w:val="0090336E"/>
    <w:rsid w:val="009D50C6"/>
    <w:rsid w:val="00B43BBE"/>
    <w:rsid w:val="00BE15FC"/>
    <w:rsid w:val="00C6537D"/>
    <w:rsid w:val="00DE00A7"/>
    <w:rsid w:val="00E327F1"/>
    <w:rsid w:val="00F33866"/>
    <w:rsid w:val="0D995E8D"/>
    <w:rsid w:val="0F235F40"/>
    <w:rsid w:val="14094B03"/>
    <w:rsid w:val="1DC57AE4"/>
    <w:rsid w:val="216A0D73"/>
    <w:rsid w:val="31785D43"/>
    <w:rsid w:val="49B50201"/>
    <w:rsid w:val="54294421"/>
    <w:rsid w:val="582D1057"/>
    <w:rsid w:val="65E840C9"/>
    <w:rsid w:val="6D3A0424"/>
    <w:rsid w:val="7950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pPr>
      <w:jc w:val="left"/>
    </w:pPr>
  </w:style>
  <w:style w:type="paragraph" w:styleId="3">
    <w:name w:val="Body Text Indent"/>
    <w:basedOn w:val="1"/>
    <w:qFormat/>
    <w:uiPriority w:val="99"/>
    <w:pPr>
      <w:spacing w:line="480" w:lineRule="exact"/>
      <w:ind w:firstLine="525"/>
    </w:pPr>
    <w:rPr>
      <w:rFonts w:ascii="宋体" w:eastAsia="宋体"/>
      <w:sz w:val="24"/>
      <w:szCs w:val="2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autoRedefine/>
    <w:semiHidden/>
    <w:unhideWhenUsed/>
    <w:qFormat/>
    <w:uiPriority w:val="99"/>
    <w:rPr>
      <w:b/>
      <w:bCs/>
    </w:rPr>
  </w:style>
  <w:style w:type="character" w:styleId="10">
    <w:name w:val="page number"/>
    <w:qFormat/>
    <w:uiPriority w:val="0"/>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6"/>
    <w:autoRedefine/>
    <w:qFormat/>
    <w:uiPriority w:val="99"/>
    <w:rPr>
      <w:sz w:val="18"/>
      <w:szCs w:val="18"/>
    </w:rPr>
  </w:style>
  <w:style w:type="character" w:customStyle="1" w:styleId="13">
    <w:name w:val="页脚 字符"/>
    <w:basedOn w:val="9"/>
    <w:link w:val="5"/>
    <w:autoRedefine/>
    <w:qFormat/>
    <w:uiPriority w:val="99"/>
    <w:rPr>
      <w:sz w:val="18"/>
      <w:szCs w:val="18"/>
    </w:rPr>
  </w:style>
  <w:style w:type="character" w:customStyle="1" w:styleId="14">
    <w:name w:val="NormalCharacter"/>
    <w:autoRedefine/>
    <w:semiHidden/>
    <w:qFormat/>
    <w:uiPriority w:val="0"/>
  </w:style>
  <w:style w:type="paragraph" w:styleId="15">
    <w:name w:val="List Paragraph"/>
    <w:basedOn w:val="1"/>
    <w:autoRedefine/>
    <w:qFormat/>
    <w:uiPriority w:val="34"/>
    <w:pPr>
      <w:ind w:firstLine="420" w:firstLineChars="200"/>
    </w:pPr>
  </w:style>
  <w:style w:type="character" w:customStyle="1" w:styleId="16">
    <w:name w:val="批注文字 字符"/>
    <w:basedOn w:val="9"/>
    <w:link w:val="2"/>
    <w:autoRedefine/>
    <w:semiHidden/>
    <w:qFormat/>
    <w:uiPriority w:val="99"/>
  </w:style>
  <w:style w:type="character" w:customStyle="1" w:styleId="17">
    <w:name w:val="批注主题 字符"/>
    <w:basedOn w:val="16"/>
    <w:link w:val="7"/>
    <w:autoRedefine/>
    <w:semiHidden/>
    <w:qFormat/>
    <w:uiPriority w:val="99"/>
    <w:rPr>
      <w:b/>
      <w:bCs/>
    </w:rPr>
  </w:style>
  <w:style w:type="character" w:customStyle="1" w:styleId="18">
    <w:name w:val="批注框文本 字符"/>
    <w:basedOn w:val="9"/>
    <w:link w:val="4"/>
    <w:autoRedefine/>
    <w:semiHidden/>
    <w:qFormat/>
    <w:uiPriority w:val="99"/>
    <w:rPr>
      <w:sz w:val="18"/>
      <w:szCs w:val="18"/>
    </w:rPr>
  </w:style>
  <w:style w:type="paragraph" w:customStyle="1" w:styleId="19">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8</Pages>
  <Words>3804</Words>
  <Characters>4722</Characters>
  <Lines>20</Lines>
  <Paragraphs>5</Paragraphs>
  <TotalTime>0</TotalTime>
  <ScaleCrop>false</ScaleCrop>
  <LinksUpToDate>false</LinksUpToDate>
  <CharactersWithSpaces>4836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Windows 用户</dc:creator>
  <cp:lastModifiedBy>qujiafeng</cp:lastModifiedBy>
  <dcterms:modified xsi:type="dcterms:W3CDTF">2024-09-10T06:29:34Z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5BA4D0E65F324D6CAF1CDD63B8D3D2DE_12</vt:lpwstr>
  </property>
</Properties>
</file>