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3B531">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一、项目概述</w:t>
      </w:r>
    </w:p>
    <w:p w14:paraId="284AC35D">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1、项目名称：全国儿童先天性心脏病多中心数据库</w:t>
      </w:r>
    </w:p>
    <w:p w14:paraId="573580DA">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2、交付期限：合同生效后4个月内</w:t>
      </w:r>
    </w:p>
    <w:p w14:paraId="3A9D22A2">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3、服务地点：上海交通大学医学院附属新华医院</w:t>
      </w:r>
    </w:p>
    <w:p w14:paraId="394668DC">
      <w:pPr>
        <w:adjustRightInd w:val="0"/>
        <w:snapToGrid w:val="0"/>
        <w:spacing w:line="360" w:lineRule="auto"/>
        <w:jc w:val="left"/>
        <w:rPr>
          <w:rFonts w:asciiTheme="minorEastAsia" w:hAnsiTheme="minorEastAsia" w:eastAsiaTheme="minorEastAsia"/>
          <w:sz w:val="24"/>
        </w:rPr>
      </w:pPr>
    </w:p>
    <w:p w14:paraId="5D3188C0">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二、基本要求</w:t>
      </w:r>
    </w:p>
    <w:p w14:paraId="5B0EA1DB">
      <w:pPr>
        <w:adjustRightInd w:val="0"/>
        <w:snapToGrid w:val="0"/>
        <w:spacing w:line="360" w:lineRule="auto"/>
        <w:jc w:val="left"/>
        <w:rPr>
          <w:rFonts w:eastAsia="宋体" w:asciiTheme="minorEastAsia" w:hAnsiTheme="minorEastAsia"/>
          <w:color w:val="auto"/>
          <w:sz w:val="24"/>
        </w:rPr>
      </w:pPr>
      <w:r>
        <w:rPr>
          <w:rFonts w:hint="eastAsia" w:eastAsia="宋体" w:asciiTheme="minorEastAsia" w:hAnsiTheme="minorEastAsia"/>
          <w:color w:val="auto"/>
          <w:sz w:val="24"/>
        </w:rPr>
        <w:t>1、采购标的需实现的目标（项目概况）：建设中国儿童先心病全息多模态数据库，汇集多中心先心病相关临床、随访、生物样本和组学数据，集中进行数据高质量转化和共享，为建设中国高质量、高标准公开数据库提供坚实的数据基础和安全的交互平台。</w:t>
      </w:r>
    </w:p>
    <w:p w14:paraId="024CA9DF">
      <w:pPr>
        <w:adjustRightInd w:val="0"/>
        <w:snapToGrid w:val="0"/>
        <w:spacing w:line="360" w:lineRule="auto"/>
        <w:jc w:val="left"/>
        <w:rPr>
          <w:rFonts w:eastAsia="宋体" w:asciiTheme="minorEastAsia" w:hAnsiTheme="minorEastAsia"/>
          <w:color w:val="auto"/>
          <w:sz w:val="24"/>
        </w:rPr>
      </w:pPr>
      <w:r>
        <w:rPr>
          <w:rFonts w:hint="eastAsia" w:eastAsia="宋体" w:asciiTheme="minorEastAsia" w:hAnsiTheme="minorEastAsia"/>
          <w:color w:val="auto"/>
          <w:sz w:val="24"/>
        </w:rPr>
        <w:t>2、采购清单</w:t>
      </w:r>
    </w:p>
    <w:tbl>
      <w:tblPr>
        <w:tblStyle w:val="9"/>
        <w:tblW w:w="5000" w:type="pct"/>
        <w:tblInd w:w="0" w:type="dxa"/>
        <w:tblLayout w:type="fixed"/>
        <w:tblCellMar>
          <w:top w:w="0" w:type="dxa"/>
          <w:left w:w="108" w:type="dxa"/>
          <w:bottom w:w="0" w:type="dxa"/>
          <w:right w:w="108" w:type="dxa"/>
        </w:tblCellMar>
      </w:tblPr>
      <w:tblGrid>
        <w:gridCol w:w="1016"/>
        <w:gridCol w:w="2367"/>
        <w:gridCol w:w="5139"/>
      </w:tblGrid>
      <w:tr w14:paraId="304CB0BA">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4B64E7F3">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序号</w:t>
            </w:r>
          </w:p>
        </w:tc>
        <w:tc>
          <w:tcPr>
            <w:tcW w:w="1389" w:type="pct"/>
            <w:tcBorders>
              <w:top w:val="single" w:color="auto" w:sz="4" w:space="0"/>
              <w:left w:val="single" w:color="auto" w:sz="4" w:space="0"/>
              <w:bottom w:val="single" w:color="auto" w:sz="4" w:space="0"/>
              <w:right w:val="single" w:color="auto" w:sz="4" w:space="0"/>
            </w:tcBorders>
            <w:shd w:val="clear" w:color="auto" w:fill="auto"/>
            <w:noWrap/>
          </w:tcPr>
          <w:p w14:paraId="7BFADCB7">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子系统</w:t>
            </w:r>
          </w:p>
        </w:tc>
        <w:tc>
          <w:tcPr>
            <w:tcW w:w="3015" w:type="pct"/>
            <w:tcBorders>
              <w:top w:val="single" w:color="auto" w:sz="4" w:space="0"/>
              <w:left w:val="nil"/>
              <w:bottom w:val="single" w:color="auto" w:sz="4" w:space="0"/>
              <w:right w:val="single" w:color="auto" w:sz="4" w:space="0"/>
            </w:tcBorders>
            <w:shd w:val="clear" w:color="auto" w:fill="auto"/>
            <w:noWrap/>
          </w:tcPr>
          <w:p w14:paraId="3DD3CD0E">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功能模块</w:t>
            </w:r>
          </w:p>
        </w:tc>
      </w:tr>
      <w:tr w14:paraId="59E0D1A4">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23B3566D">
            <w:pPr>
              <w:numPr>
                <w:ilvl w:val="0"/>
                <w:numId w:val="1"/>
              </w:numPr>
              <w:adjustRightInd w:val="0"/>
              <w:snapToGrid w:val="0"/>
              <w:spacing w:line="360" w:lineRule="auto"/>
              <w:jc w:val="left"/>
              <w:rPr>
                <w:rFonts w:eastAsia="宋体" w:asciiTheme="minorEastAsia" w:hAnsiTheme="minorEastAsia"/>
                <w:sz w:val="24"/>
              </w:rPr>
            </w:pPr>
          </w:p>
        </w:tc>
        <w:tc>
          <w:tcPr>
            <w:tcW w:w="1389" w:type="pct"/>
            <w:tcBorders>
              <w:top w:val="single" w:color="auto" w:sz="4" w:space="0"/>
              <w:left w:val="single" w:color="auto" w:sz="4" w:space="0"/>
              <w:bottom w:val="single" w:color="auto" w:sz="4" w:space="0"/>
              <w:right w:val="single" w:color="auto" w:sz="4" w:space="0"/>
            </w:tcBorders>
            <w:shd w:val="clear" w:color="auto" w:fill="auto"/>
            <w:noWrap/>
          </w:tcPr>
          <w:p w14:paraId="6CB77500">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专病数据集</w:t>
            </w:r>
          </w:p>
        </w:tc>
        <w:tc>
          <w:tcPr>
            <w:tcW w:w="3015" w:type="pct"/>
            <w:tcBorders>
              <w:top w:val="single" w:color="auto" w:sz="4" w:space="0"/>
              <w:left w:val="nil"/>
              <w:bottom w:val="single" w:color="auto" w:sz="4" w:space="0"/>
              <w:right w:val="single" w:color="auto" w:sz="4" w:space="0"/>
            </w:tcBorders>
            <w:shd w:val="clear" w:color="auto" w:fill="auto"/>
            <w:noWrap/>
          </w:tcPr>
          <w:p w14:paraId="77577E0C">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儿童先心病专病数据集</w:t>
            </w:r>
          </w:p>
        </w:tc>
      </w:tr>
      <w:tr w14:paraId="1EBA8AEF">
        <w:tblPrEx>
          <w:tblCellMar>
            <w:top w:w="0" w:type="dxa"/>
            <w:left w:w="108" w:type="dxa"/>
            <w:bottom w:w="0" w:type="dxa"/>
            <w:right w:w="108" w:type="dxa"/>
          </w:tblCellMar>
        </w:tblPrEx>
        <w:trPr>
          <w:trHeight w:val="390" w:hRule="atLeast"/>
        </w:trPr>
        <w:tc>
          <w:tcPr>
            <w:tcW w:w="596" w:type="pct"/>
            <w:tcBorders>
              <w:top w:val="single" w:color="auto" w:sz="4" w:space="0"/>
              <w:left w:val="single" w:color="auto" w:sz="4" w:space="0"/>
              <w:bottom w:val="single" w:color="auto" w:sz="4" w:space="0"/>
              <w:right w:val="single" w:color="auto" w:sz="4" w:space="0"/>
            </w:tcBorders>
          </w:tcPr>
          <w:p w14:paraId="268DB2FA">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restart"/>
            <w:tcBorders>
              <w:top w:val="single" w:color="auto" w:sz="4" w:space="0"/>
              <w:left w:val="single" w:color="auto" w:sz="4" w:space="0"/>
              <w:right w:val="single" w:color="auto" w:sz="4" w:space="0"/>
            </w:tcBorders>
            <w:shd w:val="clear" w:color="auto" w:fill="auto"/>
            <w:noWrap/>
          </w:tcPr>
          <w:p w14:paraId="5FBFD203">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数据汇集</w:t>
            </w:r>
          </w:p>
        </w:tc>
        <w:tc>
          <w:tcPr>
            <w:tcW w:w="3015" w:type="pct"/>
            <w:tcBorders>
              <w:top w:val="single" w:color="auto" w:sz="4" w:space="0"/>
              <w:left w:val="nil"/>
              <w:bottom w:val="single" w:color="auto" w:sz="4" w:space="0"/>
              <w:right w:val="single" w:color="auto" w:sz="4" w:space="0"/>
            </w:tcBorders>
            <w:shd w:val="clear" w:color="auto" w:fill="auto"/>
            <w:noWrap/>
          </w:tcPr>
          <w:p w14:paraId="6371FB90">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分中心历史数据采集</w:t>
            </w:r>
          </w:p>
        </w:tc>
      </w:tr>
      <w:tr w14:paraId="0D67F33B">
        <w:tblPrEx>
          <w:tblCellMar>
            <w:top w:w="0" w:type="dxa"/>
            <w:left w:w="108" w:type="dxa"/>
            <w:bottom w:w="0" w:type="dxa"/>
            <w:right w:w="108" w:type="dxa"/>
          </w:tblCellMar>
        </w:tblPrEx>
        <w:trPr>
          <w:trHeight w:val="390" w:hRule="atLeast"/>
        </w:trPr>
        <w:tc>
          <w:tcPr>
            <w:tcW w:w="596" w:type="pct"/>
            <w:tcBorders>
              <w:top w:val="single" w:color="auto" w:sz="4" w:space="0"/>
              <w:left w:val="single" w:color="auto" w:sz="4" w:space="0"/>
              <w:bottom w:val="single" w:color="auto" w:sz="4" w:space="0"/>
              <w:right w:val="single" w:color="auto" w:sz="4" w:space="0"/>
            </w:tcBorders>
          </w:tcPr>
          <w:p w14:paraId="3AE4576B">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left w:val="single" w:color="auto" w:sz="4" w:space="0"/>
              <w:right w:val="single" w:color="auto" w:sz="4" w:space="0"/>
            </w:tcBorders>
            <w:shd w:val="clear" w:color="auto" w:fill="auto"/>
            <w:noWrap/>
          </w:tcPr>
          <w:p w14:paraId="59A4E300">
            <w:pPr>
              <w:adjustRightInd w:val="0"/>
              <w:snapToGrid w:val="0"/>
              <w:spacing w:line="360" w:lineRule="auto"/>
              <w:jc w:val="left"/>
              <w:rPr>
                <w:rFonts w:eastAsia="宋体" w:asciiTheme="minorEastAsia" w:hAnsiTheme="minorEastAsia"/>
                <w:sz w:val="24"/>
              </w:rPr>
            </w:pPr>
          </w:p>
        </w:tc>
        <w:tc>
          <w:tcPr>
            <w:tcW w:w="3015" w:type="pct"/>
            <w:tcBorders>
              <w:top w:val="single" w:color="auto" w:sz="4" w:space="0"/>
              <w:left w:val="nil"/>
              <w:bottom w:val="single" w:color="auto" w:sz="4" w:space="0"/>
              <w:right w:val="single" w:color="auto" w:sz="4" w:space="0"/>
            </w:tcBorders>
            <w:shd w:val="clear" w:color="auto" w:fill="auto"/>
            <w:noWrap/>
          </w:tcPr>
          <w:p w14:paraId="4C0E3F0E">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新增数据用户自主填报功能</w:t>
            </w:r>
          </w:p>
        </w:tc>
      </w:tr>
      <w:tr w14:paraId="25CF7ED7">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1A7232BC">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restart"/>
            <w:tcBorders>
              <w:top w:val="single" w:color="auto" w:sz="4" w:space="0"/>
              <w:left w:val="single" w:color="auto" w:sz="4" w:space="0"/>
              <w:bottom w:val="single" w:color="auto" w:sz="4" w:space="0"/>
              <w:right w:val="single" w:color="auto" w:sz="4" w:space="0"/>
            </w:tcBorders>
            <w:shd w:val="clear" w:color="auto" w:fill="auto"/>
            <w:noWrap/>
          </w:tcPr>
          <w:p w14:paraId="6A2C09B7">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数据治理</w:t>
            </w:r>
          </w:p>
        </w:tc>
        <w:tc>
          <w:tcPr>
            <w:tcW w:w="3015" w:type="pct"/>
            <w:tcBorders>
              <w:top w:val="single" w:color="auto" w:sz="4" w:space="0"/>
              <w:left w:val="nil"/>
              <w:bottom w:val="single" w:color="auto" w:sz="4" w:space="0"/>
              <w:right w:val="single" w:color="auto" w:sz="4" w:space="0"/>
            </w:tcBorders>
            <w:shd w:val="clear" w:color="auto" w:fill="auto"/>
            <w:noWrap/>
          </w:tcPr>
          <w:p w14:paraId="1544E598">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患者主索引管理</w:t>
            </w:r>
          </w:p>
        </w:tc>
      </w:tr>
      <w:tr w14:paraId="6E4FA21A">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51E3527C">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3B3688ED">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2B68507A">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数据标准化引擎（变量中心）</w:t>
            </w:r>
          </w:p>
        </w:tc>
      </w:tr>
      <w:tr w14:paraId="3913F04C">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5EABD138">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2E844260">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3FCE9E06">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结构化处理引擎（NLP中心）</w:t>
            </w:r>
          </w:p>
        </w:tc>
      </w:tr>
      <w:tr w14:paraId="4C11D22F">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1AC30B9B">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329B6975">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002EB682">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数据安全管理</w:t>
            </w:r>
          </w:p>
        </w:tc>
      </w:tr>
      <w:tr w14:paraId="707F36B1">
        <w:tblPrEx>
          <w:tblCellMar>
            <w:top w:w="0" w:type="dxa"/>
            <w:left w:w="108" w:type="dxa"/>
            <w:bottom w:w="0" w:type="dxa"/>
            <w:right w:w="108" w:type="dxa"/>
          </w:tblCellMar>
        </w:tblPrEx>
        <w:trPr>
          <w:trHeight w:val="280" w:hRule="atLeast"/>
        </w:trPr>
        <w:tc>
          <w:tcPr>
            <w:tcW w:w="596" w:type="pct"/>
            <w:tcBorders>
              <w:top w:val="single" w:color="auto" w:sz="4" w:space="0"/>
              <w:left w:val="single" w:color="auto" w:sz="4" w:space="0"/>
              <w:bottom w:val="single" w:color="auto" w:sz="4" w:space="0"/>
              <w:right w:val="single" w:color="auto" w:sz="4" w:space="0"/>
            </w:tcBorders>
          </w:tcPr>
          <w:p w14:paraId="169C1B70">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single" w:color="auto" w:sz="4" w:space="0"/>
              <w:left w:val="single" w:color="auto" w:sz="4" w:space="0"/>
              <w:bottom w:val="single" w:color="auto" w:sz="4" w:space="0"/>
              <w:right w:val="single" w:color="auto" w:sz="4" w:space="0"/>
            </w:tcBorders>
            <w:vAlign w:val="center"/>
          </w:tcPr>
          <w:p w14:paraId="2741D529">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4A24B98D">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专病模型管理（表单中心）</w:t>
            </w:r>
          </w:p>
        </w:tc>
      </w:tr>
      <w:tr w14:paraId="143F2B79">
        <w:tblPrEx>
          <w:tblCellMar>
            <w:top w:w="0" w:type="dxa"/>
            <w:left w:w="108" w:type="dxa"/>
            <w:bottom w:w="0" w:type="dxa"/>
            <w:right w:w="108" w:type="dxa"/>
          </w:tblCellMar>
        </w:tblPrEx>
        <w:trPr>
          <w:trHeight w:val="280" w:hRule="atLeast"/>
        </w:trPr>
        <w:tc>
          <w:tcPr>
            <w:tcW w:w="596" w:type="pct"/>
            <w:tcBorders>
              <w:top w:val="nil"/>
              <w:left w:val="single" w:color="auto" w:sz="4" w:space="0"/>
              <w:bottom w:val="single" w:color="auto" w:sz="4" w:space="0"/>
              <w:right w:val="single" w:color="auto" w:sz="4" w:space="0"/>
            </w:tcBorders>
          </w:tcPr>
          <w:p w14:paraId="0EFD1A18">
            <w:pPr>
              <w:numPr>
                <w:ilvl w:val="0"/>
                <w:numId w:val="1"/>
              </w:numPr>
              <w:adjustRightInd w:val="0"/>
              <w:snapToGrid w:val="0"/>
              <w:spacing w:line="360" w:lineRule="auto"/>
              <w:jc w:val="left"/>
              <w:rPr>
                <w:rFonts w:eastAsia="宋体" w:asciiTheme="minorEastAsia" w:hAnsiTheme="minorEastAsia"/>
                <w:sz w:val="24"/>
              </w:rPr>
            </w:pPr>
          </w:p>
        </w:tc>
        <w:tc>
          <w:tcPr>
            <w:tcW w:w="1389" w:type="pct"/>
            <w:tcBorders>
              <w:top w:val="nil"/>
              <w:left w:val="single" w:color="auto" w:sz="4" w:space="0"/>
              <w:bottom w:val="single" w:color="auto" w:sz="4" w:space="0"/>
              <w:right w:val="single" w:color="auto" w:sz="4" w:space="0"/>
            </w:tcBorders>
            <w:shd w:val="clear" w:color="auto" w:fill="auto"/>
          </w:tcPr>
          <w:p w14:paraId="5CB2B55D">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全息多模态数据库</w:t>
            </w:r>
          </w:p>
        </w:tc>
        <w:tc>
          <w:tcPr>
            <w:tcW w:w="3015" w:type="pct"/>
            <w:tcBorders>
              <w:top w:val="nil"/>
              <w:left w:val="nil"/>
              <w:bottom w:val="single" w:color="auto" w:sz="4" w:space="0"/>
              <w:right w:val="single" w:color="auto" w:sz="4" w:space="0"/>
            </w:tcBorders>
            <w:shd w:val="clear" w:color="auto" w:fill="auto"/>
            <w:noWrap/>
          </w:tcPr>
          <w:p w14:paraId="31668126">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中国儿童先心病数据库</w:t>
            </w:r>
          </w:p>
        </w:tc>
      </w:tr>
      <w:tr w14:paraId="0615AAFC">
        <w:tblPrEx>
          <w:tblCellMar>
            <w:top w:w="0" w:type="dxa"/>
            <w:left w:w="108" w:type="dxa"/>
            <w:bottom w:w="0" w:type="dxa"/>
            <w:right w:w="108" w:type="dxa"/>
          </w:tblCellMar>
        </w:tblPrEx>
        <w:trPr>
          <w:trHeight w:val="280" w:hRule="atLeast"/>
        </w:trPr>
        <w:tc>
          <w:tcPr>
            <w:tcW w:w="596" w:type="pct"/>
            <w:tcBorders>
              <w:top w:val="nil"/>
              <w:left w:val="single" w:color="auto" w:sz="4" w:space="0"/>
              <w:bottom w:val="single" w:color="auto" w:sz="4" w:space="0"/>
              <w:right w:val="single" w:color="auto" w:sz="4" w:space="0"/>
            </w:tcBorders>
          </w:tcPr>
          <w:p w14:paraId="0BAF25FF">
            <w:pPr>
              <w:numPr>
                <w:ilvl w:val="0"/>
                <w:numId w:val="1"/>
              </w:numPr>
              <w:adjustRightInd w:val="0"/>
              <w:snapToGrid w:val="0"/>
              <w:spacing w:line="360" w:lineRule="auto"/>
              <w:jc w:val="left"/>
              <w:rPr>
                <w:rFonts w:eastAsia="宋体" w:asciiTheme="minorEastAsia" w:hAnsiTheme="minorEastAsia"/>
                <w:sz w:val="24"/>
              </w:rPr>
            </w:pPr>
          </w:p>
        </w:tc>
        <w:tc>
          <w:tcPr>
            <w:tcW w:w="1389" w:type="pct"/>
            <w:tcBorders>
              <w:top w:val="nil"/>
              <w:left w:val="single" w:color="auto" w:sz="4" w:space="0"/>
              <w:bottom w:val="single" w:color="auto" w:sz="4" w:space="0"/>
              <w:right w:val="single" w:color="auto" w:sz="4" w:space="0"/>
            </w:tcBorders>
            <w:shd w:val="clear" w:color="auto" w:fill="auto"/>
            <w:noWrap/>
          </w:tcPr>
          <w:p w14:paraId="1887D4C5">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数据大屏</w:t>
            </w:r>
          </w:p>
        </w:tc>
        <w:tc>
          <w:tcPr>
            <w:tcW w:w="3015" w:type="pct"/>
            <w:tcBorders>
              <w:top w:val="nil"/>
              <w:left w:val="nil"/>
              <w:bottom w:val="single" w:color="auto" w:sz="4" w:space="0"/>
              <w:right w:val="single" w:color="auto" w:sz="4" w:space="0"/>
            </w:tcBorders>
            <w:shd w:val="clear" w:color="auto" w:fill="auto"/>
            <w:noWrap/>
          </w:tcPr>
          <w:p w14:paraId="6B7A9BAE">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监测数据大屏</w:t>
            </w:r>
          </w:p>
        </w:tc>
      </w:tr>
      <w:tr w14:paraId="52CC0411">
        <w:tblPrEx>
          <w:tblCellMar>
            <w:top w:w="0" w:type="dxa"/>
            <w:left w:w="108" w:type="dxa"/>
            <w:bottom w:w="0" w:type="dxa"/>
            <w:right w:w="108" w:type="dxa"/>
          </w:tblCellMar>
        </w:tblPrEx>
        <w:trPr>
          <w:trHeight w:val="280" w:hRule="atLeast"/>
        </w:trPr>
        <w:tc>
          <w:tcPr>
            <w:tcW w:w="596" w:type="pct"/>
            <w:tcBorders>
              <w:top w:val="nil"/>
              <w:left w:val="single" w:color="auto" w:sz="4" w:space="0"/>
              <w:bottom w:val="single" w:color="000000" w:sz="4" w:space="0"/>
              <w:right w:val="single" w:color="auto" w:sz="4" w:space="0"/>
            </w:tcBorders>
          </w:tcPr>
          <w:p w14:paraId="22772334">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restart"/>
            <w:tcBorders>
              <w:top w:val="nil"/>
              <w:left w:val="single" w:color="auto" w:sz="4" w:space="0"/>
              <w:bottom w:val="single" w:color="000000" w:sz="4" w:space="0"/>
              <w:right w:val="single" w:color="auto" w:sz="4" w:space="0"/>
            </w:tcBorders>
            <w:shd w:val="clear" w:color="auto" w:fill="auto"/>
          </w:tcPr>
          <w:p w14:paraId="67C7B01A">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系统管理</w:t>
            </w:r>
          </w:p>
        </w:tc>
        <w:tc>
          <w:tcPr>
            <w:tcW w:w="3015" w:type="pct"/>
            <w:tcBorders>
              <w:top w:val="nil"/>
              <w:left w:val="nil"/>
              <w:bottom w:val="single" w:color="auto" w:sz="4" w:space="0"/>
              <w:right w:val="single" w:color="auto" w:sz="4" w:space="0"/>
            </w:tcBorders>
            <w:shd w:val="clear" w:color="auto" w:fill="auto"/>
            <w:noWrap/>
          </w:tcPr>
          <w:p w14:paraId="7CE6F7B4">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账户管理</w:t>
            </w:r>
          </w:p>
        </w:tc>
      </w:tr>
      <w:tr w14:paraId="3F8B5D8A">
        <w:tblPrEx>
          <w:tblCellMar>
            <w:top w:w="0" w:type="dxa"/>
            <w:left w:w="108" w:type="dxa"/>
            <w:bottom w:w="0" w:type="dxa"/>
            <w:right w:w="108" w:type="dxa"/>
          </w:tblCellMar>
        </w:tblPrEx>
        <w:trPr>
          <w:trHeight w:val="280" w:hRule="atLeast"/>
        </w:trPr>
        <w:tc>
          <w:tcPr>
            <w:tcW w:w="596" w:type="pct"/>
            <w:tcBorders>
              <w:top w:val="nil"/>
              <w:left w:val="single" w:color="auto" w:sz="4" w:space="0"/>
              <w:bottom w:val="single" w:color="000000" w:sz="4" w:space="0"/>
              <w:right w:val="single" w:color="auto" w:sz="4" w:space="0"/>
            </w:tcBorders>
          </w:tcPr>
          <w:p w14:paraId="04F5687A">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nil"/>
              <w:left w:val="single" w:color="auto" w:sz="4" w:space="0"/>
              <w:bottom w:val="single" w:color="000000" w:sz="4" w:space="0"/>
              <w:right w:val="single" w:color="auto" w:sz="4" w:space="0"/>
            </w:tcBorders>
            <w:vAlign w:val="center"/>
          </w:tcPr>
          <w:p w14:paraId="2C6D5256">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6BE6858C">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下载审计</w:t>
            </w:r>
          </w:p>
        </w:tc>
      </w:tr>
      <w:tr w14:paraId="62BABB56">
        <w:tblPrEx>
          <w:tblCellMar>
            <w:top w:w="0" w:type="dxa"/>
            <w:left w:w="108" w:type="dxa"/>
            <w:bottom w:w="0" w:type="dxa"/>
            <w:right w:w="108" w:type="dxa"/>
          </w:tblCellMar>
        </w:tblPrEx>
        <w:trPr>
          <w:trHeight w:val="280" w:hRule="atLeast"/>
        </w:trPr>
        <w:tc>
          <w:tcPr>
            <w:tcW w:w="596" w:type="pct"/>
            <w:tcBorders>
              <w:top w:val="nil"/>
              <w:left w:val="single" w:color="auto" w:sz="4" w:space="0"/>
              <w:bottom w:val="single" w:color="000000" w:sz="4" w:space="0"/>
              <w:right w:val="single" w:color="auto" w:sz="4" w:space="0"/>
            </w:tcBorders>
          </w:tcPr>
          <w:p w14:paraId="569ED374">
            <w:pPr>
              <w:numPr>
                <w:ilvl w:val="0"/>
                <w:numId w:val="1"/>
              </w:numPr>
              <w:adjustRightInd w:val="0"/>
              <w:snapToGrid w:val="0"/>
              <w:spacing w:line="360" w:lineRule="auto"/>
              <w:jc w:val="left"/>
              <w:rPr>
                <w:rFonts w:eastAsia="宋体" w:asciiTheme="minorEastAsia" w:hAnsiTheme="minorEastAsia"/>
                <w:sz w:val="24"/>
              </w:rPr>
            </w:pPr>
          </w:p>
        </w:tc>
        <w:tc>
          <w:tcPr>
            <w:tcW w:w="1389" w:type="pct"/>
            <w:vMerge w:val="continue"/>
            <w:tcBorders>
              <w:top w:val="nil"/>
              <w:left w:val="single" w:color="auto" w:sz="4" w:space="0"/>
              <w:bottom w:val="single" w:color="000000" w:sz="4" w:space="0"/>
              <w:right w:val="single" w:color="auto" w:sz="4" w:space="0"/>
            </w:tcBorders>
            <w:vAlign w:val="center"/>
          </w:tcPr>
          <w:p w14:paraId="44A90F71">
            <w:pPr>
              <w:adjustRightInd w:val="0"/>
              <w:snapToGrid w:val="0"/>
              <w:spacing w:line="360" w:lineRule="auto"/>
              <w:jc w:val="left"/>
              <w:rPr>
                <w:rFonts w:eastAsia="宋体" w:asciiTheme="minorEastAsia" w:hAnsiTheme="minorEastAsia"/>
                <w:sz w:val="24"/>
              </w:rPr>
            </w:pPr>
          </w:p>
        </w:tc>
        <w:tc>
          <w:tcPr>
            <w:tcW w:w="3015" w:type="pct"/>
            <w:tcBorders>
              <w:top w:val="nil"/>
              <w:left w:val="nil"/>
              <w:bottom w:val="single" w:color="auto" w:sz="4" w:space="0"/>
              <w:right w:val="single" w:color="auto" w:sz="4" w:space="0"/>
            </w:tcBorders>
            <w:shd w:val="clear" w:color="auto" w:fill="auto"/>
            <w:noWrap/>
          </w:tcPr>
          <w:p w14:paraId="3A7C2760">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系统日志</w:t>
            </w:r>
          </w:p>
        </w:tc>
      </w:tr>
    </w:tbl>
    <w:p w14:paraId="0DF57AD6">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3、相关标准：《临床研究专病结构化数据集——常见先天性心脏病》（人民卫生出版社出版，出版日期2024-01-19）</w:t>
      </w:r>
    </w:p>
    <w:p w14:paraId="30F1073C">
      <w:pPr>
        <w:adjustRightInd w:val="0"/>
        <w:snapToGrid w:val="0"/>
        <w:spacing w:line="360" w:lineRule="auto"/>
        <w:jc w:val="left"/>
        <w:rPr>
          <w:rFonts w:eastAsia="宋体" w:asciiTheme="minorEastAsia" w:hAnsiTheme="minorEastAsia"/>
          <w:sz w:val="24"/>
        </w:rPr>
      </w:pPr>
    </w:p>
    <w:p w14:paraId="05896259">
      <w:pPr>
        <w:pStyle w:val="4"/>
        <w:snapToGrid w:val="0"/>
        <w:spacing w:after="120" w:afterLines="50"/>
        <w:outlineLvl w:val="0"/>
        <w:rPr>
          <w:rFonts w:asciiTheme="minorEastAsia" w:hAnsiTheme="minorEastAsia" w:eastAsiaTheme="minorEastAsia"/>
          <w:bCs/>
          <w:sz w:val="24"/>
          <w:szCs w:val="24"/>
        </w:rPr>
      </w:pPr>
      <w:r>
        <w:rPr>
          <w:rFonts w:hint="eastAsia" w:asciiTheme="minorEastAsia" w:hAnsiTheme="minorEastAsia" w:eastAsiaTheme="minorEastAsia"/>
          <w:sz w:val="24"/>
        </w:rPr>
        <w:t>三、服务要求</w:t>
      </w:r>
    </w:p>
    <w:p w14:paraId="02B86FC0">
      <w:pPr>
        <w:numPr>
          <w:ilvl w:val="0"/>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总体技术能力要求</w:t>
      </w:r>
    </w:p>
    <w:p w14:paraId="78A3C375">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系统需采用B/S架构，纯WEB版产品界面，需提供系统界面截图；</w:t>
      </w:r>
    </w:p>
    <w:p w14:paraId="3D8E4DE0">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▲支持基于kubernetes和docker容器编排的部署方案，并可监控容器的运行状态。（需提供部署方案和监控容器运行状态的系统截图证明）</w:t>
      </w:r>
    </w:p>
    <w:p w14:paraId="174E6A36">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支持与新华医院信息系统数据的实时同步，需提供技术方案；</w:t>
      </w:r>
    </w:p>
    <w:p w14:paraId="364D594F">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支持集成多种数据库，如DB2、PostgreSQL、MySQL、ORACLE和SQL Server；</w:t>
      </w:r>
    </w:p>
    <w:p w14:paraId="5067EE4F">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提供性能监视器功能，能对设定的关键指标进行监控；</w:t>
      </w:r>
    </w:p>
    <w:p w14:paraId="3E2E38E5">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具备汇集和展示10家以上分中心数据的能力；</w:t>
      </w:r>
    </w:p>
    <w:p w14:paraId="0E498E20">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产品稳定性要求：系统支持7*24小时不间断运行；</w:t>
      </w:r>
    </w:p>
    <w:p w14:paraId="36DE0870">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★系统所汇集的全国先心病多中心数据，支持纳入全院科研平台统一管理，并提供技术方案及与本项目类似的平台对接的截图证明。</w:t>
      </w:r>
    </w:p>
    <w:p w14:paraId="7EF68DF8">
      <w:pPr>
        <w:numPr>
          <w:ilvl w:val="0"/>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数据治理能力要求</w:t>
      </w:r>
    </w:p>
    <w:p w14:paraId="53B168C4">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服务厂商需具备以下数据治理能力：</w:t>
      </w:r>
    </w:p>
    <w:p w14:paraId="580D02D7">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数据集成及整合过程的标准化：实现数据的集成，通过各种数据治理手段，结合标准的医疗术语的标准规范管理，实现数据的标准化、结构化，并实现数据治理过程中的完整性、自洽性、一致性；支持科室、病区、诊断编码、疾病、药品、检验、检查等关键业务编码的统一。</w:t>
      </w:r>
    </w:p>
    <w:p w14:paraId="0632D191">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支持不同数据来源的数据：充分考虑数据源格式的多样性，比如各自不同的数据库格式、文本文件格式、XML格式等，支持结构化数据、半结构化或非结构化数据。</w:t>
      </w:r>
    </w:p>
    <w:p w14:paraId="669E6AE2">
      <w:pPr>
        <w:numPr>
          <w:ilvl w:val="1"/>
          <w:numId w:val="2"/>
        </w:numPr>
        <w:adjustRightInd w:val="0"/>
        <w:snapToGrid w:val="0"/>
        <w:spacing w:line="360" w:lineRule="auto"/>
        <w:jc w:val="left"/>
        <w:rPr>
          <w:rFonts w:eastAsia="宋体" w:asciiTheme="minorEastAsia" w:hAnsiTheme="minorEastAsia"/>
          <w:color w:val="auto"/>
          <w:sz w:val="24"/>
        </w:rPr>
      </w:pPr>
      <w:r>
        <w:rPr>
          <w:rFonts w:hint="eastAsia" w:eastAsia="宋体" w:asciiTheme="minorEastAsia" w:hAnsiTheme="minorEastAsia"/>
          <w:sz w:val="24"/>
        </w:rPr>
        <w:t>支持不同数据生成阶段的数据：由于数据生成的时期、部门、设备、技术、能力等不</w:t>
      </w:r>
      <w:r>
        <w:rPr>
          <w:rFonts w:hint="eastAsia" w:eastAsia="宋体" w:asciiTheme="minorEastAsia" w:hAnsiTheme="minorEastAsia"/>
          <w:color w:val="auto"/>
          <w:sz w:val="24"/>
        </w:rPr>
        <w:t>同，数据存储管理极为分散，支持通过采用一种通用的标准和规范，提供统一的数据接口，支持多样的数据源。</w:t>
      </w:r>
    </w:p>
    <w:p w14:paraId="66775DAE">
      <w:pPr>
        <w:numPr>
          <w:ilvl w:val="0"/>
          <w:numId w:val="2"/>
        </w:numPr>
        <w:adjustRightInd w:val="0"/>
        <w:snapToGrid w:val="0"/>
        <w:spacing w:line="360" w:lineRule="auto"/>
        <w:jc w:val="left"/>
        <w:rPr>
          <w:rFonts w:eastAsia="宋体" w:asciiTheme="minorEastAsia" w:hAnsiTheme="minorEastAsia"/>
          <w:color w:val="auto"/>
          <w:sz w:val="24"/>
        </w:rPr>
      </w:pPr>
      <w:r>
        <w:rPr>
          <w:rFonts w:hint="eastAsia" w:eastAsia="宋体" w:asciiTheme="minorEastAsia" w:hAnsiTheme="minorEastAsia"/>
          <w:color w:val="auto"/>
          <w:sz w:val="24"/>
        </w:rPr>
        <w:t>产品功能要求</w:t>
      </w:r>
    </w:p>
    <w:p w14:paraId="0C51C68A">
      <w:pPr>
        <w:numPr>
          <w:ilvl w:val="1"/>
          <w:numId w:val="2"/>
        </w:numPr>
        <w:adjustRightInd w:val="0"/>
        <w:snapToGrid w:val="0"/>
        <w:spacing w:line="360" w:lineRule="auto"/>
        <w:jc w:val="left"/>
        <w:rPr>
          <w:rFonts w:eastAsia="宋体" w:asciiTheme="minorEastAsia" w:hAnsiTheme="minorEastAsia"/>
          <w:color w:val="auto"/>
          <w:sz w:val="24"/>
        </w:rPr>
      </w:pPr>
      <w:r>
        <w:rPr>
          <w:rFonts w:hint="eastAsia" w:eastAsia="宋体" w:asciiTheme="minorEastAsia" w:hAnsiTheme="minorEastAsia"/>
          <w:color w:val="auto"/>
          <w:sz w:val="24"/>
        </w:rPr>
        <w:t>专病数据集——儿童先心病专病数据集</w:t>
      </w:r>
    </w:p>
    <w:p w14:paraId="383A45F2">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支持根据《临床研究专病结构化数据集——常见先天性心脏病》（人民卫生出版社出版，出版日期2024-01-19）标准，结合医院研究方向，进行中国儿童先心病专病数据集修订。</w:t>
      </w:r>
    </w:p>
    <w:p w14:paraId="2E9A1607">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数据汇集</w:t>
      </w:r>
    </w:p>
    <w:p w14:paraId="684BDE76">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分中心历史数据采集</w:t>
      </w:r>
    </w:p>
    <w:p w14:paraId="41A23F7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支持根据确定的中国儿童先心病专病数据集，对协作医院的近5年相关历史数据进行集成，支持新增数据用户可在系统中进行自主填报。</w:t>
      </w:r>
    </w:p>
    <w:p w14:paraId="086A8A76">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支持根据确定的中国儿童先心病专病数据集，对除了新华医院外的其他分中心的数据采集提供技术支持。</w:t>
      </w:r>
    </w:p>
    <w:p w14:paraId="7A4E817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支持常规临床数据、影像数据等多模态数据采集。</w:t>
      </w:r>
    </w:p>
    <w:p w14:paraId="66ECFAAD">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新增数据用户自主填报功能</w:t>
      </w:r>
    </w:p>
    <w:p w14:paraId="30CABA8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支持分中心对新增数据通过excel、人工录入等方式实现自主上传。</w:t>
      </w:r>
    </w:p>
    <w:p w14:paraId="6C63B61F">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数据治理</w:t>
      </w:r>
    </w:p>
    <w:p w14:paraId="484EA99D">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患者主索引管理</w:t>
      </w:r>
    </w:p>
    <w:p w14:paraId="0CCDCAAC">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▲支持建立多中心患者主索引，通过智能化数据算法完成患者主索引处理。（提供技术方案及功能设计截图）</w:t>
      </w:r>
    </w:p>
    <w:p w14:paraId="4DE4EBC5">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数据标准化引擎（变量中心）</w:t>
      </w:r>
    </w:p>
    <w:p w14:paraId="6235C2C0">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▲支持借助变量中心实现医学术语标准映射，术语维护、术语对照、术语概念归一、术语管理。（提供技术方案及功能设计截图）</w:t>
      </w:r>
    </w:p>
    <w:p w14:paraId="437D25F4">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结构化处理引擎（NLP中心）</w:t>
      </w:r>
    </w:p>
    <w:p w14:paraId="3325D231">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▲支持借助自然语言处理技术（NLP），通过NLP中心实现医学文本结构化，支持医学文本溯源、标注、NLP结构化术语概念归一等功能。（提供技术方案及功能设计截图）</w:t>
      </w:r>
    </w:p>
    <w:p w14:paraId="4CFD5F64">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数据安全管理</w:t>
      </w:r>
    </w:p>
    <w:p w14:paraId="2F416502">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支持数据安全管理，包括数据去隐私、数据调阅及下载的权限管理等功能。</w:t>
      </w:r>
    </w:p>
    <w:p w14:paraId="7ACCC3DB">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专病模型管理（表单中心）</w:t>
      </w:r>
    </w:p>
    <w:p w14:paraId="1C82A95D">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▲支持根据中国儿童先心病专病数据集标准，进展专病模型配置。（提供技术方案及功能设计截图）</w:t>
      </w:r>
    </w:p>
    <w:p w14:paraId="5BA8118D">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支持启用和停用专病模型，支持专病模型扩展。</w:t>
      </w:r>
    </w:p>
    <w:p w14:paraId="59B633F9">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全息多模态数据库</w:t>
      </w:r>
    </w:p>
    <w:p w14:paraId="3DF4CAEC">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中国儿童先心病数据库</w:t>
      </w:r>
    </w:p>
    <w:p w14:paraId="7319960D">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提供中国儿童先心病数据库入组患者首页、数据仓库和患者列表展示。</w:t>
      </w:r>
    </w:p>
    <w:p w14:paraId="379E5427">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专病库首页</w:t>
      </w:r>
    </w:p>
    <w:p w14:paraId="500F3781">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专病库首页展示专病库建设概览，通过对纳排条件描述、入组样本量展示、患者纳排情况展示、关注变量填充率分布、值域分布等展示，展现高质量的专病数据库概况。需满足以下功能：</w:t>
      </w:r>
    </w:p>
    <w:p w14:paraId="72D139CF">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支持纳排条件展示，入组患者数量，样本时间跨度展示；</w:t>
      </w:r>
    </w:p>
    <w:p w14:paraId="5FA3B441">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支持每个用户自定义关注变量并在首页展示关注变量的数据情况；</w:t>
      </w:r>
    </w:p>
    <w:p w14:paraId="26471DC5">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支持展示关注变量的数据填充情况；</w:t>
      </w:r>
    </w:p>
    <w:p w14:paraId="114DE796">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支持展示关注变量的结果可视化分布图。</w:t>
      </w:r>
    </w:p>
    <w:p w14:paraId="74BA10DF">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数据仓库</w:t>
      </w:r>
    </w:p>
    <w:p w14:paraId="212641BC">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专病数据仓库会全方位的展现定制专病数据集的建设情况，将每个变量填充率、变量的具体结果用图表展示，快速让用户浏览目前专病库的科研变量资产的数据明细。需满足以下功能：</w:t>
      </w:r>
    </w:p>
    <w:p w14:paraId="53B4938D">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以二维表形式进行专病库数据集的专病域及变量的展示，包括患者基本信息，就诊记录，症状，诊断，实验室检查，药物治疗，影像学检查，既往病史，个人史，嗜好品信息，婚育史，家族史，体格检查，生命体征，护理记录等；</w:t>
      </w:r>
    </w:p>
    <w:p w14:paraId="518D6249">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支持通过切换专病域查看变量及患者数据；</w:t>
      </w:r>
    </w:p>
    <w:p w14:paraId="38007119">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支持父子关系域的层级展示，支持自由选择父子变量是否展示在同一张表内；</w:t>
      </w:r>
    </w:p>
    <w:p w14:paraId="03FF991D">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支持展示当前域下专病库内的患者总数、变量数及总计记录条数；</w:t>
      </w:r>
    </w:p>
    <w:p w14:paraId="7FA19684">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支持展示每个变量的填充率，支持空值数据的人工补录功能；</w:t>
      </w:r>
    </w:p>
    <w:p w14:paraId="751853DD">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支持变量的排序及筛选。</w:t>
      </w:r>
    </w:p>
    <w:p w14:paraId="415646B0">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专病患者列表</w:t>
      </w:r>
    </w:p>
    <w:p w14:paraId="25E29C17">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专病患者列表展示入库患者基本信息及数据填充进度，满足以下功能：</w:t>
      </w:r>
    </w:p>
    <w:p w14:paraId="018AE325">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支持展示专病库所有的纳入患者，患者数量，最新一例患者入组时间，并支持搜索、支持每个用户自定义关注变量并展示每个患者的变量结果；</w:t>
      </w:r>
    </w:p>
    <w:p w14:paraId="4838AC2D">
      <w:pPr>
        <w:numPr>
          <w:ilvl w:val="4"/>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支持展示每个患者的专病库CRF表单填充进度，支持查看患者CRF表单的具体填充情况。</w:t>
      </w:r>
    </w:p>
    <w:p w14:paraId="41321ADB">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数据大屏</w:t>
      </w:r>
    </w:p>
    <w:p w14:paraId="3A3D2710">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监测数据大屏</w:t>
      </w:r>
    </w:p>
    <w:p w14:paraId="5710730B">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支持为中国儿童先心病数据库入库数据大屏展示，支持大屏数据动态更新。</w:t>
      </w:r>
    </w:p>
    <w:p w14:paraId="5D10ABB9">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支持按分中心所在的不同省/直辖市，在地图中标记入库患者数量，支持点击不同省/直辖市，展示不同疾病名称下的入库的患者数量</w:t>
      </w:r>
    </w:p>
    <w:p w14:paraId="6398B857">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支持按照所选择的不同时间、不同分中心名称，展示不同疾病名称下入库的患者数量</w:t>
      </w:r>
    </w:p>
    <w:p w14:paraId="74E4BD2A">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支持按照所选择的不同时间、不同分中心名称，展示籍贯来自不同来源省/直辖市的患者数量</w:t>
      </w:r>
    </w:p>
    <w:p w14:paraId="0639F31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支持按照所选择的不同时间、不同分中心名称，展示分中心收治的患者数量</w:t>
      </w:r>
    </w:p>
    <w:p w14:paraId="783066F0">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支持按照所选择的不同疾病名称，统计和展示人流量分布图</w:t>
      </w:r>
    </w:p>
    <w:p w14:paraId="73EA095C">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支持按照所选择的不同疾病名称，统计和展示患儿出院转归结局分布图</w:t>
      </w:r>
    </w:p>
    <w:p w14:paraId="7475F825">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支持按照所选择的不同疾病名称，统计和展示不同手术名称及编码下的患者数量</w:t>
      </w:r>
    </w:p>
    <w:p w14:paraId="2D1A4BDB">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系统管理</w:t>
      </w:r>
    </w:p>
    <w:p w14:paraId="64DCE8BF">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账户管理</w:t>
      </w:r>
    </w:p>
    <w:p w14:paraId="09D9DF93">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支持中国儿童先心病数据库多中心用户管理，支持添加用户、删除用户。</w:t>
      </w:r>
    </w:p>
    <w:p w14:paraId="0662CB5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支持为不同中心用户配置不同数据权限，支持各中心用户查阅、质控本中心专病数据。</w:t>
      </w:r>
    </w:p>
    <w:p w14:paraId="17209B22">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下载审计</w:t>
      </w:r>
    </w:p>
    <w:p w14:paraId="58EC33DA">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支持下载导出文件到本地，支持查看个人历史导出记录，支持历史可按类型筛选和查询。</w:t>
      </w:r>
    </w:p>
    <w:p w14:paraId="788E1D7D">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系统日志</w:t>
      </w:r>
    </w:p>
    <w:p w14:paraId="7F0E48CE">
      <w:pPr>
        <w:numPr>
          <w:ilvl w:val="3"/>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支持统计系统用户登录</w:t>
      </w:r>
      <w:r>
        <w:rPr>
          <w:rFonts w:hint="eastAsia" w:eastAsia="宋体" w:asciiTheme="minorEastAsia" w:hAnsiTheme="minorEastAsia"/>
          <w:sz w:val="24"/>
          <w:lang w:eastAsia="zh-CN"/>
        </w:rPr>
        <w:t>、</w:t>
      </w:r>
      <w:r>
        <w:rPr>
          <w:rFonts w:hint="eastAsia" w:eastAsia="宋体" w:asciiTheme="minorEastAsia" w:hAnsiTheme="minorEastAsia"/>
          <w:sz w:val="24"/>
        </w:rPr>
        <w:t>登出</w:t>
      </w:r>
      <w:r>
        <w:rPr>
          <w:rFonts w:hint="eastAsia" w:eastAsia="宋体" w:asciiTheme="minorEastAsia" w:hAnsiTheme="minorEastAsia"/>
          <w:sz w:val="24"/>
          <w:lang w:val="en-US" w:eastAsia="zh-CN"/>
        </w:rPr>
        <w:t>和</w:t>
      </w:r>
      <w:r>
        <w:rPr>
          <w:rFonts w:hint="eastAsia" w:eastAsia="宋体" w:asciiTheme="minorEastAsia" w:hAnsiTheme="minorEastAsia"/>
          <w:sz w:val="24"/>
        </w:rPr>
        <w:t>变更、搜索、导出等操作记录。</w:t>
      </w:r>
    </w:p>
    <w:p w14:paraId="620C058A">
      <w:pPr>
        <w:numPr>
          <w:ilvl w:val="0"/>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项目实施与售后要求</w:t>
      </w:r>
    </w:p>
    <w:p w14:paraId="023D5EF8">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总体要求</w:t>
      </w:r>
    </w:p>
    <w:p w14:paraId="07710FC9">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系统提供商应本着认真负责态度，组织技术队伍，认真做好项目的实施工作。在签订合同前，提出具体实施、服务、维护以及今后技术支持的措施计划。</w:t>
      </w:r>
    </w:p>
    <w:p w14:paraId="1CCAAABA">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提供商应配合项目推进需要，积极参与和配合分中心进行合作协议签署推进、数据出院申请等相关材料的准备和技术支持。其中，合作协议签署推进过程中的相关材料包括但不限于项目方案简介、主中心伦理批件、主中心立项批件，以及根据主中心的立项材料准备分中心的院内伦理审批材料等；数据出院申请相关材料包括多方数据保密协议签署、数据用途说明等。需支持分中心合作推进过程中的问题答疑。（需提供相关承诺说明）</w:t>
      </w:r>
    </w:p>
    <w:p w14:paraId="57F6A7AD">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系统提供商应配合项</w:t>
      </w:r>
      <w:r>
        <w:rPr>
          <w:rFonts w:hint="eastAsia" w:eastAsia="宋体" w:asciiTheme="minorEastAsia" w:hAnsiTheme="minorEastAsia"/>
          <w:color w:val="auto"/>
          <w:sz w:val="24"/>
        </w:rPr>
        <w:t>目推进需求，支持全国范围内出差时提供本地化的数据提取技术支持</w:t>
      </w:r>
      <w:r>
        <w:rPr>
          <w:rFonts w:hint="eastAsia" w:eastAsia="宋体" w:asciiTheme="minorEastAsia" w:hAnsiTheme="minorEastAsia"/>
          <w:sz w:val="24"/>
        </w:rPr>
        <w:t>。</w:t>
      </w:r>
    </w:p>
    <w:p w14:paraId="2C8B8AD4">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项目组织管理要求</w:t>
      </w:r>
    </w:p>
    <w:p w14:paraId="0059A343">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投标人须充分考虑满足投标项目的建设要求，提出完整的项目管理、系统设计与开发、培训、项目施工、项目验收、售后服务方案。</w:t>
      </w:r>
    </w:p>
    <w:p w14:paraId="09D8F651">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投标人在投标文件中，须根据对项目的理解做出项目的人员配置管理计划，包括组织结构、项目负责人、组成人员及分工职责。</w:t>
      </w:r>
    </w:p>
    <w:p w14:paraId="636E4503">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文档交付要求</w:t>
      </w:r>
    </w:p>
    <w:p w14:paraId="185A662A">
      <w:p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应用系统开发应严格按照国家软件工程规范进行，在整个项目实施过程中，须根据开发进度，按照医院要求及时提供用户相关技术文档，包括：</w:t>
      </w:r>
    </w:p>
    <w:p w14:paraId="5F0E1AE5">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准备阶段：《实施方案》；</w:t>
      </w:r>
    </w:p>
    <w:p w14:paraId="3B2AA187">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需求分析阶段：定制化开发部分《需求分析说明书》；</w:t>
      </w:r>
    </w:p>
    <w:p w14:paraId="6D8385D1">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设计阶段：定制化开发部分《概要设计说明书》、第三方系统对接相关《接口说明书》；</w:t>
      </w:r>
    </w:p>
    <w:p w14:paraId="69B19198">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测试阶段：《测试用例》、《测试报告》；</w:t>
      </w:r>
    </w:p>
    <w:p w14:paraId="5C2B58FF">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上线阶段：《上线方案》、《试运行/上线报告》；</w:t>
      </w:r>
    </w:p>
    <w:p w14:paraId="0602143E">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过程文档：《培训计划》、《培训记录》、《例会记录》；</w:t>
      </w:r>
    </w:p>
    <w:p w14:paraId="18CF4DB1">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交付使用：《用户手册》。</w:t>
      </w:r>
    </w:p>
    <w:p w14:paraId="63E4377F">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安全及隐私要求</w:t>
      </w:r>
    </w:p>
    <w:p w14:paraId="4531E5D1">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信息安全是任何业务开展的基础，投标人对于本次项目涉及的相关信息的安全和隐私保护措施，给出详细可行的解决方案，包括但不限于应用审计安全、用户权限控制等。</w:t>
      </w:r>
    </w:p>
    <w:p w14:paraId="264A653C">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建设工期</w:t>
      </w:r>
    </w:p>
    <w:p w14:paraId="0F1A6E44">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合同签订后4个月内，完成本项目内容整体交付工作。</w:t>
      </w:r>
    </w:p>
    <w:p w14:paraId="0404D46A">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培训要求</w:t>
      </w:r>
    </w:p>
    <w:p w14:paraId="48559257">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14:paraId="15DBF76A">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验收要求</w:t>
      </w:r>
    </w:p>
    <w:p w14:paraId="32AF4EE3">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应用软件由建设方与医院一起验收，同时就系统的安全性、完整性、易用性、适用性等进行验收。</w:t>
      </w:r>
    </w:p>
    <w:p w14:paraId="0A7228D8">
      <w:pPr>
        <w:numPr>
          <w:ilvl w:val="1"/>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售后服务</w:t>
      </w:r>
    </w:p>
    <w:p w14:paraId="589599CB">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免</w:t>
      </w:r>
      <w:r>
        <w:rPr>
          <w:rFonts w:hint="eastAsia" w:eastAsia="宋体" w:asciiTheme="minorEastAsia" w:hAnsiTheme="minorEastAsia"/>
          <w:color w:val="auto"/>
          <w:sz w:val="24"/>
        </w:rPr>
        <w:t>费提供不少于一年</w:t>
      </w:r>
      <w:r>
        <w:rPr>
          <w:rFonts w:hint="eastAsia" w:eastAsia="宋体" w:asciiTheme="minorEastAsia" w:hAnsiTheme="minorEastAsia"/>
          <w:sz w:val="24"/>
        </w:rPr>
        <w:t>软件升级运维服务。（项目验收后开始计算免费运维期）</w:t>
      </w:r>
    </w:p>
    <w:p w14:paraId="7E39EAD7">
      <w:pPr>
        <w:numPr>
          <w:ilvl w:val="2"/>
          <w:numId w:val="2"/>
        </w:numPr>
        <w:adjustRightInd w:val="0"/>
        <w:snapToGrid w:val="0"/>
        <w:spacing w:line="360" w:lineRule="auto"/>
        <w:jc w:val="left"/>
        <w:rPr>
          <w:rFonts w:eastAsia="宋体" w:asciiTheme="minorEastAsia" w:hAnsiTheme="minorEastAsia"/>
          <w:sz w:val="24"/>
        </w:rPr>
      </w:pPr>
      <w:r>
        <w:rPr>
          <w:rFonts w:hint="eastAsia" w:eastAsia="宋体" w:asciiTheme="minorEastAsia" w:hAnsiTheme="minorEastAsia"/>
          <w:sz w:val="24"/>
        </w:rPr>
        <w:t>投标人必须按招标方指定的方式提供维护服务，包括电话、远程维护等方式。投标人需提供7*24小时支持维护服务。必须保证有足够的人员（专人专职）及技术支持电话负责本系统运维工作，并保证2小时内响应</w:t>
      </w:r>
      <w:r>
        <w:rPr>
          <w:rFonts w:hint="eastAsia" w:eastAsia="宋体" w:asciiTheme="minorEastAsia" w:hAnsiTheme="minorEastAsia"/>
          <w:color w:val="0000FF"/>
          <w:sz w:val="24"/>
        </w:rPr>
        <w:t>、</w:t>
      </w:r>
      <w:r>
        <w:rPr>
          <w:rFonts w:hint="eastAsia" w:eastAsia="宋体" w:asciiTheme="minorEastAsia" w:hAnsiTheme="minorEastAsia"/>
          <w:sz w:val="24"/>
        </w:rPr>
        <w:t>24小时之内解决问题，对于24小时内无法解决的问题，应提出应急措施。</w:t>
      </w:r>
    </w:p>
    <w:p w14:paraId="3F2E079C">
      <w:pPr>
        <w:numPr>
          <w:ilvl w:val="0"/>
          <w:numId w:val="2"/>
        </w:numPr>
        <w:adjustRightInd w:val="0"/>
        <w:snapToGrid w:val="0"/>
        <w:spacing w:line="360" w:lineRule="auto"/>
        <w:ind w:left="425" w:leftChars="0" w:hanging="425" w:firstLineChars="0"/>
        <w:jc w:val="left"/>
        <w:rPr>
          <w:rFonts w:eastAsia="宋体" w:asciiTheme="minorEastAsia" w:hAnsiTheme="minorEastAsia"/>
          <w:color w:val="auto"/>
          <w:sz w:val="24"/>
        </w:rPr>
      </w:pPr>
      <w:r>
        <w:rPr>
          <w:rFonts w:hint="eastAsia" w:eastAsia="宋体" w:asciiTheme="minorEastAsia" w:hAnsiTheme="minorEastAsia"/>
          <w:strike w:val="0"/>
          <w:dstrike w:val="0"/>
          <w:color w:val="auto"/>
          <w:sz w:val="24"/>
          <w:lang w:val="en-US" w:eastAsia="zh-CN"/>
        </w:rPr>
        <w:t>供应商</w:t>
      </w:r>
      <w:r>
        <w:rPr>
          <w:rFonts w:hint="eastAsia" w:eastAsia="宋体" w:asciiTheme="minorEastAsia" w:hAnsiTheme="minorEastAsia"/>
          <w:color w:val="auto"/>
          <w:sz w:val="24"/>
          <w:lang w:val="en-US" w:eastAsia="zh-CN"/>
        </w:rPr>
        <w:t>应保证提供的全部软件产品或其任何一部分时不存在任何侵犯第三者知识产权情况，并保证采购人不受第三方有关知识产权侵权的追索。如果任何第三方提出侵权指控或赔偿要求，</w:t>
      </w:r>
      <w:r>
        <w:rPr>
          <w:rFonts w:hint="eastAsia" w:eastAsia="宋体" w:asciiTheme="minorEastAsia" w:hAnsiTheme="minorEastAsia"/>
          <w:strike w:val="0"/>
          <w:dstrike w:val="0"/>
          <w:color w:val="auto"/>
          <w:sz w:val="24"/>
          <w:lang w:val="en-US" w:eastAsia="zh-CN"/>
        </w:rPr>
        <w:t>供应商</w:t>
      </w:r>
      <w:r>
        <w:rPr>
          <w:rFonts w:hint="eastAsia" w:eastAsia="宋体" w:asciiTheme="minorEastAsia" w:hAnsiTheme="minorEastAsia"/>
          <w:color w:val="auto"/>
          <w:sz w:val="24"/>
          <w:lang w:val="en-US" w:eastAsia="zh-CN"/>
        </w:rPr>
        <w:t>必须与第三方交涉，并承担由此产生的一切法律责任（包括但不限于采购人所受到的损失、侵权赔偿款以及为应诉所产生的费用）。</w:t>
      </w:r>
    </w:p>
    <w:p w14:paraId="5991208B">
      <w:pPr>
        <w:autoSpaceDE w:val="0"/>
        <w:autoSpaceDN w:val="0"/>
        <w:adjustRightInd w:val="0"/>
        <w:spacing w:line="360" w:lineRule="auto"/>
        <w:jc w:val="left"/>
        <w:rPr>
          <w:rFonts w:hint="eastAsia" w:ascii="宋体" w:hAnsi="宋体" w:eastAsia="宋体" w:cs="宋体"/>
          <w:kern w:val="0"/>
          <w:sz w:val="24"/>
          <w:szCs w:val="24"/>
        </w:rPr>
      </w:pPr>
      <w:r>
        <w:rPr>
          <w:rFonts w:hint="eastAsia" w:eastAsia="宋体" w:asciiTheme="minorEastAsia" w:hAnsiTheme="minorEastAsia"/>
          <w:color w:val="auto"/>
          <w:sz w:val="24"/>
          <w:lang w:val="en-US" w:eastAsia="zh-CN"/>
        </w:rPr>
        <w:t>本项目建设过程中专门为医院或根据医院提供的有关信息资料而产生的技术服务成果(不包含投标人背景知识产权)含源代码对医院开放。</w:t>
      </w:r>
      <w:r>
        <w:rPr>
          <w:rFonts w:hint="eastAsia" w:eastAsia="宋体" w:asciiTheme="minorEastAsia" w:hAnsiTheme="minorEastAsia"/>
          <w:strike w:val="0"/>
          <w:dstrike w:val="0"/>
          <w:color w:val="auto"/>
          <w:sz w:val="24"/>
          <w:lang w:val="en-US" w:eastAsia="zh-CN"/>
        </w:rPr>
        <w:t>供应商</w:t>
      </w:r>
      <w:r>
        <w:rPr>
          <w:rFonts w:hint="eastAsia" w:eastAsia="宋体" w:asciiTheme="minorEastAsia" w:hAnsiTheme="minorEastAsia"/>
          <w:color w:val="auto"/>
          <w:sz w:val="24"/>
          <w:lang w:val="en-US" w:eastAsia="zh-CN"/>
        </w:rPr>
        <w:t>的背景知识产权是指本项目建设之前就已经存在的知识产权仍归</w:t>
      </w:r>
      <w:r>
        <w:rPr>
          <w:rFonts w:hint="eastAsia" w:eastAsia="宋体" w:asciiTheme="minorEastAsia" w:hAnsiTheme="minorEastAsia"/>
          <w:strike w:val="0"/>
          <w:dstrike w:val="0"/>
          <w:color w:val="auto"/>
          <w:sz w:val="24"/>
          <w:lang w:val="en-US" w:eastAsia="zh-CN"/>
        </w:rPr>
        <w:t>供应商</w:t>
      </w:r>
      <w:r>
        <w:rPr>
          <w:rFonts w:hint="eastAsia" w:eastAsia="宋体" w:asciiTheme="minorEastAsia" w:hAnsiTheme="minorEastAsia"/>
          <w:color w:val="auto"/>
          <w:sz w:val="24"/>
          <w:lang w:val="en-US" w:eastAsia="zh-CN"/>
        </w:rPr>
        <w:t>所有，不因本</w:t>
      </w:r>
      <w:r>
        <w:rPr>
          <w:rFonts w:hint="eastAsia" w:eastAsia="宋体" w:asciiTheme="minorEastAsia" w:hAnsiTheme="minorEastAsia"/>
          <w:sz w:val="24"/>
          <w:lang w:val="en-US" w:eastAsia="zh-CN"/>
        </w:rPr>
        <w:t>项目建设而发生任何改变。</w:t>
      </w:r>
    </w:p>
    <w:p w14:paraId="77331B90">
      <w:pPr>
        <w:adjustRightInd w:val="0"/>
        <w:snapToGrid w:val="0"/>
        <w:spacing w:line="360" w:lineRule="auto"/>
        <w:rPr>
          <w:rFonts w:hint="eastAsia" w:ascii="宋体" w:hAnsi="宋体" w:eastAsia="宋体" w:cs="宋体"/>
          <w:b w:val="0"/>
          <w:bCs/>
          <w:color w:val="000000" w:themeColor="text1"/>
          <w:sz w:val="24"/>
          <w:szCs w:val="24"/>
          <w:lang w:val="en-US" w:eastAsia="zh-CN"/>
          <w14:textFill>
            <w14:solidFill>
              <w14:schemeClr w14:val="tx1"/>
            </w14:solidFill>
          </w14:textFill>
        </w:rPr>
      </w:pPr>
    </w:p>
    <w:p w14:paraId="2AE51A5B">
      <w:pPr>
        <w:adjustRightInd w:val="0"/>
        <w:snapToGrid w:val="0"/>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w:t>
      </w:r>
      <w:r>
        <w:rPr>
          <w:rFonts w:hint="eastAsia" w:ascii="宋体" w:hAnsi="宋体" w:eastAsia="宋体" w:cs="宋体"/>
          <w:b w:val="0"/>
          <w:bCs/>
          <w:color w:val="000000" w:themeColor="text1"/>
          <w:sz w:val="24"/>
          <w:szCs w:val="24"/>
          <w14:textFill>
            <w14:solidFill>
              <w14:schemeClr w14:val="tx1"/>
            </w14:solidFill>
          </w14:textFill>
        </w:rPr>
        <w:t>商务要求</w:t>
      </w:r>
    </w:p>
    <w:p w14:paraId="06A8AAA3">
      <w:pPr>
        <w:pStyle w:val="16"/>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交付期限：合同生效后4个月内</w:t>
      </w:r>
    </w:p>
    <w:p w14:paraId="755AFC9B">
      <w:pPr>
        <w:pStyle w:val="16"/>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服务地点：上海交通大学医学院附属新华医院</w:t>
      </w:r>
    </w:p>
    <w:p w14:paraId="00150A09">
      <w:pPr>
        <w:pStyle w:val="16"/>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p w14:paraId="09393087">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（1）本项目自签约后开始实施，乙方按照项目实施计划进行项目实施工作，并经过甲方阶段性验收后（产品上线），根据医院付款流程，向乙方支付本合同项目总金额40%的合同款。</w:t>
      </w:r>
    </w:p>
    <w:p w14:paraId="19DA2B8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（2）本项目自验收合格之日起，且甲方在收到乙方开具的有效发票后，根据医院付款流程，向乙方支付本合同项目总金额50%的合同款。</w:t>
      </w:r>
    </w:p>
    <w:p w14:paraId="670F2766">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（3）本项目剩余的合同款按实际维保期月份数/合同约定维保月份数折算，实际未维保月份不予支付。甲方在收到乙方开具的有效发票后，根据医院付款流程，向乙方支付。</w:t>
      </w:r>
    </w:p>
    <w:p w14:paraId="520088CB">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最高限价</w:t>
      </w:r>
    </w:p>
    <w:p w14:paraId="15BDC753">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人民币53.625万元</w:t>
      </w:r>
    </w:p>
    <w:p w14:paraId="605C98CC">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资格条件</w:t>
      </w:r>
    </w:p>
    <w:p w14:paraId="2B248498">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bookmarkStart w:id="0" w:name="_Hlk70410439"/>
      <w:r>
        <w:rPr>
          <w:rFonts w:hint="eastAsia" w:ascii="宋体" w:hAnsi="宋体" w:eastAsia="宋体" w:cs="宋体"/>
          <w:color w:val="000000" w:themeColor="text1"/>
          <w:sz w:val="24"/>
          <w:szCs w:val="24"/>
          <w:lang w:eastAsia="zh-CN"/>
          <w14:textFill>
            <w14:solidFill>
              <w14:schemeClr w14:val="tx1"/>
            </w14:solidFill>
          </w14:textFill>
        </w:rPr>
        <w:t>（1）</w:t>
      </w:r>
      <w:bookmarkEnd w:id="0"/>
      <w:r>
        <w:rPr>
          <w:rFonts w:hint="eastAsia" w:ascii="宋体" w:hAnsi="宋体" w:eastAsia="宋体" w:cs="宋体"/>
          <w:color w:val="000000" w:themeColor="text1"/>
          <w:sz w:val="24"/>
          <w:szCs w:val="24"/>
          <w:lang w:eastAsia="zh-CN"/>
          <w14:textFill>
            <w14:solidFill>
              <w14:schemeClr w14:val="tx1"/>
            </w14:solidFill>
          </w14:textFill>
        </w:rPr>
        <w:t>具有合法经营资质的独立法人、其他组织；</w:t>
      </w:r>
      <w:bookmarkStart w:id="1" w:name="_GoBack"/>
      <w:bookmarkEnd w:id="1"/>
    </w:p>
    <w:p w14:paraId="40568EB4">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（2）未被“信用中国”网站（www.creditchina.gov.cn）失信被执行人名单、重大税收违法案件当事人名单、未被中国政府采购网（www.ccgp.gov.cn）列入政府采购严重违法失信行为记录名单；</w:t>
      </w:r>
    </w:p>
    <w:p w14:paraId="57C166DF">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（3）本项目不接受联合体参与。</w:t>
      </w:r>
    </w:p>
    <w:p w14:paraId="0C37CED7">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p>
    <w:p w14:paraId="42FF1D07">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abstractNum w:abstractNumId="1">
    <w:nsid w:val="1B5D3A46"/>
    <w:multiLevelType w:val="singleLevel"/>
    <w:tmpl w:val="1B5D3A46"/>
    <w:lvl w:ilvl="0" w:tentative="0">
      <w:start w:val="1"/>
      <w:numFmt w:val="decimal"/>
      <w:lvlText w:val="%1."/>
      <w:lvlJc w:val="left"/>
      <w:pPr>
        <w:ind w:left="425" w:hanging="425"/>
      </w:pPr>
      <w:rPr>
        <w:rFonts w:hint="default"/>
      </w:rPr>
    </w:lvl>
  </w:abstractNum>
  <w:abstractNum w:abstractNumId="2">
    <w:nsid w:val="3F62C33E"/>
    <w:multiLevelType w:val="multilevel"/>
    <w:tmpl w:val="3F62C33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14094B03"/>
    <w:rsid w:val="1DC57AE4"/>
    <w:rsid w:val="30161F54"/>
    <w:rsid w:val="31785D43"/>
    <w:rsid w:val="40B07836"/>
    <w:rsid w:val="54294421"/>
    <w:rsid w:val="57D77217"/>
    <w:rsid w:val="582D1057"/>
    <w:rsid w:val="65E840C9"/>
    <w:rsid w:val="6BCC2673"/>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Plain Text"/>
    <w:basedOn w:val="1"/>
    <w:qFormat/>
    <w:uiPriority w:val="0"/>
    <w:pPr>
      <w:adjustRightInd w:val="0"/>
      <w:textAlignment w:val="baseline"/>
    </w:pPr>
    <w:rPr>
      <w:rFonts w:ascii="宋体" w:hAnsi="Courier New" w:eastAsia="宋体"/>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5235</Words>
  <Characters>6180</Characters>
  <Lines>20</Lines>
  <Paragraphs>5</Paragraphs>
  <TotalTime>0</TotalTime>
  <ScaleCrop>false</ScaleCrop>
  <LinksUpToDate>false</LinksUpToDate>
  <CharactersWithSpaces>6199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2024-09-30T05:47:07Z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5BA4D0E65F324D6CAF1CDD63B8D3D2DE_12</vt:lpwstr>
  </property>
</Properties>
</file>