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442D8" w14:textId="77777777" w:rsidR="00731F40" w:rsidRDefault="001109E5">
      <w:pPr>
        <w:adjustRightInd w:val="0"/>
        <w:snapToGrid w:val="0"/>
        <w:spacing w:line="360" w:lineRule="auto"/>
        <w:rPr>
          <w:rFonts w:ascii="宋体" w:eastAsia="宋体" w:hAnsi="宋体"/>
          <w:b/>
          <w:sz w:val="28"/>
          <w:szCs w:val="28"/>
        </w:rPr>
      </w:pPr>
      <w:r>
        <w:rPr>
          <w:rFonts w:ascii="宋体" w:eastAsia="宋体" w:hAnsi="宋体" w:hint="eastAsia"/>
          <w:b/>
          <w:sz w:val="28"/>
          <w:szCs w:val="28"/>
        </w:rPr>
        <w:t>一、项目名称</w:t>
      </w:r>
    </w:p>
    <w:p w14:paraId="0FF52E44" w14:textId="77777777" w:rsidR="00731F40" w:rsidRDefault="001109E5">
      <w:pPr>
        <w:adjustRightInd w:val="0"/>
        <w:snapToGrid w:val="0"/>
        <w:spacing w:line="360" w:lineRule="auto"/>
        <w:rPr>
          <w:rFonts w:ascii="宋体" w:eastAsia="宋体" w:hAnsi="宋体"/>
          <w:sz w:val="28"/>
          <w:szCs w:val="28"/>
        </w:rPr>
      </w:pPr>
      <w:r>
        <w:rPr>
          <w:rFonts w:ascii="宋体" w:eastAsia="宋体" w:hAnsi="宋体" w:hint="eastAsia"/>
          <w:sz w:val="28"/>
          <w:szCs w:val="28"/>
        </w:rPr>
        <w:t>上海交通大学医学院附属新华医院奉贤院区信息化建设项目安全测评服务项目</w:t>
      </w:r>
    </w:p>
    <w:p w14:paraId="4BFC995B" w14:textId="77777777" w:rsidR="00731F40" w:rsidRDefault="001109E5">
      <w:pPr>
        <w:adjustRightInd w:val="0"/>
        <w:snapToGrid w:val="0"/>
        <w:spacing w:line="360" w:lineRule="auto"/>
        <w:rPr>
          <w:rFonts w:ascii="宋体" w:eastAsia="宋体" w:hAnsi="宋体"/>
          <w:b/>
          <w:sz w:val="28"/>
          <w:szCs w:val="28"/>
        </w:rPr>
      </w:pPr>
      <w:r>
        <w:rPr>
          <w:rFonts w:ascii="宋体" w:eastAsia="宋体" w:hAnsi="宋体" w:hint="eastAsia"/>
          <w:b/>
          <w:sz w:val="28"/>
          <w:szCs w:val="28"/>
        </w:rPr>
        <w:t>二、项目参数</w:t>
      </w:r>
    </w:p>
    <w:p w14:paraId="349409CE" w14:textId="77777777" w:rsidR="00731F40" w:rsidRDefault="001109E5">
      <w:pPr>
        <w:adjustRightInd w:val="0"/>
        <w:snapToGrid w:val="0"/>
        <w:spacing w:line="360" w:lineRule="auto"/>
        <w:rPr>
          <w:rFonts w:ascii="宋体" w:eastAsia="宋体" w:hAnsi="宋体"/>
          <w:b/>
          <w:sz w:val="28"/>
          <w:szCs w:val="28"/>
        </w:rPr>
      </w:pPr>
      <w:r>
        <w:rPr>
          <w:rFonts w:ascii="宋体" w:eastAsia="宋体" w:hAnsi="宋体" w:hint="eastAsia"/>
          <w:b/>
          <w:sz w:val="28"/>
          <w:szCs w:val="28"/>
        </w:rPr>
        <w:t>（一）项目内容及要求</w:t>
      </w:r>
    </w:p>
    <w:p w14:paraId="2E490432" w14:textId="77777777" w:rsidR="00731F40" w:rsidRDefault="001109E5">
      <w:pPr>
        <w:pStyle w:val="a"/>
        <w:ind w:left="142" w:hanging="6"/>
        <w:rPr>
          <w:rFonts w:ascii="宋体" w:eastAsia="宋体" w:hAnsi="宋体"/>
          <w:sz w:val="28"/>
          <w:szCs w:val="28"/>
        </w:rPr>
      </w:pPr>
      <w:r>
        <w:rPr>
          <w:rFonts w:ascii="宋体" w:eastAsia="宋体" w:hAnsi="宋体" w:hint="eastAsia"/>
          <w:sz w:val="28"/>
          <w:szCs w:val="28"/>
        </w:rPr>
        <w:t>服务要求</w:t>
      </w:r>
    </w:p>
    <w:p w14:paraId="4232BC45" w14:textId="1C856ACA" w:rsidR="00731F40" w:rsidRDefault="001109E5">
      <w:pPr>
        <w:spacing w:line="360" w:lineRule="auto"/>
        <w:ind w:left="142" w:firstLineChars="200" w:firstLine="560"/>
        <w:jc w:val="left"/>
        <w:rPr>
          <w:rFonts w:ascii="宋体" w:eastAsia="宋体" w:hAnsi="宋体" w:cs="Arial"/>
          <w:color w:val="000000"/>
          <w:kern w:val="0"/>
          <w:sz w:val="28"/>
          <w:szCs w:val="28"/>
        </w:rPr>
      </w:pPr>
      <w:r>
        <w:rPr>
          <w:rFonts w:ascii="宋体" w:eastAsia="宋体" w:hAnsi="宋体" w:cs="Arial" w:hint="eastAsia"/>
          <w:color w:val="000000"/>
          <w:kern w:val="0"/>
          <w:sz w:val="28"/>
          <w:szCs w:val="28"/>
        </w:rPr>
        <w:t>1</w:t>
      </w:r>
      <w:r>
        <w:rPr>
          <w:rFonts w:ascii="宋体" w:eastAsia="宋体" w:hAnsi="宋体" w:cs="Arial" w:hint="eastAsia"/>
          <w:color w:val="000000"/>
          <w:kern w:val="0"/>
          <w:sz w:val="28"/>
          <w:szCs w:val="28"/>
        </w:rPr>
        <w:t>、交付期限：</w:t>
      </w:r>
      <w:r w:rsidR="00D90C13" w:rsidRPr="00D90C13">
        <w:rPr>
          <w:rFonts w:ascii="宋体" w:eastAsia="宋体" w:hAnsi="宋体" w:cs="Arial" w:hint="eastAsia"/>
          <w:color w:val="000000"/>
          <w:kern w:val="0"/>
          <w:sz w:val="28"/>
          <w:szCs w:val="28"/>
        </w:rPr>
        <w:t>合同签订后4个月内</w:t>
      </w:r>
    </w:p>
    <w:p w14:paraId="2F6D6F32" w14:textId="77777777" w:rsidR="00731F40" w:rsidRDefault="001109E5">
      <w:pPr>
        <w:spacing w:line="360" w:lineRule="auto"/>
        <w:ind w:left="142" w:firstLineChars="200" w:firstLine="560"/>
        <w:jc w:val="left"/>
        <w:rPr>
          <w:rFonts w:ascii="宋体" w:eastAsia="宋体" w:hAnsi="宋体" w:cs="Arial"/>
          <w:color w:val="000000"/>
          <w:kern w:val="0"/>
          <w:sz w:val="28"/>
          <w:szCs w:val="28"/>
        </w:rPr>
      </w:pPr>
      <w:r>
        <w:rPr>
          <w:rFonts w:ascii="宋体" w:eastAsia="宋体" w:hAnsi="宋体" w:cs="Arial" w:hint="eastAsia"/>
          <w:color w:val="000000"/>
          <w:kern w:val="0"/>
          <w:sz w:val="28"/>
          <w:szCs w:val="28"/>
        </w:rPr>
        <w:t>2</w:t>
      </w:r>
      <w:r>
        <w:rPr>
          <w:rFonts w:ascii="宋体" w:eastAsia="宋体" w:hAnsi="宋体" w:cs="Arial" w:hint="eastAsia"/>
          <w:color w:val="000000"/>
          <w:kern w:val="0"/>
          <w:sz w:val="28"/>
          <w:szCs w:val="28"/>
        </w:rPr>
        <w:t>、交付地址：上海市控江路</w:t>
      </w:r>
      <w:r>
        <w:rPr>
          <w:rFonts w:ascii="宋体" w:eastAsia="宋体" w:hAnsi="宋体" w:cs="Arial"/>
          <w:color w:val="000000"/>
          <w:kern w:val="0"/>
          <w:sz w:val="28"/>
          <w:szCs w:val="28"/>
        </w:rPr>
        <w:t>1665</w:t>
      </w:r>
      <w:r>
        <w:rPr>
          <w:rFonts w:ascii="宋体" w:eastAsia="宋体" w:hAnsi="宋体" w:cs="Arial"/>
          <w:color w:val="000000"/>
          <w:kern w:val="0"/>
          <w:sz w:val="28"/>
          <w:szCs w:val="28"/>
        </w:rPr>
        <w:t>号</w:t>
      </w:r>
    </w:p>
    <w:p w14:paraId="144F999F" w14:textId="77777777" w:rsidR="00731F40" w:rsidRDefault="001109E5">
      <w:pPr>
        <w:pStyle w:val="a"/>
        <w:ind w:left="142" w:hanging="6"/>
        <w:rPr>
          <w:rFonts w:ascii="宋体" w:eastAsia="宋体" w:hAnsi="宋体"/>
          <w:sz w:val="28"/>
          <w:szCs w:val="28"/>
        </w:rPr>
      </w:pPr>
      <w:r>
        <w:rPr>
          <w:rFonts w:ascii="宋体" w:eastAsia="宋体" w:hAnsi="宋体" w:hint="eastAsia"/>
          <w:sz w:val="28"/>
          <w:szCs w:val="28"/>
        </w:rPr>
        <w:t>主要目标及技术指标</w:t>
      </w:r>
    </w:p>
    <w:p w14:paraId="66DCC962"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w:t>
      </w:r>
      <w:r w:rsidRPr="00E10F72">
        <w:rPr>
          <w:rFonts w:ascii="宋体" w:eastAsia="宋体" w:hAnsi="宋体" w:hint="eastAsia"/>
          <w:sz w:val="28"/>
          <w:szCs w:val="28"/>
        </w:rPr>
        <w:tab/>
        <w:t>服务详细技术要求：</w:t>
      </w:r>
      <w:r w:rsidRPr="00E10F72">
        <w:rPr>
          <w:rFonts w:ascii="宋体" w:eastAsia="宋体" w:hAnsi="宋体" w:hint="eastAsia"/>
          <w:sz w:val="28"/>
          <w:szCs w:val="28"/>
        </w:rPr>
        <w:tab/>
      </w:r>
    </w:p>
    <w:p w14:paraId="3F26976F"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1.1.</w:t>
      </w:r>
      <w:r w:rsidRPr="00E10F72">
        <w:rPr>
          <w:rFonts w:ascii="宋体" w:eastAsia="宋体" w:hAnsi="宋体" w:hint="eastAsia"/>
          <w:sz w:val="28"/>
          <w:szCs w:val="28"/>
        </w:rPr>
        <w:tab/>
        <w:t>测评范围及需求</w:t>
      </w:r>
    </w:p>
    <w:p w14:paraId="468C4734"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1.1.1.</w:t>
      </w:r>
      <w:r w:rsidRPr="00E10F72">
        <w:rPr>
          <w:rFonts w:ascii="宋体" w:eastAsia="宋体" w:hAnsi="宋体" w:hint="eastAsia"/>
          <w:sz w:val="28"/>
          <w:szCs w:val="28"/>
        </w:rPr>
        <w:tab/>
        <w:t>依据信息化项目建设方案、设计方案等技术文档要求实现的项目目标、技术指标，参考相关安全标准，如《信息安全技术 网络安全等级保护基本要求》（GBT22239-2019）、《信息技术 安全技术 信息技术安全性评估准则》（GB/T 18336-2008），主要对信息系统有关的安全设备、网络设备、主机系统进行安全评估，提供信息系统安全测试报告。安全评测的内容包括项目建设中实现的网络、主机、应用、数据等方面安全技术指标、安全保障措施。安全测评完成后，安全测评单位提交《上海交通大学医学院附属新华医院奉贤院区信息化建设项目安全测评报告》。</w:t>
      </w:r>
    </w:p>
    <w:p w14:paraId="0E94737B"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1.1.2.</w:t>
      </w:r>
      <w:r w:rsidRPr="00E10F72">
        <w:rPr>
          <w:rFonts w:ascii="宋体" w:eastAsia="宋体" w:hAnsi="宋体" w:hint="eastAsia"/>
          <w:sz w:val="28"/>
          <w:szCs w:val="28"/>
        </w:rPr>
        <w:tab/>
        <w:t>安全测评服务过程中，医院信息建设监理单位将协助负责安全测评的相关工作，并监督、协调安全测评服务的执行。</w:t>
      </w:r>
    </w:p>
    <w:p w14:paraId="701EE423"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1.1.3.</w:t>
      </w:r>
      <w:r w:rsidRPr="00E10F72">
        <w:rPr>
          <w:rFonts w:ascii="宋体" w:eastAsia="宋体" w:hAnsi="宋体" w:hint="eastAsia"/>
          <w:sz w:val="28"/>
          <w:szCs w:val="28"/>
        </w:rPr>
        <w:tab/>
        <w:t>供应商必须是采购人认可的有资质的机构。供应商应在上</w:t>
      </w:r>
      <w:r w:rsidRPr="00E10F72">
        <w:rPr>
          <w:rFonts w:ascii="宋体" w:eastAsia="宋体" w:hAnsi="宋体" w:hint="eastAsia"/>
          <w:sz w:val="28"/>
          <w:szCs w:val="28"/>
        </w:rPr>
        <w:lastRenderedPageBreak/>
        <w:t>海地区拥有固定营业场所、有稳定、专业的测评团队，具有良好的信誉；具备信息化相关资质，近三年内具有安全测评经验和医疗卫生信息化类似测评业绩，出具的《上海交通大学医学院附属新华医院奉贤院区信息化建设项目安全测评报告》符合上海市信息化项目技术验收要求。</w:t>
      </w:r>
    </w:p>
    <w:p w14:paraId="6C23043B"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1.2.</w:t>
      </w:r>
      <w:r w:rsidRPr="00E10F72">
        <w:rPr>
          <w:rFonts w:ascii="宋体" w:eastAsia="宋体" w:hAnsi="宋体" w:hint="eastAsia"/>
          <w:sz w:val="28"/>
          <w:szCs w:val="28"/>
        </w:rPr>
        <w:tab/>
        <w:t>测评服务内容</w:t>
      </w:r>
    </w:p>
    <w:p w14:paraId="16662C78"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根据《网络安全法》的要求，并依据信息化项目建设方案、设计方案等技术文档要求实现的项目目标、技术指标，参考相关安全标准，如《信息安全技术 网络安全等级保护基本要求》（GB/T22239-2019）、《信息技术 安全技术 信息技术安全性评估准则》（GB/T 18336-2008），对上海交通大学医学院附属新华医院奉贤院区信息化建设项目提供安全测评服务，每个系统的具体测评技术要求如下：</w:t>
      </w:r>
    </w:p>
    <w:p w14:paraId="68C4B3C2"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1.2.1.</w:t>
      </w:r>
      <w:r w:rsidRPr="00E10F72">
        <w:rPr>
          <w:rFonts w:ascii="宋体" w:eastAsia="宋体" w:hAnsi="宋体" w:hint="eastAsia"/>
          <w:sz w:val="28"/>
          <w:szCs w:val="28"/>
        </w:rPr>
        <w:tab/>
        <w:t>安全物理环境：安全物理环境差距评估将通过访谈、文档审查和实地察看的方式差距评估信息系统的安全物理环境保障情况。主要涉及机房。</w:t>
      </w:r>
    </w:p>
    <w:p w14:paraId="5D311435"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1.2.2.</w:t>
      </w:r>
      <w:r w:rsidRPr="00E10F72">
        <w:rPr>
          <w:rFonts w:ascii="宋体" w:eastAsia="宋体" w:hAnsi="宋体" w:hint="eastAsia"/>
          <w:sz w:val="28"/>
          <w:szCs w:val="28"/>
        </w:rPr>
        <w:tab/>
        <w:t>安全通信网络：安全通信网络差距评估将通过访谈、检查和测试的方式差距评估信息系统的安全通信网络保障情况。主要涉及对象为：主要涉及网络互联设备与安全设备。</w:t>
      </w:r>
    </w:p>
    <w:p w14:paraId="3EE12353"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1.2.3.</w:t>
      </w:r>
      <w:r w:rsidRPr="00E10F72">
        <w:rPr>
          <w:rFonts w:ascii="宋体" w:eastAsia="宋体" w:hAnsi="宋体" w:hint="eastAsia"/>
          <w:sz w:val="28"/>
          <w:szCs w:val="28"/>
        </w:rPr>
        <w:tab/>
        <w:t>安全区域边界：安全区域边界差距评估将通过访谈、检查和测试的方式差距评估信息系统的安全区域边界安全保障情况。主要涉及对象为：主要涉及网络互联设备与安全设备。</w:t>
      </w:r>
    </w:p>
    <w:p w14:paraId="5E14FA79"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1.2.4.</w:t>
      </w:r>
      <w:r w:rsidRPr="00E10F72">
        <w:rPr>
          <w:rFonts w:ascii="宋体" w:eastAsia="宋体" w:hAnsi="宋体" w:hint="eastAsia"/>
          <w:sz w:val="28"/>
          <w:szCs w:val="28"/>
        </w:rPr>
        <w:tab/>
        <w:t>安全计算环境：安全计算环境差距评估将通过访谈、检查</w:t>
      </w:r>
      <w:r w:rsidRPr="00E10F72">
        <w:rPr>
          <w:rFonts w:ascii="宋体" w:eastAsia="宋体" w:hAnsi="宋体" w:hint="eastAsia"/>
          <w:sz w:val="28"/>
          <w:szCs w:val="28"/>
        </w:rPr>
        <w:lastRenderedPageBreak/>
        <w:t>和测试的方式差距评估信息系统的主机和应用安全保障情况。主要涉及主机（存储操作系统）和数据库管理系统、应用系统。</w:t>
      </w:r>
    </w:p>
    <w:p w14:paraId="65D9CD32"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1.2.5.</w:t>
      </w:r>
      <w:r w:rsidRPr="00E10F72">
        <w:rPr>
          <w:rFonts w:ascii="宋体" w:eastAsia="宋体" w:hAnsi="宋体" w:hint="eastAsia"/>
          <w:sz w:val="28"/>
          <w:szCs w:val="28"/>
        </w:rPr>
        <w:tab/>
        <w:t>安全管理中心：安全管理中心评估将通过访谈、检查和测试的方式差距评估信息系统的各类安全管理情况。主要涉及对象为：应用系统鉴别数据、业务数据等系统关键数据。</w:t>
      </w:r>
    </w:p>
    <w:p w14:paraId="6FA1DDD0"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1.3.</w:t>
      </w:r>
      <w:r w:rsidRPr="00E10F72">
        <w:rPr>
          <w:rFonts w:ascii="宋体" w:eastAsia="宋体" w:hAnsi="宋体" w:hint="eastAsia"/>
          <w:sz w:val="28"/>
          <w:szCs w:val="28"/>
        </w:rPr>
        <w:tab/>
        <w:t>测试参考规范及依据：</w:t>
      </w:r>
    </w:p>
    <w:p w14:paraId="2FC76EEC"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国家及相关行业标准规范，但不限于下列文件、标准（均以最新标准执行）：</w:t>
      </w:r>
    </w:p>
    <w:p w14:paraId="10F71F0A"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1.3.1.</w:t>
      </w:r>
      <w:r w:rsidRPr="00E10F72">
        <w:rPr>
          <w:rFonts w:ascii="宋体" w:eastAsia="宋体" w:hAnsi="宋体" w:hint="eastAsia"/>
          <w:sz w:val="28"/>
          <w:szCs w:val="28"/>
        </w:rPr>
        <w:tab/>
        <w:t>GB/T 22239-2019《信息系统安全等级保护基本要求》；</w:t>
      </w:r>
    </w:p>
    <w:p w14:paraId="736E8B29"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1.3.2.</w:t>
      </w:r>
      <w:r w:rsidRPr="00E10F72">
        <w:rPr>
          <w:rFonts w:ascii="宋体" w:eastAsia="宋体" w:hAnsi="宋体" w:hint="eastAsia"/>
          <w:sz w:val="28"/>
          <w:szCs w:val="28"/>
        </w:rPr>
        <w:tab/>
        <w:t>GB/T 18336-2008《信息技术安全技术信息技术安全性评估准则》；</w:t>
      </w:r>
    </w:p>
    <w:p w14:paraId="72DD9D80"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1.3.3.</w:t>
      </w:r>
      <w:r w:rsidRPr="00E10F72">
        <w:rPr>
          <w:rFonts w:ascii="宋体" w:eastAsia="宋体" w:hAnsi="宋体" w:hint="eastAsia"/>
          <w:sz w:val="28"/>
          <w:szCs w:val="28"/>
        </w:rPr>
        <w:tab/>
        <w:t>DB31/T 272-2008《计算机信息系统安全测评通用技术规范》。</w:t>
      </w:r>
    </w:p>
    <w:p w14:paraId="3AF03036"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1.3.4.</w:t>
      </w:r>
      <w:r w:rsidRPr="00E10F72">
        <w:rPr>
          <w:rFonts w:ascii="宋体" w:eastAsia="宋体" w:hAnsi="宋体" w:hint="eastAsia"/>
          <w:sz w:val="28"/>
          <w:szCs w:val="28"/>
        </w:rPr>
        <w:tab/>
        <w:t>上海市第58号政府令《上海市公共信息系统安全测评管理办法》</w:t>
      </w:r>
    </w:p>
    <w:p w14:paraId="2B765312"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1.3.5.</w:t>
      </w:r>
      <w:r w:rsidRPr="00E10F72">
        <w:rPr>
          <w:rFonts w:ascii="宋体" w:eastAsia="宋体" w:hAnsi="宋体" w:hint="eastAsia"/>
          <w:sz w:val="28"/>
          <w:szCs w:val="28"/>
        </w:rPr>
        <w:tab/>
        <w:t>国家四部委联合发文的《信息安全等级保护管理办法》</w:t>
      </w:r>
    </w:p>
    <w:p w14:paraId="755DB001"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1.4.</w:t>
      </w:r>
      <w:r w:rsidRPr="00E10F72">
        <w:rPr>
          <w:rFonts w:ascii="宋体" w:eastAsia="宋体" w:hAnsi="宋体" w:hint="eastAsia"/>
          <w:sz w:val="28"/>
          <w:szCs w:val="28"/>
        </w:rPr>
        <w:tab/>
        <w:t>测评实施</w:t>
      </w:r>
    </w:p>
    <w:p w14:paraId="263607BB"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1.4.1.</w:t>
      </w:r>
      <w:r w:rsidRPr="00E10F72">
        <w:rPr>
          <w:rFonts w:ascii="宋体" w:eastAsia="宋体" w:hAnsi="宋体" w:hint="eastAsia"/>
          <w:sz w:val="28"/>
          <w:szCs w:val="28"/>
        </w:rPr>
        <w:tab/>
        <w:t>安全测评工作应先在项目建设上线之前进行第一次安全测评，在发现安全风险问题汇总后及时反馈采购人，同时配合采购人督促项目实施开发商进行问题整改。</w:t>
      </w:r>
    </w:p>
    <w:p w14:paraId="01D36408"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1.4.2.</w:t>
      </w:r>
      <w:r w:rsidRPr="00E10F72">
        <w:rPr>
          <w:rFonts w:ascii="宋体" w:eastAsia="宋体" w:hAnsi="宋体" w:hint="eastAsia"/>
          <w:sz w:val="28"/>
          <w:szCs w:val="28"/>
        </w:rPr>
        <w:tab/>
        <w:t>在项目实施开发商完成整改后，再进行一次复核测评，以保障项目上线后在安全性方面满足项目建设和相关安全标准的要求。</w:t>
      </w:r>
    </w:p>
    <w:p w14:paraId="25B14B3E"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lastRenderedPageBreak/>
        <w:t>1.4.3.</w:t>
      </w:r>
      <w:r w:rsidRPr="00E10F72">
        <w:rPr>
          <w:rFonts w:ascii="宋体" w:eastAsia="宋体" w:hAnsi="宋体" w:hint="eastAsia"/>
          <w:sz w:val="28"/>
          <w:szCs w:val="28"/>
        </w:rPr>
        <w:tab/>
        <w:t>供应商实施团队中至少含有1名高级测评师以及2名中级测评师。</w:t>
      </w:r>
    </w:p>
    <w:p w14:paraId="1DA0562E"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1.5.</w:t>
      </w:r>
      <w:r w:rsidRPr="00E10F72">
        <w:rPr>
          <w:rFonts w:ascii="宋体" w:eastAsia="宋体" w:hAnsi="宋体" w:hint="eastAsia"/>
          <w:sz w:val="28"/>
          <w:szCs w:val="28"/>
        </w:rPr>
        <w:tab/>
        <w:t>提交文档要求</w:t>
      </w:r>
    </w:p>
    <w:p w14:paraId="2B16E639"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1.5.1.</w:t>
      </w:r>
      <w:r w:rsidRPr="00E10F72">
        <w:rPr>
          <w:rFonts w:ascii="宋体" w:eastAsia="宋体" w:hAnsi="宋体" w:hint="eastAsia"/>
          <w:sz w:val="28"/>
          <w:szCs w:val="28"/>
        </w:rPr>
        <w:tab/>
        <w:t>提交完整的项目安全测评工作计划及测评方案；</w:t>
      </w:r>
    </w:p>
    <w:p w14:paraId="288AE56F"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1.5.2.</w:t>
      </w:r>
      <w:r w:rsidRPr="00E10F72">
        <w:rPr>
          <w:rFonts w:ascii="宋体" w:eastAsia="宋体" w:hAnsi="宋体" w:hint="eastAsia"/>
          <w:sz w:val="28"/>
          <w:szCs w:val="28"/>
        </w:rPr>
        <w:tab/>
        <w:t>提交安全测评中产生的现场测试记录表、问题汇总表、整改意见表等；</w:t>
      </w:r>
    </w:p>
    <w:p w14:paraId="7390AD29"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1.5.3.</w:t>
      </w:r>
      <w:r w:rsidRPr="00E10F72">
        <w:rPr>
          <w:rFonts w:ascii="宋体" w:eastAsia="宋体" w:hAnsi="宋体" w:hint="eastAsia"/>
          <w:sz w:val="28"/>
          <w:szCs w:val="28"/>
        </w:rPr>
        <w:tab/>
        <w:t>项目安全测评工作完成后应出具相应的《上海交通大学医学院附属新华医院奉贤院区信息化建设项目安全测评报告》</w:t>
      </w:r>
    </w:p>
    <w:p w14:paraId="104FF5EF"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2.</w:t>
      </w:r>
      <w:r w:rsidRPr="00E10F72">
        <w:rPr>
          <w:rFonts w:ascii="宋体" w:eastAsia="宋体" w:hAnsi="宋体" w:hint="eastAsia"/>
          <w:sz w:val="28"/>
          <w:szCs w:val="28"/>
        </w:rPr>
        <w:tab/>
        <w:t>其他要求：</w:t>
      </w:r>
    </w:p>
    <w:p w14:paraId="669A8500"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供应商需做出以下服务承诺：</w:t>
      </w:r>
    </w:p>
    <w:p w14:paraId="50ED2D29"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2.1.</w:t>
      </w:r>
      <w:r w:rsidRPr="00E10F72">
        <w:rPr>
          <w:rFonts w:ascii="宋体" w:eastAsia="宋体" w:hAnsi="宋体" w:hint="eastAsia"/>
          <w:sz w:val="28"/>
          <w:szCs w:val="28"/>
        </w:rPr>
        <w:tab/>
        <w:t>组建一支有丰富经验的服务团队，致力于本项目的安全测评服务工作，保证为采购人提供优质服务。</w:t>
      </w:r>
    </w:p>
    <w:p w14:paraId="35EA67C5"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2.2.</w:t>
      </w:r>
      <w:r w:rsidRPr="00E10F72">
        <w:rPr>
          <w:rFonts w:ascii="宋体" w:eastAsia="宋体" w:hAnsi="宋体" w:hint="eastAsia"/>
          <w:sz w:val="28"/>
          <w:szCs w:val="28"/>
        </w:rPr>
        <w:tab/>
        <w:t>提供多种技术服务方式，包括现场服务（5*8）、电话支持（7*24）、响应时间1小时到现场等。</w:t>
      </w:r>
    </w:p>
    <w:p w14:paraId="7C9BBD4A" w14:textId="77777777"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2.3.</w:t>
      </w:r>
      <w:r w:rsidRPr="00E10F72">
        <w:rPr>
          <w:rFonts w:ascii="宋体" w:eastAsia="宋体" w:hAnsi="宋体" w:hint="eastAsia"/>
          <w:sz w:val="28"/>
          <w:szCs w:val="28"/>
        </w:rPr>
        <w:tab/>
        <w:t>遵循守法、公平、公正、独立的原则进行测评服务。</w:t>
      </w:r>
    </w:p>
    <w:p w14:paraId="1DFE9B90" w14:textId="7DB9C015" w:rsidR="00E10F72" w:rsidRPr="00E10F72" w:rsidRDefault="00E10F72" w:rsidP="00E10F72">
      <w:pPr>
        <w:rPr>
          <w:rFonts w:ascii="宋体" w:eastAsia="宋体" w:hAnsi="宋体"/>
          <w:sz w:val="28"/>
          <w:szCs w:val="28"/>
        </w:rPr>
      </w:pPr>
      <w:r w:rsidRPr="00E10F72">
        <w:rPr>
          <w:rFonts w:ascii="宋体" w:eastAsia="宋体" w:hAnsi="宋体" w:hint="eastAsia"/>
          <w:sz w:val="28"/>
          <w:szCs w:val="28"/>
        </w:rPr>
        <w:t>2.4.</w:t>
      </w:r>
      <w:r w:rsidRPr="00E10F72">
        <w:rPr>
          <w:rFonts w:ascii="宋体" w:eastAsia="宋体" w:hAnsi="宋体" w:hint="eastAsia"/>
          <w:sz w:val="28"/>
          <w:szCs w:val="28"/>
        </w:rPr>
        <w:tab/>
        <w:t>不得以任何形式将本项目业务转包或分包给第三方</w:t>
      </w:r>
    </w:p>
    <w:p w14:paraId="1D26993A" w14:textId="77777777" w:rsidR="00731F40" w:rsidRDefault="001109E5">
      <w:pPr>
        <w:pStyle w:val="a"/>
        <w:ind w:left="142" w:hanging="6"/>
        <w:rPr>
          <w:rFonts w:ascii="宋体" w:eastAsia="宋体" w:hAnsi="宋体"/>
          <w:sz w:val="28"/>
          <w:szCs w:val="28"/>
        </w:rPr>
      </w:pPr>
      <w:r>
        <w:rPr>
          <w:rFonts w:ascii="宋体" w:eastAsia="宋体" w:hAnsi="宋体" w:hint="eastAsia"/>
          <w:sz w:val="28"/>
          <w:szCs w:val="28"/>
        </w:rPr>
        <w:t>最高限价：人民币</w:t>
      </w:r>
      <w:r>
        <w:rPr>
          <w:rFonts w:ascii="宋体" w:eastAsia="宋体" w:hAnsi="宋体" w:hint="eastAsia"/>
          <w:sz w:val="28"/>
          <w:szCs w:val="28"/>
        </w:rPr>
        <w:t>48.49</w:t>
      </w:r>
      <w:r>
        <w:rPr>
          <w:rFonts w:ascii="宋体" w:eastAsia="宋体" w:hAnsi="宋体"/>
          <w:sz w:val="28"/>
          <w:szCs w:val="28"/>
        </w:rPr>
        <w:t>万元</w:t>
      </w:r>
    </w:p>
    <w:p w14:paraId="6CD1029C" w14:textId="77777777" w:rsidR="00731F40" w:rsidRDefault="001109E5">
      <w:pPr>
        <w:pStyle w:val="a"/>
        <w:ind w:left="142" w:hanging="6"/>
        <w:rPr>
          <w:rFonts w:ascii="宋体" w:eastAsia="宋体" w:hAnsi="宋体"/>
          <w:sz w:val="28"/>
          <w:szCs w:val="28"/>
        </w:rPr>
      </w:pPr>
      <w:r>
        <w:rPr>
          <w:rFonts w:ascii="宋体" w:eastAsia="宋体" w:hAnsi="宋体" w:hint="eastAsia"/>
          <w:sz w:val="28"/>
          <w:szCs w:val="28"/>
        </w:rPr>
        <w:t>资格条件</w:t>
      </w:r>
    </w:p>
    <w:p w14:paraId="70156758" w14:textId="77777777" w:rsidR="00CF5396" w:rsidRPr="00CF5396" w:rsidRDefault="00CF5396" w:rsidP="00CF5396">
      <w:pPr>
        <w:adjustRightInd w:val="0"/>
        <w:snapToGrid w:val="0"/>
        <w:spacing w:line="360" w:lineRule="auto"/>
        <w:ind w:firstLineChars="200" w:firstLine="560"/>
        <w:jc w:val="left"/>
        <w:outlineLvl w:val="0"/>
        <w:rPr>
          <w:rFonts w:ascii="宋体" w:eastAsia="宋体" w:hAnsi="宋体" w:cs="Arial"/>
          <w:color w:val="000000" w:themeColor="text1"/>
          <w:kern w:val="0"/>
          <w:sz w:val="28"/>
          <w:szCs w:val="28"/>
        </w:rPr>
      </w:pPr>
      <w:bookmarkStart w:id="0" w:name="zgtj"/>
      <w:r w:rsidRPr="00CF5396">
        <w:rPr>
          <w:rFonts w:ascii="宋体" w:eastAsia="宋体" w:hAnsi="宋体" w:cs="Arial" w:hint="eastAsia"/>
          <w:color w:val="000000" w:themeColor="text1"/>
          <w:kern w:val="0"/>
          <w:sz w:val="28"/>
          <w:szCs w:val="28"/>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002A9076" w14:textId="77777777" w:rsidR="00CF5396" w:rsidRPr="00CF5396" w:rsidRDefault="00CF5396" w:rsidP="00CF5396">
      <w:pPr>
        <w:adjustRightInd w:val="0"/>
        <w:snapToGrid w:val="0"/>
        <w:spacing w:line="360" w:lineRule="auto"/>
        <w:ind w:firstLineChars="200" w:firstLine="560"/>
        <w:jc w:val="left"/>
        <w:outlineLvl w:val="0"/>
        <w:rPr>
          <w:rFonts w:ascii="宋体" w:eastAsia="宋体" w:hAnsi="宋体" w:cs="Arial"/>
          <w:color w:val="000000" w:themeColor="text1"/>
          <w:kern w:val="0"/>
          <w:sz w:val="28"/>
          <w:szCs w:val="28"/>
        </w:rPr>
      </w:pPr>
      <w:r w:rsidRPr="00CF5396">
        <w:rPr>
          <w:rFonts w:ascii="宋体" w:eastAsia="宋体" w:hAnsi="宋体" w:cs="Arial" w:hint="eastAsia"/>
          <w:color w:val="000000" w:themeColor="text1"/>
          <w:kern w:val="0"/>
          <w:sz w:val="28"/>
          <w:szCs w:val="28"/>
        </w:rPr>
        <w:t>2、投标人须具备有效的《网络安全等级测评与检测评估机构服</w:t>
      </w:r>
      <w:r w:rsidRPr="00CF5396">
        <w:rPr>
          <w:rFonts w:ascii="宋体" w:eastAsia="宋体" w:hAnsi="宋体" w:cs="Arial" w:hint="eastAsia"/>
          <w:color w:val="000000" w:themeColor="text1"/>
          <w:kern w:val="0"/>
          <w:sz w:val="28"/>
          <w:szCs w:val="28"/>
        </w:rPr>
        <w:lastRenderedPageBreak/>
        <w:t>务认证证书》</w:t>
      </w:r>
    </w:p>
    <w:p w14:paraId="7BF4AB25" w14:textId="77777777" w:rsidR="00CF5396" w:rsidRPr="00CF5396" w:rsidRDefault="00CF5396" w:rsidP="00CF5396">
      <w:pPr>
        <w:adjustRightInd w:val="0"/>
        <w:snapToGrid w:val="0"/>
        <w:spacing w:line="360" w:lineRule="auto"/>
        <w:ind w:firstLineChars="200" w:firstLine="560"/>
        <w:jc w:val="left"/>
        <w:outlineLvl w:val="0"/>
        <w:rPr>
          <w:rFonts w:ascii="宋体" w:eastAsia="宋体" w:hAnsi="宋体" w:cs="Arial"/>
          <w:color w:val="000000" w:themeColor="text1"/>
          <w:kern w:val="0"/>
          <w:sz w:val="28"/>
          <w:szCs w:val="28"/>
        </w:rPr>
      </w:pPr>
      <w:r w:rsidRPr="00CF5396">
        <w:rPr>
          <w:rFonts w:ascii="宋体" w:eastAsia="宋体" w:hAnsi="宋体" w:cs="Arial" w:hint="eastAsia"/>
          <w:color w:val="000000" w:themeColor="text1"/>
          <w:kern w:val="0"/>
          <w:sz w:val="28"/>
          <w:szCs w:val="28"/>
        </w:rPr>
        <w:t>3、参加采购活动前三年内，在经营活动中没有重大违法记录；</w:t>
      </w:r>
    </w:p>
    <w:p w14:paraId="7456B80E" w14:textId="77777777" w:rsidR="00CF5396" w:rsidRPr="00CF5396" w:rsidRDefault="00CF5396" w:rsidP="00CF5396">
      <w:pPr>
        <w:adjustRightInd w:val="0"/>
        <w:snapToGrid w:val="0"/>
        <w:spacing w:line="360" w:lineRule="auto"/>
        <w:ind w:firstLineChars="200" w:firstLine="560"/>
        <w:jc w:val="left"/>
        <w:outlineLvl w:val="0"/>
        <w:rPr>
          <w:rFonts w:ascii="宋体" w:eastAsia="宋体" w:hAnsi="宋体" w:cs="Arial"/>
          <w:color w:val="000000" w:themeColor="text1"/>
          <w:kern w:val="0"/>
          <w:sz w:val="28"/>
          <w:szCs w:val="28"/>
        </w:rPr>
      </w:pPr>
      <w:r w:rsidRPr="00CF5396">
        <w:rPr>
          <w:rFonts w:ascii="宋体" w:eastAsia="宋体" w:hAnsi="宋体" w:cs="Arial" w:hint="eastAsia"/>
          <w:color w:val="000000" w:themeColor="text1"/>
          <w:kern w:val="0"/>
          <w:sz w:val="28"/>
          <w:szCs w:val="28"/>
        </w:rPr>
        <w:t>4、本次采购不接受联合体响应。</w:t>
      </w:r>
    </w:p>
    <w:p w14:paraId="76DFBB7E" w14:textId="337DBB10" w:rsidR="00731F40" w:rsidRDefault="001109E5" w:rsidP="00CF5396">
      <w:pPr>
        <w:adjustRightInd w:val="0"/>
        <w:snapToGrid w:val="0"/>
        <w:spacing w:line="360" w:lineRule="auto"/>
        <w:ind w:firstLineChars="200" w:firstLine="560"/>
        <w:jc w:val="left"/>
        <w:outlineLvl w:val="0"/>
        <w:rPr>
          <w:rFonts w:ascii="宋体" w:eastAsia="宋体" w:hAnsi="宋体" w:cs="Arial"/>
          <w:color w:val="FF0000"/>
          <w:kern w:val="0"/>
          <w:sz w:val="28"/>
          <w:szCs w:val="28"/>
        </w:rPr>
      </w:pPr>
      <w:r>
        <w:rPr>
          <w:rFonts w:ascii="宋体" w:eastAsia="宋体" w:hAnsi="宋体" w:cs="Arial" w:hint="eastAsia"/>
          <w:color w:val="000000" w:themeColor="text1"/>
          <w:kern w:val="0"/>
          <w:sz w:val="28"/>
          <w:szCs w:val="28"/>
        </w:rPr>
        <w:t>5</w:t>
      </w:r>
      <w:r>
        <w:rPr>
          <w:rFonts w:ascii="宋体" w:eastAsia="宋体" w:hAnsi="宋体" w:cs="Arial"/>
          <w:color w:val="000000" w:themeColor="text1"/>
          <w:kern w:val="0"/>
          <w:sz w:val="28"/>
          <w:szCs w:val="28"/>
        </w:rPr>
        <w:t>、</w:t>
      </w:r>
      <w:bookmarkStart w:id="1" w:name="_Hlk179641594"/>
      <w:r>
        <w:rPr>
          <w:rFonts w:ascii="宋体" w:eastAsia="宋体" w:hAnsi="宋体" w:cs="宋体"/>
          <w:color w:val="000000" w:themeColor="text1"/>
          <w:sz w:val="28"/>
          <w:szCs w:val="28"/>
        </w:rPr>
        <w:t>未被列入</w:t>
      </w:r>
      <w:r>
        <w:rPr>
          <w:rFonts w:ascii="宋体" w:eastAsia="宋体" w:hAnsi="宋体" w:cs="宋体"/>
          <w:color w:val="000000" w:themeColor="text1"/>
          <w:sz w:val="28"/>
          <w:szCs w:val="28"/>
        </w:rPr>
        <w:t>“</w:t>
      </w:r>
      <w:r>
        <w:rPr>
          <w:rFonts w:ascii="宋体" w:eastAsia="宋体" w:hAnsi="宋体" w:cs="宋体"/>
          <w:color w:val="000000" w:themeColor="text1"/>
          <w:sz w:val="28"/>
          <w:szCs w:val="28"/>
        </w:rPr>
        <w:t>信用中国</w:t>
      </w:r>
      <w:r>
        <w:rPr>
          <w:rFonts w:ascii="宋体" w:eastAsia="宋体" w:hAnsi="宋体" w:cs="宋体"/>
          <w:color w:val="000000" w:themeColor="text1"/>
          <w:sz w:val="28"/>
          <w:szCs w:val="28"/>
        </w:rPr>
        <w:t>”</w:t>
      </w:r>
      <w:r>
        <w:rPr>
          <w:rFonts w:ascii="宋体" w:eastAsia="宋体" w:hAnsi="宋体" w:cs="宋体"/>
          <w:color w:val="000000" w:themeColor="text1"/>
          <w:sz w:val="28"/>
          <w:szCs w:val="28"/>
        </w:rPr>
        <w:t>网站</w:t>
      </w:r>
      <w:r>
        <w:rPr>
          <w:rFonts w:ascii="宋体" w:eastAsia="宋体" w:hAnsi="宋体" w:cs="宋体"/>
          <w:color w:val="000000" w:themeColor="text1"/>
          <w:sz w:val="28"/>
          <w:szCs w:val="28"/>
        </w:rPr>
        <w:t>(www.creditchina.gov.cn)</w:t>
      </w:r>
      <w:r>
        <w:rPr>
          <w:rFonts w:ascii="宋体" w:eastAsia="宋体" w:hAnsi="宋体" w:cs="宋体"/>
          <w:color w:val="000000" w:themeColor="text1"/>
          <w:sz w:val="28"/>
          <w:szCs w:val="28"/>
        </w:rPr>
        <w:t>失信被执行人名单、重大税收违法案件当事人名单的供应商</w:t>
      </w:r>
      <w:bookmarkEnd w:id="1"/>
      <w:r>
        <w:rPr>
          <w:rFonts w:ascii="宋体" w:eastAsia="宋体" w:hAnsi="宋体" w:cs="Arial"/>
          <w:color w:val="000000" w:themeColor="text1"/>
          <w:kern w:val="0"/>
          <w:sz w:val="28"/>
          <w:szCs w:val="28"/>
        </w:rPr>
        <w:t>。</w:t>
      </w:r>
      <w:bookmarkEnd w:id="0"/>
    </w:p>
    <w:p w14:paraId="0028D0FB" w14:textId="77777777" w:rsidR="00731F40" w:rsidRDefault="001109E5">
      <w:pPr>
        <w:pStyle w:val="a"/>
        <w:rPr>
          <w:rFonts w:ascii="宋体" w:eastAsia="宋体" w:hAnsi="宋体"/>
          <w:sz w:val="28"/>
          <w:szCs w:val="28"/>
        </w:rPr>
      </w:pPr>
      <w:r>
        <w:rPr>
          <w:rFonts w:ascii="宋体" w:eastAsia="宋体" w:hAnsi="宋体" w:hint="eastAsia"/>
          <w:sz w:val="28"/>
          <w:szCs w:val="28"/>
        </w:rPr>
        <w:t>付款方式</w:t>
      </w:r>
    </w:p>
    <w:p w14:paraId="38E5D891" w14:textId="0BA1B204" w:rsidR="00731F40" w:rsidRDefault="001109E5">
      <w:pPr>
        <w:adjustRightInd w:val="0"/>
        <w:snapToGrid w:val="0"/>
        <w:spacing w:line="360" w:lineRule="auto"/>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1</w:t>
      </w:r>
      <w:r>
        <w:rPr>
          <w:rFonts w:ascii="宋体" w:eastAsia="宋体" w:hAnsi="宋体"/>
          <w:sz w:val="28"/>
          <w:szCs w:val="28"/>
        </w:rPr>
        <w:t>）</w:t>
      </w:r>
      <w:r w:rsidR="00340F76" w:rsidRPr="00340F76">
        <w:rPr>
          <w:rFonts w:ascii="宋体" w:eastAsia="宋体" w:hAnsi="宋体" w:hint="eastAsia"/>
          <w:sz w:val="28"/>
          <w:szCs w:val="28"/>
        </w:rPr>
        <w:t>提交《信息化项目安全测评报告》并验收合格后，按照医院相关流程一次性支付全款。</w:t>
      </w:r>
      <w:bookmarkStart w:id="2" w:name="_GoBack"/>
      <w:bookmarkEnd w:id="2"/>
    </w:p>
    <w:sectPr w:rsidR="00731F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59C56" w14:textId="77777777" w:rsidR="001109E5" w:rsidRDefault="001109E5" w:rsidP="00BB546F">
      <w:r>
        <w:separator/>
      </w:r>
    </w:p>
  </w:endnote>
  <w:endnote w:type="continuationSeparator" w:id="0">
    <w:p w14:paraId="30E747ED" w14:textId="77777777" w:rsidR="001109E5" w:rsidRDefault="001109E5" w:rsidP="00BB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441C2" w14:textId="77777777" w:rsidR="001109E5" w:rsidRDefault="001109E5" w:rsidP="00BB546F">
      <w:r>
        <w:separator/>
      </w:r>
    </w:p>
  </w:footnote>
  <w:footnote w:type="continuationSeparator" w:id="0">
    <w:p w14:paraId="6A82896A" w14:textId="77777777" w:rsidR="001109E5" w:rsidRDefault="001109E5" w:rsidP="00BB5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00915A4C"/>
    <w:multiLevelType w:val="multilevel"/>
    <w:tmpl w:val="00915A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64973738"/>
    <w:multiLevelType w:val="multilevel"/>
    <w:tmpl w:val="64973738"/>
    <w:lvl w:ilvl="0">
      <w:start w:val="1"/>
      <w:numFmt w:val="japaneseCounting"/>
      <w:lvlText w:val="（%1）"/>
      <w:lvlJc w:val="left"/>
      <w:pPr>
        <w:ind w:left="856" w:hanging="720"/>
      </w:pPr>
      <w:rPr>
        <w:rFonts w:hint="default"/>
      </w:rPr>
    </w:lvl>
    <w:lvl w:ilvl="1">
      <w:start w:val="1"/>
      <w:numFmt w:val="decimal"/>
      <w:lvlText w:val="%2、"/>
      <w:lvlJc w:val="left"/>
      <w:pPr>
        <w:ind w:left="1296" w:hanging="720"/>
      </w:pPr>
      <w:rPr>
        <w:rFonts w:hint="default"/>
      </w:rPr>
    </w:lvl>
    <w:lvl w:ilvl="2">
      <w:start w:val="1"/>
      <w:numFmt w:val="decimal"/>
      <w:lvlText w:val="%3)"/>
      <w:lvlJc w:val="left"/>
      <w:pPr>
        <w:ind w:left="1376" w:hanging="360"/>
      </w:pPr>
      <w:rPr>
        <w:rFonts w:hint="default"/>
      </w:rPr>
    </w:lvl>
    <w:lvl w:ilvl="3">
      <w:start w:val="1"/>
      <w:numFmt w:val="decimal"/>
      <w:lvlText w:val="%4）"/>
      <w:lvlJc w:val="left"/>
      <w:pPr>
        <w:ind w:left="2176" w:hanging="720"/>
      </w:pPr>
      <w:rPr>
        <w:rFonts w:hint="default"/>
      </w:rPr>
    </w:lvl>
    <w:lvl w:ilvl="4">
      <w:start w:val="1"/>
      <w:numFmt w:val="lowerLetter"/>
      <w:lvlText w:val="%5)"/>
      <w:lvlJc w:val="left"/>
      <w:pPr>
        <w:ind w:left="2336" w:hanging="440"/>
      </w:pPr>
    </w:lvl>
    <w:lvl w:ilvl="5">
      <w:start w:val="1"/>
      <w:numFmt w:val="lowerRoman"/>
      <w:lvlText w:val="%6."/>
      <w:lvlJc w:val="right"/>
      <w:pPr>
        <w:ind w:left="2776" w:hanging="440"/>
      </w:pPr>
    </w:lvl>
    <w:lvl w:ilvl="6">
      <w:start w:val="1"/>
      <w:numFmt w:val="decimal"/>
      <w:lvlText w:val="%7."/>
      <w:lvlJc w:val="left"/>
      <w:pPr>
        <w:ind w:left="3216" w:hanging="440"/>
      </w:pPr>
    </w:lvl>
    <w:lvl w:ilvl="7">
      <w:start w:val="1"/>
      <w:numFmt w:val="lowerLetter"/>
      <w:lvlText w:val="%8)"/>
      <w:lvlJc w:val="left"/>
      <w:pPr>
        <w:ind w:left="3656" w:hanging="440"/>
      </w:pPr>
    </w:lvl>
    <w:lvl w:ilvl="8">
      <w:start w:val="1"/>
      <w:numFmt w:val="lowerRoman"/>
      <w:lvlText w:val="%9."/>
      <w:lvlJc w:val="right"/>
      <w:pPr>
        <w:ind w:left="4096" w:hanging="440"/>
      </w:pPr>
    </w:lvl>
  </w:abstractNum>
  <w:abstractNum w:abstractNumId="3" w15:restartNumberingAfterBreak="0">
    <w:nsid w:val="710F23FA"/>
    <w:multiLevelType w:val="multilevel"/>
    <w:tmpl w:val="710F23FA"/>
    <w:lvl w:ilvl="0">
      <w:start w:val="1"/>
      <w:numFmt w:val="japaneseCounting"/>
      <w:pStyle w:val="a"/>
      <w:lvlText w:val="%1、"/>
      <w:lvlJc w:val="left"/>
      <w:pPr>
        <w:ind w:left="1140" w:hanging="720"/>
      </w:pPr>
      <w:rPr>
        <w:rFonts w:ascii="宋体" w:eastAsia="宋体" w:hAnsi="宋体" w:cs="Times New Roman"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mNjc0NGFjYTJkNDZhZmJhYmMwZjMyMzg0ZTJmZjcifQ=="/>
  </w:docVars>
  <w:rsids>
    <w:rsidRoot w:val="00802568"/>
    <w:rsid w:val="00047D4B"/>
    <w:rsid w:val="00097888"/>
    <w:rsid w:val="000B1861"/>
    <w:rsid w:val="000B1EE5"/>
    <w:rsid w:val="000C5649"/>
    <w:rsid w:val="000D679A"/>
    <w:rsid w:val="001109E5"/>
    <w:rsid w:val="00132643"/>
    <w:rsid w:val="001364D5"/>
    <w:rsid w:val="001D1C86"/>
    <w:rsid w:val="001F14DC"/>
    <w:rsid w:val="00220551"/>
    <w:rsid w:val="002413AE"/>
    <w:rsid w:val="00286C0E"/>
    <w:rsid w:val="002922B8"/>
    <w:rsid w:val="002A7DE0"/>
    <w:rsid w:val="002A7F71"/>
    <w:rsid w:val="002E581F"/>
    <w:rsid w:val="002E7EF5"/>
    <w:rsid w:val="003244F6"/>
    <w:rsid w:val="003350BD"/>
    <w:rsid w:val="00340F76"/>
    <w:rsid w:val="00345E07"/>
    <w:rsid w:val="00483313"/>
    <w:rsid w:val="004A7A67"/>
    <w:rsid w:val="004D5012"/>
    <w:rsid w:val="005563F4"/>
    <w:rsid w:val="00557BDF"/>
    <w:rsid w:val="005D5D29"/>
    <w:rsid w:val="005F703C"/>
    <w:rsid w:val="00604E1B"/>
    <w:rsid w:val="006A1FFD"/>
    <w:rsid w:val="006E2761"/>
    <w:rsid w:val="006F3BF8"/>
    <w:rsid w:val="00731F40"/>
    <w:rsid w:val="0074578D"/>
    <w:rsid w:val="007548F7"/>
    <w:rsid w:val="00770314"/>
    <w:rsid w:val="00770D6F"/>
    <w:rsid w:val="00781F1B"/>
    <w:rsid w:val="00784A4C"/>
    <w:rsid w:val="007B41BC"/>
    <w:rsid w:val="00802568"/>
    <w:rsid w:val="0089088D"/>
    <w:rsid w:val="008A063D"/>
    <w:rsid w:val="008E4C3D"/>
    <w:rsid w:val="0090336E"/>
    <w:rsid w:val="009160D1"/>
    <w:rsid w:val="009D50C6"/>
    <w:rsid w:val="009E42FF"/>
    <w:rsid w:val="009F47B0"/>
    <w:rsid w:val="00A46DA0"/>
    <w:rsid w:val="00A7593B"/>
    <w:rsid w:val="00A80EE9"/>
    <w:rsid w:val="00A80F37"/>
    <w:rsid w:val="00B0136F"/>
    <w:rsid w:val="00B43BBE"/>
    <w:rsid w:val="00B803F2"/>
    <w:rsid w:val="00B8398F"/>
    <w:rsid w:val="00BB546F"/>
    <w:rsid w:val="00BD343A"/>
    <w:rsid w:val="00C11326"/>
    <w:rsid w:val="00C7551E"/>
    <w:rsid w:val="00CF5396"/>
    <w:rsid w:val="00D74FF9"/>
    <w:rsid w:val="00D90C13"/>
    <w:rsid w:val="00D94538"/>
    <w:rsid w:val="00D96873"/>
    <w:rsid w:val="00DA2517"/>
    <w:rsid w:val="00DB14FA"/>
    <w:rsid w:val="00DD4950"/>
    <w:rsid w:val="00E03420"/>
    <w:rsid w:val="00E10F72"/>
    <w:rsid w:val="00E173EA"/>
    <w:rsid w:val="00E347A7"/>
    <w:rsid w:val="00E451FF"/>
    <w:rsid w:val="00E532F8"/>
    <w:rsid w:val="00E7230D"/>
    <w:rsid w:val="00E872D4"/>
    <w:rsid w:val="00EA227E"/>
    <w:rsid w:val="00EA4CB5"/>
    <w:rsid w:val="00EE51E0"/>
    <w:rsid w:val="00F06535"/>
    <w:rsid w:val="00F87A3F"/>
    <w:rsid w:val="00FE72BE"/>
    <w:rsid w:val="02F66885"/>
    <w:rsid w:val="2D87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65C01"/>
  <w15:docId w15:val="{C5F8EF42-328B-4B14-B593-D59D3C84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2">
    <w:name w:val="heading 2"/>
    <w:basedOn w:val="a0"/>
    <w:next w:val="a0"/>
    <w:link w:val="20"/>
    <w:autoRedefine/>
    <w:uiPriority w:val="9"/>
    <w:qFormat/>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paragraph" w:styleId="5">
    <w:name w:val="heading 5"/>
    <w:basedOn w:val="a0"/>
    <w:next w:val="a0"/>
    <w:link w:val="50"/>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autoRedefine/>
    <w:uiPriority w:val="99"/>
    <w:unhideWhenUsed/>
    <w:qFormat/>
    <w:pPr>
      <w:jc w:val="left"/>
    </w:pPr>
  </w:style>
  <w:style w:type="paragraph" w:styleId="a6">
    <w:name w:val="Balloon Text"/>
    <w:basedOn w:val="a0"/>
    <w:link w:val="a7"/>
    <w:autoRedefine/>
    <w:uiPriority w:val="99"/>
    <w:semiHidden/>
    <w:unhideWhenUsed/>
    <w:rPr>
      <w:sz w:val="18"/>
      <w:szCs w:val="18"/>
    </w:rPr>
  </w:style>
  <w:style w:type="paragraph" w:styleId="a8">
    <w:name w:val="footer"/>
    <w:basedOn w:val="a0"/>
    <w:link w:val="a9"/>
    <w:uiPriority w:val="99"/>
    <w:unhideWhenUsed/>
    <w:pPr>
      <w:tabs>
        <w:tab w:val="center" w:pos="4153"/>
        <w:tab w:val="right" w:pos="8306"/>
      </w:tabs>
      <w:snapToGrid w:val="0"/>
      <w:jc w:val="left"/>
    </w:pPr>
    <w:rPr>
      <w:sz w:val="18"/>
      <w:szCs w:val="18"/>
    </w:rPr>
  </w:style>
  <w:style w:type="paragraph" w:styleId="aa">
    <w:name w:val="header"/>
    <w:basedOn w:val="a0"/>
    <w:link w:val="ab"/>
    <w:autoRedefine/>
    <w:uiPriority w:val="99"/>
    <w:unhideWhenUsed/>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autoRedefine/>
    <w:uiPriority w:val="99"/>
    <w:semiHidden/>
    <w:unhideWhenUsed/>
    <w:rPr>
      <w:b/>
      <w:bCs/>
    </w:rPr>
  </w:style>
  <w:style w:type="table" w:styleId="ae">
    <w:name w:val="Table Grid"/>
    <w:basedOn w:val="a2"/>
    <w:autoRedefine/>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autoRedefine/>
    <w:qFormat/>
    <w:rPr>
      <w:sz w:val="21"/>
      <w:szCs w:val="21"/>
    </w:rPr>
  </w:style>
  <w:style w:type="character" w:customStyle="1" w:styleId="20">
    <w:name w:val="标题 2 字符"/>
    <w:basedOn w:val="a1"/>
    <w:link w:val="2"/>
    <w:uiPriority w:val="9"/>
    <w:qFormat/>
    <w:rPr>
      <w:rFonts w:ascii="宋体" w:eastAsia="宋体" w:hAnsi="Arial" w:cs="Times New Roman"/>
      <w:spacing w:val="20"/>
      <w:kern w:val="0"/>
      <w:sz w:val="28"/>
      <w:szCs w:val="20"/>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autoRedefine/>
    <w:uiPriority w:val="99"/>
    <w:qFormat/>
    <w:rPr>
      <w:sz w:val="18"/>
      <w:szCs w:val="18"/>
    </w:rPr>
  </w:style>
  <w:style w:type="character" w:customStyle="1" w:styleId="NormalCharacter">
    <w:name w:val="NormalCharacter"/>
    <w:autoRedefine/>
    <w:semiHidden/>
    <w:qFormat/>
  </w:style>
  <w:style w:type="character" w:customStyle="1" w:styleId="af0">
    <w:name w:val="列出段落 字符"/>
    <w:link w:val="a"/>
    <w:autoRedefine/>
    <w:uiPriority w:val="34"/>
    <w:qFormat/>
  </w:style>
  <w:style w:type="paragraph" w:styleId="a">
    <w:name w:val="List Paragraph"/>
    <w:basedOn w:val="a0"/>
    <w:link w:val="af0"/>
    <w:autoRedefine/>
    <w:uiPriority w:val="34"/>
    <w:qFormat/>
    <w:pPr>
      <w:numPr>
        <w:numId w:val="2"/>
      </w:numPr>
      <w:spacing w:line="360" w:lineRule="auto"/>
      <w:jc w:val="left"/>
    </w:pPr>
  </w:style>
  <w:style w:type="character" w:customStyle="1" w:styleId="50">
    <w:name w:val="标题 5 字符"/>
    <w:basedOn w:val="a1"/>
    <w:link w:val="5"/>
    <w:autoRedefine/>
    <w:qFormat/>
    <w:rPr>
      <w:b/>
      <w:bCs/>
      <w:sz w:val="28"/>
      <w:szCs w:val="28"/>
    </w:rPr>
  </w:style>
  <w:style w:type="character" w:customStyle="1" w:styleId="5Char">
    <w:name w:val="标题 5 Char"/>
    <w:qFormat/>
    <w:rPr>
      <w:rFonts w:ascii="宋体" w:eastAsia="宋体" w:hAnsi="宋体" w:cs="宋体"/>
      <w:b/>
      <w:bCs/>
      <w:sz w:val="24"/>
      <w:szCs w:val="24"/>
    </w:rPr>
  </w:style>
  <w:style w:type="character" w:customStyle="1" w:styleId="a5">
    <w:name w:val="批注文字 字符"/>
    <w:basedOn w:val="a1"/>
    <w:link w:val="a4"/>
    <w:uiPriority w:val="99"/>
    <w:qFormat/>
  </w:style>
  <w:style w:type="character" w:customStyle="1" w:styleId="ad">
    <w:name w:val="批注主题 字符"/>
    <w:basedOn w:val="a5"/>
    <w:link w:val="ac"/>
    <w:uiPriority w:val="99"/>
    <w:semiHidden/>
    <w:qFormat/>
    <w:rPr>
      <w:b/>
      <w:bCs/>
    </w:rPr>
  </w:style>
  <w:style w:type="paragraph" w:customStyle="1" w:styleId="1">
    <w:name w:val="修订1"/>
    <w:autoRedefine/>
    <w:hidden/>
    <w:uiPriority w:val="99"/>
    <w:semiHidden/>
    <w:rPr>
      <w:kern w:val="2"/>
      <w:sz w:val="21"/>
      <w:szCs w:val="22"/>
    </w:rPr>
  </w:style>
  <w:style w:type="character" w:customStyle="1" w:styleId="a7">
    <w:name w:val="批注框文本 字符"/>
    <w:basedOn w:val="a1"/>
    <w:link w:val="a6"/>
    <w:uiPriority w:val="99"/>
    <w:semiHidden/>
    <w:rPr>
      <w:sz w:val="18"/>
      <w:szCs w:val="18"/>
    </w:rPr>
  </w:style>
  <w:style w:type="paragraph" w:styleId="af1">
    <w:name w:val="Revision"/>
    <w:hidden/>
    <w:uiPriority w:val="99"/>
    <w:unhideWhenUsed/>
    <w:rsid w:val="006F3BF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346</Words>
  <Characters>1975</Characters>
  <Application>Microsoft Office Word</Application>
  <DocSecurity>0</DocSecurity>
  <Lines>16</Lines>
  <Paragraphs>4</Paragraphs>
  <ScaleCrop>false</ScaleCrop>
  <Company>Organization</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10</cp:revision>
  <dcterms:created xsi:type="dcterms:W3CDTF">2024-10-08T03:22:00Z</dcterms:created>
  <dcterms:modified xsi:type="dcterms:W3CDTF">2024-10-12T08:34:00Z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320292FBC8304811979A5D8A3869242E_12</vt:lpwstr>
  </property>
</Properties>
</file>