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2998D" w14:textId="77777777" w:rsidR="007E7EF4" w:rsidRDefault="00DE7A2A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highlight w:val="yellow"/>
        </w:rPr>
        <w:t>一、项目名称</w:t>
      </w:r>
    </w:p>
    <w:p w14:paraId="7E8CA693" w14:textId="01F61648" w:rsidR="007E7EF4" w:rsidRDefault="00DE7A2A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</w:t>
      </w:r>
      <w:r w:rsidR="000C3559" w:rsidRPr="000C3559">
        <w:rPr>
          <w:rFonts w:ascii="宋体" w:eastAsia="宋体" w:hAnsi="宋体" w:hint="eastAsia"/>
          <w:sz w:val="24"/>
          <w:szCs w:val="24"/>
        </w:rPr>
        <w:t>奉贤院区信息基础设施扩容</w:t>
      </w:r>
      <w:r w:rsidR="000C3559">
        <w:rPr>
          <w:rFonts w:ascii="宋体" w:eastAsia="宋体" w:hAnsi="宋体" w:hint="eastAsia"/>
          <w:sz w:val="24"/>
          <w:szCs w:val="24"/>
        </w:rPr>
        <w:t>项目</w:t>
      </w:r>
    </w:p>
    <w:p w14:paraId="74DF5EAB" w14:textId="77777777" w:rsidR="007E7EF4" w:rsidRDefault="00DE7A2A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highlight w:val="yellow"/>
        </w:rPr>
        <w:t>二、项目参数</w:t>
      </w:r>
    </w:p>
    <w:p w14:paraId="383FBD55" w14:textId="77777777" w:rsidR="007E7EF4" w:rsidRDefault="00DE7A2A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（一）名称</w:t>
      </w:r>
    </w:p>
    <w:tbl>
      <w:tblPr>
        <w:tblW w:w="53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4674"/>
        <w:gridCol w:w="1801"/>
      </w:tblGrid>
      <w:tr w:rsidR="007E7EF4" w14:paraId="2DC76E20" w14:textId="77777777">
        <w:trPr>
          <w:trHeight w:val="567"/>
        </w:trPr>
        <w:tc>
          <w:tcPr>
            <w:tcW w:w="1337" w:type="pct"/>
            <w:shd w:val="clear" w:color="auto" w:fill="auto"/>
            <w:noWrap/>
            <w:vAlign w:val="center"/>
          </w:tcPr>
          <w:p w14:paraId="6D8F3CDB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序列号</w:t>
            </w:r>
          </w:p>
        </w:tc>
        <w:tc>
          <w:tcPr>
            <w:tcW w:w="2644" w:type="pct"/>
            <w:shd w:val="clear" w:color="auto" w:fill="auto"/>
            <w:noWrap/>
            <w:vAlign w:val="center"/>
          </w:tcPr>
          <w:p w14:paraId="2B1E8D21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14:paraId="4E18F04C" w14:textId="77777777" w:rsidR="007E7EF4" w:rsidRDefault="00DE7A2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AB1178" w14:paraId="28B580E8" w14:textId="77777777">
        <w:trPr>
          <w:trHeight w:val="567"/>
        </w:trPr>
        <w:tc>
          <w:tcPr>
            <w:tcW w:w="1337" w:type="pct"/>
            <w:shd w:val="clear" w:color="auto" w:fill="auto"/>
            <w:noWrap/>
            <w:vAlign w:val="center"/>
          </w:tcPr>
          <w:p w14:paraId="56D88549" w14:textId="77777777" w:rsidR="00AB1178" w:rsidRDefault="00AB1178" w:rsidP="00AB11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644" w:type="pct"/>
            <w:shd w:val="clear" w:color="auto" w:fill="auto"/>
            <w:noWrap/>
            <w:vAlign w:val="center"/>
          </w:tcPr>
          <w:p w14:paraId="4B7E1C2F" w14:textId="7EADCF20" w:rsidR="00AB1178" w:rsidRDefault="00AB1178" w:rsidP="00AB11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2"/>
              </w:rPr>
              <w:t>波分交换机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14:paraId="400C08AC" w14:textId="462F1A2E" w:rsidR="00AB1178" w:rsidRDefault="00AB1178" w:rsidP="00AB11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2"/>
              </w:rPr>
              <w:t>4</w:t>
            </w:r>
          </w:p>
        </w:tc>
      </w:tr>
      <w:tr w:rsidR="00BA080A" w14:paraId="520EB5EE" w14:textId="77777777">
        <w:trPr>
          <w:trHeight w:val="567"/>
        </w:trPr>
        <w:tc>
          <w:tcPr>
            <w:tcW w:w="1337" w:type="pct"/>
            <w:shd w:val="clear" w:color="auto" w:fill="auto"/>
            <w:noWrap/>
            <w:vAlign w:val="center"/>
          </w:tcPr>
          <w:p w14:paraId="561F16A0" w14:textId="77777777" w:rsidR="00BA080A" w:rsidRDefault="00BA080A" w:rsidP="00BA080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644" w:type="pct"/>
            <w:shd w:val="clear" w:color="auto" w:fill="auto"/>
            <w:noWrap/>
            <w:vAlign w:val="center"/>
          </w:tcPr>
          <w:p w14:paraId="01B3E9DF" w14:textId="7A3B3930" w:rsidR="00BA080A" w:rsidRDefault="00BA080A" w:rsidP="00BA080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2"/>
              </w:rPr>
              <w:t>服务器接入交换机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14:paraId="6E1FB925" w14:textId="4D0DEB23" w:rsidR="00BA080A" w:rsidRDefault="00BA080A" w:rsidP="00BA080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</w:p>
        </w:tc>
      </w:tr>
    </w:tbl>
    <w:p w14:paraId="26DF35E3" w14:textId="77777777" w:rsidR="007E7EF4" w:rsidRDefault="007E7EF4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</w:p>
    <w:p w14:paraId="71E77F3E" w14:textId="77777777" w:rsidR="007E7EF4" w:rsidRDefault="00DE7A2A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（二）最高限价</w:t>
      </w:r>
    </w:p>
    <w:p w14:paraId="590967E1" w14:textId="067DF5DD" w:rsidR="007E7EF4" w:rsidRPr="00BA080A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A080A">
        <w:rPr>
          <w:rFonts w:ascii="宋体" w:eastAsia="宋体" w:hAnsi="宋体" w:hint="eastAsia"/>
          <w:sz w:val="24"/>
          <w:szCs w:val="24"/>
        </w:rPr>
        <w:t>人民币</w:t>
      </w:r>
      <w:r w:rsidR="00BA080A" w:rsidRPr="00BA080A">
        <w:rPr>
          <w:rFonts w:ascii="宋体" w:eastAsia="宋体" w:hAnsi="宋体"/>
          <w:sz w:val="24"/>
          <w:szCs w:val="24"/>
        </w:rPr>
        <w:t>250</w:t>
      </w:r>
      <w:r w:rsidRPr="00BA080A">
        <w:rPr>
          <w:rFonts w:ascii="宋体" w:eastAsia="宋体" w:hAnsi="宋体"/>
          <w:sz w:val="24"/>
          <w:szCs w:val="24"/>
        </w:rPr>
        <w:t>.00万元</w:t>
      </w:r>
    </w:p>
    <w:p w14:paraId="58E31467" w14:textId="77777777" w:rsidR="007E7EF4" w:rsidRDefault="00DE7A2A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（三）资格条件</w:t>
      </w:r>
    </w:p>
    <w:p w14:paraId="1A92A250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须具有独立承担民事责任的能力；</w:t>
      </w:r>
    </w:p>
    <w:p w14:paraId="0669AA50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须具有良好的商业信誉和健全的财务会计制度；</w:t>
      </w:r>
    </w:p>
    <w:p w14:paraId="1EB76AF9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须具有履行合同所必需的设备和专业技术能力；</w:t>
      </w:r>
    </w:p>
    <w:p w14:paraId="7D8F96DD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 xml:space="preserve">须有依法缴纳税收和社会保障资金的良好记录； </w:t>
      </w:r>
    </w:p>
    <w:p w14:paraId="089B9646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5）</w:t>
      </w:r>
      <w:r>
        <w:rPr>
          <w:rFonts w:ascii="宋体" w:eastAsia="宋体" w:hAnsi="宋体" w:hint="eastAsia"/>
          <w:sz w:val="24"/>
          <w:szCs w:val="24"/>
        </w:rPr>
        <w:t xml:space="preserve"> 投标人</w:t>
      </w:r>
      <w:r>
        <w:rPr>
          <w:rFonts w:ascii="宋体" w:eastAsia="宋体" w:hAnsi="宋体"/>
          <w:sz w:val="24"/>
          <w:szCs w:val="24"/>
        </w:rPr>
        <w:t>参加政府采购活动前三年内，在经营活动中没有重大违法记录；</w:t>
      </w:r>
    </w:p>
    <w:p w14:paraId="53E0A3D1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6）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在近三年内未被国家财政部指定的“信用中国”网站（www.creditchina.gov.cn）、“中国政府采购网”（www.ccgp.gov.cn）列入失信被执行人、重大税收违法案件当事人名单、政府采购严重违法失信名单；</w:t>
      </w:r>
    </w:p>
    <w:p w14:paraId="6BF95F17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7）单位负责人为同一人或者存在直接控股、管理关系的不同单位，不得参加同一包件的竞争或者未划分包件的同一采购项目的竞争；</w:t>
      </w:r>
    </w:p>
    <w:p w14:paraId="58C1F136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8）本项目不接受联合体投标。</w:t>
      </w:r>
    </w:p>
    <w:p w14:paraId="234F8833" w14:textId="77777777" w:rsidR="007E7EF4" w:rsidRDefault="00DE7A2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9）法律、行政法规规定的其他条件。</w:t>
      </w:r>
    </w:p>
    <w:p w14:paraId="3D28CF5D" w14:textId="77777777" w:rsidR="007E7EF4" w:rsidRDefault="00DE7A2A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（四）功能及技术参数：</w:t>
      </w:r>
    </w:p>
    <w:p w14:paraId="244A955A" w14:textId="77777777" w:rsidR="00A82F1A" w:rsidRPr="00A82F1A" w:rsidRDefault="00A82F1A" w:rsidP="00A82F1A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A82F1A">
        <w:rPr>
          <w:rFonts w:ascii="宋体" w:eastAsia="宋体" w:hAnsi="宋体" w:cs="Times New Roman" w:hint="eastAsia"/>
          <w:b/>
          <w:kern w:val="0"/>
          <w:sz w:val="24"/>
          <w:szCs w:val="24"/>
        </w:rPr>
        <w:t>一、采购标的需实现的目标（项目概况）</w:t>
      </w:r>
    </w:p>
    <w:p w14:paraId="5C5051FE" w14:textId="77777777" w:rsidR="00A82F1A" w:rsidRPr="00A82F1A" w:rsidRDefault="00A82F1A" w:rsidP="00A82F1A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A82F1A">
        <w:rPr>
          <w:rFonts w:ascii="宋体" w:eastAsia="宋体" w:hAnsi="宋体" w:cs="Times New Roman" w:hint="eastAsia"/>
          <w:kern w:val="0"/>
          <w:sz w:val="24"/>
          <w:szCs w:val="24"/>
        </w:rPr>
        <w:t>上海交通大学医学院附属新华医院奉贤院区本着“总体规划，分步实施”的建设原则，进行规划建设，建设用地占地</w:t>
      </w:r>
      <w:r w:rsidRPr="00A82F1A">
        <w:rPr>
          <w:rFonts w:ascii="宋体" w:eastAsia="宋体" w:hAnsi="宋体" w:cs="Times New Roman"/>
          <w:kern w:val="0"/>
          <w:sz w:val="24"/>
          <w:szCs w:val="24"/>
        </w:rPr>
        <w:t>152亩（以勘测定界为准），总体规划1200床。本期建设内容主要包括：新建一栋医疗综合楼（包含医疗中心：门急诊、医技、病房等医疗功能；科研教学中心；行政管理中心：办公、会</w:t>
      </w:r>
      <w:r w:rsidRPr="00A82F1A">
        <w:rPr>
          <w:rFonts w:ascii="宋体" w:eastAsia="宋体" w:hAnsi="宋体" w:cs="Times New Roman"/>
          <w:kern w:val="0"/>
          <w:sz w:val="24"/>
          <w:szCs w:val="24"/>
        </w:rPr>
        <w:lastRenderedPageBreak/>
        <w:t>议、宿舍等功能；健康服务中心：体检、随访等服务功能），一栋动物实验房、地下车库（兼民防）以及相应的室外总体和配套工程等。本期建设规模：600张核定床位，总建筑面积134995平方米，其中地上建筑面积93165平方米，地下建筑面积41830平</w:t>
      </w:r>
      <w:r w:rsidRPr="00A82F1A">
        <w:rPr>
          <w:rFonts w:ascii="宋体" w:eastAsia="宋体" w:hAnsi="宋体" w:cs="Times New Roman" w:hint="eastAsia"/>
          <w:kern w:val="0"/>
          <w:sz w:val="24"/>
          <w:szCs w:val="24"/>
        </w:rPr>
        <w:t>方米。</w:t>
      </w:r>
    </w:p>
    <w:p w14:paraId="1066753D" w14:textId="77777777" w:rsidR="00A82F1A" w:rsidRPr="00A82F1A" w:rsidRDefault="00A82F1A" w:rsidP="00A82F1A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A82F1A">
        <w:rPr>
          <w:rFonts w:ascii="宋体" w:eastAsia="宋体" w:hAnsi="宋体" w:cs="Times New Roman" w:hint="eastAsia"/>
          <w:kern w:val="0"/>
          <w:sz w:val="24"/>
          <w:szCs w:val="24"/>
        </w:rPr>
        <w:t>此次招标内容为奉贤院区配套信息化建设。奉贤院区属于“五个新城”建设中的重大民生工程，本项目建设按照未来医院的规模，且遵循上海市“便捷就医服务”数字化转型</w:t>
      </w:r>
      <w:r w:rsidRPr="00A82F1A">
        <w:rPr>
          <w:rFonts w:ascii="宋体" w:eastAsia="宋体" w:hAnsi="宋体" w:cs="Times New Roman"/>
          <w:kern w:val="0"/>
          <w:sz w:val="24"/>
          <w:szCs w:val="24"/>
        </w:rPr>
        <w:t>1.0和2.0的工作方案，以智慧医疗、智慧服务、智慧管理“三位一体”的模式进行建设，以及通过互联互通标准化成熟度五级乙等、信息系统安全等级保护三级等评审要求。同时满足《市级医院智慧医院建设“十四五”规划》、申康“三统一” 新型智慧医院的要求，实现两个院区“一体两翼”的统一系统。一方面围绕以临床医护的便捷体验为重点的智慧医疗，一方面形成以精细化管理为目标智慧管</w:t>
      </w:r>
      <w:r w:rsidRPr="00A82F1A">
        <w:rPr>
          <w:rFonts w:ascii="宋体" w:eastAsia="宋体" w:hAnsi="宋体" w:cs="Times New Roman" w:hint="eastAsia"/>
          <w:kern w:val="0"/>
          <w:sz w:val="24"/>
          <w:szCs w:val="24"/>
        </w:rPr>
        <w:t>理，形成以智慧医疗及智慧管理为主的双轮驱动，立足打造建设专业齐全、功能齐备的高水平三甲综合医院，以及省级区域医疗中心及上海南部医疗高地。</w:t>
      </w:r>
    </w:p>
    <w:p w14:paraId="45AC5138" w14:textId="77777777" w:rsidR="00A82F1A" w:rsidRPr="00A82F1A" w:rsidRDefault="00A82F1A" w:rsidP="00A82F1A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A82F1A">
        <w:rPr>
          <w:rFonts w:ascii="宋体" w:eastAsia="宋体" w:hAnsi="宋体" w:cs="Times New Roman" w:hint="eastAsia"/>
          <w:kern w:val="0"/>
          <w:sz w:val="24"/>
          <w:szCs w:val="24"/>
        </w:rPr>
        <w:t>此项目为配套项目主要涉及到两院互联波分交换机、物理服务器的万兆接入交换机。</w:t>
      </w:r>
    </w:p>
    <w:p w14:paraId="7EB4A3B0" w14:textId="77777777" w:rsidR="00A82F1A" w:rsidRPr="00A82F1A" w:rsidRDefault="00A82F1A" w:rsidP="00A82F1A">
      <w:pPr>
        <w:widowControl/>
        <w:tabs>
          <w:tab w:val="left" w:pos="3307"/>
        </w:tabs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A82F1A">
        <w:rPr>
          <w:rFonts w:ascii="宋体" w:eastAsia="宋体" w:hAnsi="宋体" w:cs="Times New Roman" w:hint="eastAsia"/>
          <w:b/>
          <w:kern w:val="0"/>
          <w:sz w:val="24"/>
          <w:szCs w:val="24"/>
        </w:rPr>
        <w:t>二、采购清单</w:t>
      </w:r>
      <w:r w:rsidRPr="00A82F1A">
        <w:rPr>
          <w:rFonts w:ascii="宋体" w:eastAsia="宋体" w:hAnsi="宋体" w:cs="Times New Roman" w:hint="eastAsia"/>
          <w:b/>
          <w:color w:val="FF0000"/>
          <w:kern w:val="0"/>
          <w:sz w:val="24"/>
          <w:szCs w:val="24"/>
        </w:rPr>
        <w:t xml:space="preserve"> </w:t>
      </w:r>
      <w:r w:rsidRPr="00A82F1A">
        <w:rPr>
          <w:rFonts w:ascii="宋体" w:eastAsia="宋体" w:hAnsi="宋体" w:cs="Times New Roman"/>
          <w:b/>
          <w:color w:val="FF0000"/>
          <w:kern w:val="0"/>
          <w:sz w:val="24"/>
          <w:szCs w:val="24"/>
        </w:rPr>
        <w:tab/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3508"/>
        <w:gridCol w:w="1984"/>
        <w:gridCol w:w="1701"/>
      </w:tblGrid>
      <w:tr w:rsidR="00A82F1A" w:rsidRPr="00A82F1A" w14:paraId="4E33DB51" w14:textId="77777777" w:rsidTr="00AB28EB">
        <w:trPr>
          <w:trHeight w:val="282"/>
        </w:trPr>
        <w:tc>
          <w:tcPr>
            <w:tcW w:w="1737" w:type="dxa"/>
            <w:shd w:val="clear" w:color="auto" w:fill="auto"/>
            <w:noWrap/>
            <w:vAlign w:val="center"/>
          </w:tcPr>
          <w:p w14:paraId="72F888AD" w14:textId="77777777" w:rsidR="00A82F1A" w:rsidRPr="00A82F1A" w:rsidRDefault="00A82F1A" w:rsidP="00A82F1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A82F1A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序列号</w:t>
            </w:r>
          </w:p>
        </w:tc>
        <w:tc>
          <w:tcPr>
            <w:tcW w:w="3508" w:type="dxa"/>
            <w:shd w:val="clear" w:color="auto" w:fill="auto"/>
            <w:noWrap/>
            <w:vAlign w:val="center"/>
          </w:tcPr>
          <w:p w14:paraId="43A04ADC" w14:textId="77777777" w:rsidR="00A82F1A" w:rsidRPr="00A82F1A" w:rsidRDefault="00A82F1A" w:rsidP="00A82F1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A82F1A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型号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764B70E" w14:textId="77777777" w:rsidR="00A82F1A" w:rsidRPr="00A82F1A" w:rsidRDefault="00A82F1A" w:rsidP="00A82F1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A82F1A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</w:tcPr>
          <w:p w14:paraId="6DCF8BD2" w14:textId="77777777" w:rsidR="00A82F1A" w:rsidRPr="00A82F1A" w:rsidRDefault="00A82F1A" w:rsidP="00A82F1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A82F1A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是否核心产品</w:t>
            </w:r>
          </w:p>
        </w:tc>
      </w:tr>
      <w:tr w:rsidR="00A82F1A" w:rsidRPr="00A82F1A" w14:paraId="534B2F33" w14:textId="77777777" w:rsidTr="00AB28EB">
        <w:trPr>
          <w:trHeight w:val="282"/>
        </w:trPr>
        <w:tc>
          <w:tcPr>
            <w:tcW w:w="1737" w:type="dxa"/>
            <w:shd w:val="clear" w:color="auto" w:fill="auto"/>
            <w:noWrap/>
            <w:vAlign w:val="center"/>
          </w:tcPr>
          <w:p w14:paraId="36719F26" w14:textId="77777777" w:rsidR="00A82F1A" w:rsidRPr="00A82F1A" w:rsidRDefault="00A82F1A" w:rsidP="00A82F1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A82F1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08" w:type="dxa"/>
            <w:shd w:val="clear" w:color="auto" w:fill="auto"/>
            <w:noWrap/>
            <w:vAlign w:val="center"/>
          </w:tcPr>
          <w:p w14:paraId="3FF33DC9" w14:textId="77777777" w:rsidR="00A82F1A" w:rsidRPr="00A82F1A" w:rsidRDefault="00A82F1A" w:rsidP="00A82F1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A82F1A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波分交换机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1961EB5" w14:textId="77777777" w:rsidR="00A82F1A" w:rsidRPr="00A82F1A" w:rsidRDefault="00A82F1A" w:rsidP="00A82F1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A82F1A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27250C07" w14:textId="77777777" w:rsidR="00A82F1A" w:rsidRPr="00A82F1A" w:rsidRDefault="00A82F1A" w:rsidP="00A82F1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A82F1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是</w:t>
            </w:r>
          </w:p>
        </w:tc>
      </w:tr>
      <w:tr w:rsidR="00A82F1A" w:rsidRPr="00A82F1A" w14:paraId="592179AE" w14:textId="77777777" w:rsidTr="00AB28EB">
        <w:trPr>
          <w:trHeight w:val="531"/>
        </w:trPr>
        <w:tc>
          <w:tcPr>
            <w:tcW w:w="1737" w:type="dxa"/>
            <w:shd w:val="clear" w:color="auto" w:fill="auto"/>
            <w:noWrap/>
            <w:vAlign w:val="center"/>
          </w:tcPr>
          <w:p w14:paraId="065E9C62" w14:textId="77777777" w:rsidR="00A82F1A" w:rsidRPr="00A82F1A" w:rsidRDefault="00A82F1A" w:rsidP="00A82F1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A82F1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508" w:type="dxa"/>
            <w:shd w:val="clear" w:color="auto" w:fill="auto"/>
            <w:noWrap/>
            <w:vAlign w:val="center"/>
          </w:tcPr>
          <w:p w14:paraId="76A221CE" w14:textId="77777777" w:rsidR="00A82F1A" w:rsidRPr="00A82F1A" w:rsidRDefault="00A82F1A" w:rsidP="00A82F1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A82F1A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服务器接入交换机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4F7E39B" w14:textId="77777777" w:rsidR="00A82F1A" w:rsidRPr="00A82F1A" w:rsidRDefault="00A82F1A" w:rsidP="00A82F1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A82F1A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4E3903D" w14:textId="77777777" w:rsidR="00A82F1A" w:rsidRPr="00A82F1A" w:rsidRDefault="00A82F1A" w:rsidP="00A82F1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A82F1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否</w:t>
            </w:r>
          </w:p>
        </w:tc>
      </w:tr>
    </w:tbl>
    <w:p w14:paraId="7445FC6C" w14:textId="77777777" w:rsidR="00A82F1A" w:rsidRPr="00A82F1A" w:rsidRDefault="00A82F1A" w:rsidP="00A82F1A">
      <w:pPr>
        <w:widowControl/>
        <w:spacing w:line="360" w:lineRule="auto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A82F1A">
        <w:rPr>
          <w:rFonts w:ascii="宋体" w:eastAsia="宋体" w:hAnsi="宋体" w:cs="Times New Roman" w:hint="eastAsia"/>
          <w:b/>
          <w:kern w:val="0"/>
          <w:sz w:val="24"/>
          <w:szCs w:val="24"/>
        </w:rPr>
        <w:t xml:space="preserve"> </w:t>
      </w:r>
      <w:r w:rsidRPr="00A82F1A">
        <w:rPr>
          <w:rFonts w:ascii="宋体" w:eastAsia="宋体" w:hAnsi="宋体" w:cs="Times New Roman"/>
          <w:b/>
          <w:kern w:val="0"/>
          <w:sz w:val="24"/>
          <w:szCs w:val="24"/>
        </w:rPr>
        <w:t xml:space="preserve">    注：</w:t>
      </w:r>
      <w:r w:rsidRPr="00A82F1A">
        <w:rPr>
          <w:rFonts w:ascii="宋体" w:eastAsia="宋体" w:hAnsi="宋体" w:cs="Times New Roman" w:hint="eastAsia"/>
          <w:b/>
          <w:kern w:val="0"/>
          <w:sz w:val="24"/>
          <w:szCs w:val="24"/>
        </w:rPr>
        <w:t>★1</w:t>
      </w:r>
      <w:r w:rsidRPr="00A82F1A">
        <w:rPr>
          <w:rFonts w:ascii="宋体" w:eastAsia="宋体" w:hAnsi="宋体" w:cs="Times New Roman"/>
          <w:b/>
          <w:kern w:val="0"/>
          <w:sz w:val="24"/>
          <w:szCs w:val="24"/>
        </w:rPr>
        <w:t>.清单内所有产品均须提供所投产品的生产商针对本项目的授权书。</w:t>
      </w:r>
    </w:p>
    <w:p w14:paraId="3BF1B0DF" w14:textId="77777777" w:rsidR="00A82F1A" w:rsidRPr="00A82F1A" w:rsidRDefault="00A82F1A" w:rsidP="00A82F1A">
      <w:pPr>
        <w:widowControl/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</w:p>
    <w:p w14:paraId="421B3BBF" w14:textId="77777777" w:rsidR="00A82F1A" w:rsidRPr="00A82F1A" w:rsidRDefault="00A82F1A" w:rsidP="00A82F1A">
      <w:pPr>
        <w:widowControl/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A82F1A">
        <w:rPr>
          <w:rFonts w:ascii="宋体" w:eastAsia="宋体" w:hAnsi="宋体" w:cs="Times New Roman"/>
          <w:b/>
          <w:kern w:val="0"/>
          <w:sz w:val="24"/>
          <w:szCs w:val="24"/>
        </w:rPr>
        <w:t>三、</w:t>
      </w:r>
      <w:r w:rsidRPr="00A82F1A">
        <w:rPr>
          <w:rFonts w:ascii="宋体" w:eastAsia="宋体" w:hAnsi="宋体" w:cs="Times New Roman" w:hint="eastAsia"/>
          <w:b/>
          <w:kern w:val="0"/>
          <w:sz w:val="24"/>
          <w:szCs w:val="24"/>
        </w:rPr>
        <w:t>产品参数</w:t>
      </w:r>
    </w:p>
    <w:p w14:paraId="29CFD4F9" w14:textId="77777777" w:rsidR="00A82F1A" w:rsidRPr="00A82F1A" w:rsidRDefault="00A82F1A" w:rsidP="00A82F1A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bookmarkStart w:id="0" w:name="_Toc485050147"/>
      <w:r w:rsidRPr="00A82F1A">
        <w:rPr>
          <w:rFonts w:ascii="宋体" w:eastAsia="宋体" w:hAnsi="宋体" w:cs="Times New Roman"/>
          <w:sz w:val="24"/>
          <w:szCs w:val="20"/>
        </w:rPr>
        <w:t>1.</w:t>
      </w:r>
      <w:r w:rsidRPr="00A82F1A">
        <w:rPr>
          <w:rFonts w:ascii="宋体" w:eastAsia="宋体" w:hAnsi="宋体" w:cs="Times New Roman"/>
          <w:sz w:val="24"/>
          <w:szCs w:val="20"/>
        </w:rPr>
        <w:tab/>
        <w:t>波分交换机</w:t>
      </w:r>
    </w:p>
    <w:tbl>
      <w:tblPr>
        <w:tblW w:w="9673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381"/>
        <w:gridCol w:w="7292"/>
      </w:tblGrid>
      <w:tr w:rsidR="00A82F1A" w:rsidRPr="00A82F1A" w14:paraId="64DB909F" w14:textId="77777777" w:rsidTr="00AB28EB">
        <w:trPr>
          <w:trHeight w:val="300"/>
        </w:trPr>
        <w:tc>
          <w:tcPr>
            <w:tcW w:w="2381" w:type="dxa"/>
            <w:shd w:val="clear" w:color="auto" w:fill="FFFFFF"/>
            <w:vAlign w:val="center"/>
          </w:tcPr>
          <w:p w14:paraId="252A0BFB" w14:textId="77777777" w:rsidR="00A82F1A" w:rsidRPr="00A82F1A" w:rsidRDefault="00A82F1A" w:rsidP="00A82F1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</w:pPr>
            <w:r w:rsidRPr="00A82F1A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指标项</w:t>
            </w:r>
          </w:p>
        </w:tc>
        <w:tc>
          <w:tcPr>
            <w:tcW w:w="7292" w:type="dxa"/>
            <w:shd w:val="clear" w:color="auto" w:fill="FFFFFF"/>
            <w:vAlign w:val="center"/>
          </w:tcPr>
          <w:p w14:paraId="591A6683" w14:textId="77777777" w:rsidR="00A82F1A" w:rsidRPr="00A82F1A" w:rsidRDefault="00A82F1A" w:rsidP="00A82F1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</w:pPr>
            <w:r w:rsidRPr="00A82F1A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24"/>
                <w:szCs w:val="21"/>
                <w:lang w:bidi="ar"/>
              </w:rPr>
              <w:t>设备参数</w:t>
            </w:r>
          </w:p>
        </w:tc>
      </w:tr>
      <w:tr w:rsidR="00A82F1A" w:rsidRPr="00A82F1A" w14:paraId="7C1CEE36" w14:textId="77777777" w:rsidTr="00AB28EB">
        <w:trPr>
          <w:trHeight w:val="300"/>
        </w:trPr>
        <w:tc>
          <w:tcPr>
            <w:tcW w:w="2381" w:type="dxa"/>
            <w:shd w:val="clear" w:color="auto" w:fill="FFFFFF"/>
            <w:vAlign w:val="center"/>
          </w:tcPr>
          <w:p w14:paraId="56480637" w14:textId="77777777" w:rsidR="00A82F1A" w:rsidRPr="00A82F1A" w:rsidRDefault="00A82F1A" w:rsidP="00A82F1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配置要求</w:t>
            </w:r>
          </w:p>
        </w:tc>
        <w:tc>
          <w:tcPr>
            <w:tcW w:w="7292" w:type="dxa"/>
            <w:shd w:val="clear" w:color="auto" w:fill="FFFFFF"/>
            <w:vAlign w:val="center"/>
          </w:tcPr>
          <w:p w14:paraId="24235FBF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包含2*主控板交叉时钟板，1*8路合分波板，1*光纤线路接口板，1*100G光波长转换单板（含1*DWDM-100G模块，2*10G客户侧业务模块，2*40G客户侧业务模块），2*光放大板，1*光监控信道及时</w:t>
            </w: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钟传送板，含线路光纤质量监测功能。设备满足线路120KM/40dB传输，包含设备开通需要的电源线和接地线等配套线缆，以及配套的网管软硬件、网元许可lisence等。</w:t>
            </w:r>
          </w:p>
        </w:tc>
      </w:tr>
      <w:tr w:rsidR="00A82F1A" w:rsidRPr="00A82F1A" w14:paraId="1ADDC2C4" w14:textId="77777777" w:rsidTr="00AB28EB">
        <w:trPr>
          <w:trHeight w:val="300"/>
        </w:trPr>
        <w:tc>
          <w:tcPr>
            <w:tcW w:w="2381" w:type="dxa"/>
            <w:shd w:val="clear" w:color="auto" w:fill="FFFFFF"/>
            <w:vAlign w:val="center"/>
          </w:tcPr>
          <w:p w14:paraId="7CEB86EC" w14:textId="77777777" w:rsidR="00A82F1A" w:rsidRPr="00A82F1A" w:rsidRDefault="00A82F1A" w:rsidP="00A82F1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设备尺寸</w:t>
            </w:r>
          </w:p>
        </w:tc>
        <w:tc>
          <w:tcPr>
            <w:tcW w:w="7292" w:type="dxa"/>
            <w:shd w:val="clear" w:color="auto" w:fill="FFFFFF"/>
            <w:vAlign w:val="center"/>
          </w:tcPr>
          <w:p w14:paraId="72A40EEE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设备应不高于5U，支持19英寸及ETSI标准机柜安装；</w:t>
            </w:r>
          </w:p>
        </w:tc>
      </w:tr>
      <w:tr w:rsidR="00A82F1A" w:rsidRPr="00A82F1A" w14:paraId="29C3FE7E" w14:textId="77777777" w:rsidTr="00AB28EB">
        <w:trPr>
          <w:trHeight w:val="300"/>
        </w:trPr>
        <w:tc>
          <w:tcPr>
            <w:tcW w:w="2381" w:type="dxa"/>
            <w:vMerge w:val="restart"/>
            <w:shd w:val="clear" w:color="auto" w:fill="auto"/>
            <w:noWrap/>
            <w:vAlign w:val="center"/>
          </w:tcPr>
          <w:p w14:paraId="488587E2" w14:textId="77777777" w:rsidR="00A82F1A" w:rsidRPr="00A82F1A" w:rsidRDefault="00A82F1A" w:rsidP="00A82F1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平台能力</w:t>
            </w:r>
          </w:p>
        </w:tc>
        <w:tc>
          <w:tcPr>
            <w:tcW w:w="7292" w:type="dxa"/>
            <w:shd w:val="clear" w:color="auto" w:fill="FFFFFF"/>
            <w:vAlign w:val="center"/>
          </w:tcPr>
          <w:p w14:paraId="45BAC929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设备子架支持槽位数量不少于14个；</w:t>
            </w:r>
          </w:p>
        </w:tc>
      </w:tr>
      <w:tr w:rsidR="00A82F1A" w:rsidRPr="00A82F1A" w14:paraId="47024014" w14:textId="77777777" w:rsidTr="00AB28EB">
        <w:trPr>
          <w:trHeight w:val="535"/>
        </w:trPr>
        <w:tc>
          <w:tcPr>
            <w:tcW w:w="2381" w:type="dxa"/>
            <w:vMerge/>
            <w:shd w:val="clear" w:color="auto" w:fill="auto"/>
            <w:noWrap/>
            <w:vAlign w:val="center"/>
          </w:tcPr>
          <w:p w14:paraId="5F06DE05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92" w:type="dxa"/>
            <w:shd w:val="clear" w:color="auto" w:fill="FFFFFF"/>
            <w:vAlign w:val="center"/>
          </w:tcPr>
          <w:p w14:paraId="25805324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设备支持在一套设备完成SDH/OTN/PKT/CPRI/SAN业务的接入和交换，而不采用扩展子架实现；</w:t>
            </w:r>
          </w:p>
        </w:tc>
      </w:tr>
      <w:tr w:rsidR="00A82F1A" w:rsidRPr="00A82F1A" w14:paraId="1BFF9ACC" w14:textId="77777777" w:rsidTr="00AB28EB">
        <w:trPr>
          <w:trHeight w:val="535"/>
        </w:trPr>
        <w:tc>
          <w:tcPr>
            <w:tcW w:w="2381" w:type="dxa"/>
            <w:vMerge/>
            <w:shd w:val="clear" w:color="auto" w:fill="auto"/>
            <w:noWrap/>
            <w:vAlign w:val="center"/>
          </w:tcPr>
          <w:p w14:paraId="3C611B5A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92" w:type="dxa"/>
            <w:shd w:val="clear" w:color="auto" w:fill="FFFFFF"/>
            <w:vAlign w:val="center"/>
          </w:tcPr>
          <w:p w14:paraId="74632E99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设备平台OTN交叉能力不小于2.8Tbit/s ODUk(k=0、1、2、2e、3、4、flex)</w:t>
            </w:r>
            <w:r w:rsidRPr="00A82F1A"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</w:p>
        </w:tc>
      </w:tr>
      <w:tr w:rsidR="00A82F1A" w:rsidRPr="00A82F1A" w14:paraId="674C4815" w14:textId="77777777" w:rsidTr="00AB28EB">
        <w:trPr>
          <w:trHeight w:val="535"/>
        </w:trPr>
        <w:tc>
          <w:tcPr>
            <w:tcW w:w="2381" w:type="dxa"/>
            <w:vMerge/>
            <w:shd w:val="clear" w:color="auto" w:fill="auto"/>
            <w:noWrap/>
            <w:vAlign w:val="center"/>
          </w:tcPr>
          <w:p w14:paraId="37E23749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92" w:type="dxa"/>
            <w:shd w:val="clear" w:color="auto" w:fill="FFFFFF"/>
            <w:vAlign w:val="center"/>
          </w:tcPr>
          <w:p w14:paraId="7C6FC7AE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系统平台须采用密集波分技术，可支持单波</w:t>
            </w:r>
            <w:r w:rsidRPr="00A82F1A"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  <w:t xml:space="preserve">≥100Gbps、200 Gbps、400Gbps速率, </w:t>
            </w:r>
          </w:p>
        </w:tc>
      </w:tr>
      <w:tr w:rsidR="00A82F1A" w:rsidRPr="00A82F1A" w14:paraId="653CF123" w14:textId="77777777" w:rsidTr="00AB28EB">
        <w:trPr>
          <w:trHeight w:val="300"/>
        </w:trPr>
        <w:tc>
          <w:tcPr>
            <w:tcW w:w="2381" w:type="dxa"/>
            <w:shd w:val="clear" w:color="auto" w:fill="FFFFFF"/>
            <w:vAlign w:val="center"/>
          </w:tcPr>
          <w:p w14:paraId="747640CA" w14:textId="77777777" w:rsidR="00A82F1A" w:rsidRPr="00A82F1A" w:rsidRDefault="00A82F1A" w:rsidP="00A82F1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槽位利用率</w:t>
            </w:r>
          </w:p>
        </w:tc>
        <w:tc>
          <w:tcPr>
            <w:tcW w:w="7292" w:type="dxa"/>
            <w:shd w:val="clear" w:color="auto" w:fill="FFFFFF"/>
            <w:vAlign w:val="center"/>
          </w:tcPr>
          <w:p w14:paraId="77A08C8D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支持单槽位光层板卡同时具备光监控、光放大、合分波、</w:t>
            </w:r>
            <w:r w:rsidRPr="00A82F1A"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  <w:t>OTDR的能力</w:t>
            </w:r>
          </w:p>
        </w:tc>
      </w:tr>
      <w:tr w:rsidR="00A82F1A" w:rsidRPr="00A82F1A" w14:paraId="44955F84" w14:textId="77777777" w:rsidTr="00AB28EB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6DFBA58D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时延检测</w:t>
            </w:r>
          </w:p>
        </w:tc>
        <w:tc>
          <w:tcPr>
            <w:tcW w:w="7292" w:type="dxa"/>
            <w:shd w:val="clear" w:color="auto" w:fill="FFFFFF"/>
            <w:vAlign w:val="center"/>
          </w:tcPr>
          <w:p w14:paraId="6A0B0A41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设备支持通过网管进行时延检测；须提供时延检测功能的官网截图</w:t>
            </w:r>
          </w:p>
        </w:tc>
      </w:tr>
      <w:tr w:rsidR="00A82F1A" w:rsidRPr="00A82F1A" w14:paraId="180521E0" w14:textId="77777777" w:rsidTr="00AB28EB">
        <w:trPr>
          <w:trHeight w:val="535"/>
        </w:trPr>
        <w:tc>
          <w:tcPr>
            <w:tcW w:w="0" w:type="auto"/>
            <w:shd w:val="clear" w:color="auto" w:fill="auto"/>
            <w:noWrap/>
            <w:vAlign w:val="center"/>
          </w:tcPr>
          <w:p w14:paraId="317E271E" w14:textId="77777777" w:rsidR="00A82F1A" w:rsidRPr="00A82F1A" w:rsidRDefault="00A82F1A" w:rsidP="00A82F1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网络保护</w:t>
            </w:r>
          </w:p>
        </w:tc>
        <w:tc>
          <w:tcPr>
            <w:tcW w:w="7292" w:type="dxa"/>
            <w:shd w:val="clear" w:color="auto" w:fill="FFFFFF"/>
            <w:vAlign w:val="center"/>
          </w:tcPr>
          <w:p w14:paraId="4FAF6D68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设备支持OTN：客户侧1+1保护、板内1+1保护、ODUk SNCP、光线路保护、LPT。</w:t>
            </w:r>
          </w:p>
        </w:tc>
      </w:tr>
      <w:tr w:rsidR="00A82F1A" w:rsidRPr="00A82F1A" w14:paraId="2385330A" w14:textId="77777777" w:rsidTr="00AB28EB">
        <w:trPr>
          <w:trHeight w:val="535"/>
        </w:trPr>
        <w:tc>
          <w:tcPr>
            <w:tcW w:w="0" w:type="auto"/>
            <w:shd w:val="clear" w:color="auto" w:fill="auto"/>
            <w:noWrap/>
            <w:vAlign w:val="center"/>
          </w:tcPr>
          <w:p w14:paraId="17F141DA" w14:textId="77777777" w:rsidR="00A82F1A" w:rsidRPr="00A82F1A" w:rsidRDefault="00A82F1A" w:rsidP="00A82F1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波分技术指标</w:t>
            </w:r>
          </w:p>
        </w:tc>
        <w:tc>
          <w:tcPr>
            <w:tcW w:w="7292" w:type="dxa"/>
            <w:shd w:val="clear" w:color="auto" w:fill="FFFFFF"/>
            <w:vAlign w:val="center"/>
          </w:tcPr>
          <w:p w14:paraId="1D7819DF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系统平台支持密集波分技术，可支持单通道</w:t>
            </w:r>
            <w:r w:rsidRPr="00A82F1A"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  <w:t>≥</w:t>
            </w: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200 Gbps速率,可支持</w:t>
            </w:r>
            <w:r w:rsidRPr="00A82F1A"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  <w:t>≥</w:t>
            </w: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80波道或以上</w:t>
            </w:r>
          </w:p>
        </w:tc>
      </w:tr>
      <w:tr w:rsidR="00A82F1A" w:rsidRPr="00A82F1A" w14:paraId="5FE2EC1F" w14:textId="77777777" w:rsidTr="00AB28EB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4803D4DC" w14:textId="77777777" w:rsidR="00A82F1A" w:rsidRPr="00A82F1A" w:rsidRDefault="00A82F1A" w:rsidP="00A82F1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  <w:t>FC业务</w:t>
            </w:r>
          </w:p>
        </w:tc>
        <w:tc>
          <w:tcPr>
            <w:tcW w:w="7292" w:type="dxa"/>
            <w:shd w:val="clear" w:color="auto" w:fill="FFFFFF"/>
            <w:vAlign w:val="center"/>
          </w:tcPr>
          <w:p w14:paraId="5609C7AC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▲支持以下</w:t>
            </w:r>
            <w:r w:rsidRPr="00A82F1A"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  <w:t>FC业务接入</w:t>
            </w:r>
          </w:p>
          <w:p w14:paraId="503E03D3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</w:pPr>
            <w:r w:rsidRPr="00A82F1A"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  <w:t>1、FC 1G/2G/4G/8G</w:t>
            </w:r>
          </w:p>
          <w:p w14:paraId="76259688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</w:pPr>
            <w:r w:rsidRPr="00A82F1A"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  <w:t>2、FC 16G</w:t>
            </w:r>
          </w:p>
          <w:p w14:paraId="1B0CDA4B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</w:pPr>
            <w:r w:rsidRPr="00A82F1A"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  <w:t>3、FC 32G</w:t>
            </w:r>
          </w:p>
          <w:p w14:paraId="571F1E86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微软雅黑"/>
                <w:color w:val="333333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提供相关板卡说明与业各种业务信号映射能力说明，针对存储</w:t>
            </w:r>
            <w:r w:rsidRPr="00A82F1A"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  <w:t>FC业务提供第三方认证报告，并出具厂家所投产品系列通过第三方EANTC的SAN接口认证的认证报告</w:t>
            </w:r>
          </w:p>
        </w:tc>
      </w:tr>
      <w:tr w:rsidR="00A82F1A" w:rsidRPr="00A82F1A" w14:paraId="6028FA11" w14:textId="77777777" w:rsidTr="00AB28EB">
        <w:trPr>
          <w:trHeight w:val="300"/>
        </w:trPr>
        <w:tc>
          <w:tcPr>
            <w:tcW w:w="0" w:type="auto"/>
            <w:noWrap/>
            <w:vAlign w:val="center"/>
          </w:tcPr>
          <w:p w14:paraId="1F893B41" w14:textId="77777777" w:rsidR="00A82F1A" w:rsidRPr="00A82F1A" w:rsidRDefault="00A82F1A" w:rsidP="00A82F1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光纤质量检测</w:t>
            </w:r>
          </w:p>
        </w:tc>
        <w:tc>
          <w:tcPr>
            <w:tcW w:w="7292" w:type="dxa"/>
            <w:vAlign w:val="center"/>
          </w:tcPr>
          <w:p w14:paraId="6EB2E5DB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  <w:lang w:bidi="ar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设备无需通过外接硬件即可支持光纤在线监测功能，快速定位修复光纤故障</w:t>
            </w:r>
          </w:p>
        </w:tc>
      </w:tr>
      <w:tr w:rsidR="00A82F1A" w:rsidRPr="00A82F1A" w14:paraId="1B8DB3C8" w14:textId="77777777" w:rsidTr="00AB28EB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1F0E5397" w14:textId="77777777" w:rsidR="00A82F1A" w:rsidRPr="00A82F1A" w:rsidRDefault="00A82F1A" w:rsidP="00A82F1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同步协议</w:t>
            </w:r>
          </w:p>
        </w:tc>
        <w:tc>
          <w:tcPr>
            <w:tcW w:w="7292" w:type="dxa"/>
            <w:shd w:val="clear" w:color="auto" w:fill="FFFFFF"/>
            <w:vAlign w:val="center"/>
          </w:tcPr>
          <w:p w14:paraId="03A99389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设备支持同步以太和1588v2时间同步协议,须提供官网截图或证明材料。</w:t>
            </w:r>
          </w:p>
        </w:tc>
      </w:tr>
      <w:tr w:rsidR="00A82F1A" w:rsidRPr="00A82F1A" w14:paraId="3860EE47" w14:textId="77777777" w:rsidTr="00AB28EB">
        <w:trPr>
          <w:trHeight w:val="535"/>
        </w:trPr>
        <w:tc>
          <w:tcPr>
            <w:tcW w:w="0" w:type="auto"/>
            <w:noWrap/>
            <w:vAlign w:val="center"/>
          </w:tcPr>
          <w:p w14:paraId="2636BE4C" w14:textId="77777777" w:rsidR="00A82F1A" w:rsidRPr="00A82F1A" w:rsidRDefault="00A82F1A" w:rsidP="00A82F1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lastRenderedPageBreak/>
              <w:t>安全要求</w:t>
            </w:r>
          </w:p>
        </w:tc>
        <w:tc>
          <w:tcPr>
            <w:tcW w:w="7292" w:type="dxa"/>
            <w:vAlign w:val="center"/>
          </w:tcPr>
          <w:p w14:paraId="1D2F3DC2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设备支持对客户侧接入业务按端口加密功能，支持AES256加密协议</w:t>
            </w:r>
          </w:p>
        </w:tc>
      </w:tr>
      <w:tr w:rsidR="00A82F1A" w:rsidRPr="00A82F1A" w14:paraId="702DB48A" w14:textId="77777777" w:rsidTr="00AB28EB">
        <w:trPr>
          <w:trHeight w:val="535"/>
        </w:trPr>
        <w:tc>
          <w:tcPr>
            <w:tcW w:w="2381" w:type="dxa"/>
            <w:shd w:val="clear" w:color="auto" w:fill="FFFFFF"/>
            <w:vAlign w:val="center"/>
          </w:tcPr>
          <w:p w14:paraId="79A1F979" w14:textId="77777777" w:rsidR="00A82F1A" w:rsidRPr="00A82F1A" w:rsidRDefault="00A82F1A" w:rsidP="00A82F1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自主可控</w:t>
            </w:r>
          </w:p>
        </w:tc>
        <w:tc>
          <w:tcPr>
            <w:tcW w:w="7292" w:type="dxa"/>
            <w:shd w:val="clear" w:color="auto" w:fill="FFFFFF"/>
            <w:vAlign w:val="center"/>
          </w:tcPr>
          <w:p w14:paraId="55EC956F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设备的主控CPU、交换芯片、业务芯片及模块oDSP芯片等主要芯片为自主研发，具有自主知识产权。</w:t>
            </w:r>
          </w:p>
        </w:tc>
      </w:tr>
      <w:tr w:rsidR="00A82F1A" w:rsidRPr="00A82F1A" w14:paraId="307F9C6D" w14:textId="77777777" w:rsidTr="00AB28EB">
        <w:trPr>
          <w:trHeight w:val="535"/>
        </w:trPr>
        <w:tc>
          <w:tcPr>
            <w:tcW w:w="2381" w:type="dxa"/>
            <w:shd w:val="clear" w:color="auto" w:fill="FFFFFF"/>
            <w:vAlign w:val="center"/>
          </w:tcPr>
          <w:p w14:paraId="2473FD95" w14:textId="77777777" w:rsidR="00A82F1A" w:rsidRPr="00A82F1A" w:rsidRDefault="00A82F1A" w:rsidP="00A82F1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资质</w:t>
            </w:r>
          </w:p>
        </w:tc>
        <w:tc>
          <w:tcPr>
            <w:tcW w:w="7292" w:type="dxa"/>
            <w:shd w:val="clear" w:color="auto" w:fill="FFFFFF"/>
            <w:vAlign w:val="center"/>
          </w:tcPr>
          <w:p w14:paraId="10D402E4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lang w:bidi="ar"/>
              </w:rPr>
              <w:t>▲提供设备的中华人民共和国工业和信息化部（原中华人民共和国信息产业部）颁发的电信设备入网许可证和检测报告；</w:t>
            </w:r>
          </w:p>
        </w:tc>
      </w:tr>
    </w:tbl>
    <w:p w14:paraId="2AA0D2E5" w14:textId="77777777" w:rsidR="00A82F1A" w:rsidRPr="00A82F1A" w:rsidRDefault="00A82F1A" w:rsidP="00A82F1A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A82F1A">
        <w:rPr>
          <w:rFonts w:ascii="宋体" w:eastAsia="宋体" w:hAnsi="宋体" w:cs="Times New Roman"/>
          <w:szCs w:val="21"/>
        </w:rPr>
        <w:t>2.</w:t>
      </w:r>
      <w:r w:rsidRPr="00A82F1A">
        <w:rPr>
          <w:rFonts w:ascii="宋体" w:eastAsia="宋体" w:hAnsi="宋体" w:cs="Times New Roman"/>
          <w:szCs w:val="21"/>
        </w:rPr>
        <w:tab/>
        <w:t>服务器接入交换机</w:t>
      </w:r>
    </w:p>
    <w:tbl>
      <w:tblPr>
        <w:tblW w:w="5537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7381"/>
      </w:tblGrid>
      <w:tr w:rsidR="00A82F1A" w:rsidRPr="00A82F1A" w14:paraId="7C154DBE" w14:textId="77777777" w:rsidTr="00AB28EB">
        <w:trPr>
          <w:trHeight w:val="496"/>
        </w:trPr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77819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1"/>
              </w:rPr>
              <w:t>指标项</w:t>
            </w:r>
          </w:p>
        </w:tc>
        <w:tc>
          <w:tcPr>
            <w:tcW w:w="401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76046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1"/>
              </w:rPr>
              <w:t>技术规格要求</w:t>
            </w:r>
          </w:p>
        </w:tc>
      </w:tr>
      <w:tr w:rsidR="00A82F1A" w:rsidRPr="00A82F1A" w14:paraId="7D17F484" w14:textId="77777777" w:rsidTr="00AB28EB">
        <w:trPr>
          <w:trHeight w:val="468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47CF0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9FA66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A82F1A" w:rsidRPr="00A82F1A" w14:paraId="033C3AEF" w14:textId="77777777" w:rsidTr="00AB28EB">
        <w:trPr>
          <w:trHeight w:val="735"/>
        </w:trPr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C6783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转发性能</w:t>
            </w: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BD44C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最大交换容量≥</w:t>
            </w:r>
            <w:r w:rsidRPr="00A82F1A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1"/>
              </w:rPr>
              <w:t>9</w:t>
            </w: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6Tbps，最大包转发率≥2000Mpps，提供官网链接及截图证明</w:t>
            </w:r>
          </w:p>
        </w:tc>
      </w:tr>
      <w:tr w:rsidR="00A82F1A" w:rsidRPr="00A82F1A" w14:paraId="30563036" w14:textId="77777777" w:rsidTr="00AB28EB">
        <w:trPr>
          <w:trHeight w:val="586"/>
        </w:trPr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D95B4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硬件规格</w:t>
            </w: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4DAAE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电源1+1备份，风扇模块3+1备份，提供官网链接及截图证明</w:t>
            </w:r>
          </w:p>
        </w:tc>
      </w:tr>
      <w:tr w:rsidR="00A82F1A" w:rsidRPr="00A82F1A" w14:paraId="3718BD70" w14:textId="77777777" w:rsidTr="00AB28EB">
        <w:trPr>
          <w:trHeight w:val="411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449C7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F400A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设备缓存≥32M</w:t>
            </w:r>
          </w:p>
        </w:tc>
      </w:tr>
      <w:tr w:rsidR="00A82F1A" w:rsidRPr="00A82F1A" w14:paraId="69A68E2E" w14:textId="77777777" w:rsidTr="00AB28EB">
        <w:trPr>
          <w:trHeight w:val="417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84AA1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3CD44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支持前后、后前风道</w:t>
            </w:r>
          </w:p>
        </w:tc>
      </w:tr>
      <w:tr w:rsidR="00A82F1A" w:rsidRPr="00A82F1A" w14:paraId="4117E21C" w14:textId="77777777" w:rsidTr="00AB28EB">
        <w:trPr>
          <w:trHeight w:val="417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96ACE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3307C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CPU为国产自研芯片，提供权威第三方测试报告证明</w:t>
            </w:r>
          </w:p>
        </w:tc>
      </w:tr>
      <w:tr w:rsidR="00A82F1A" w:rsidRPr="00A82F1A" w14:paraId="28B066C1" w14:textId="77777777" w:rsidTr="00AB28EB">
        <w:trPr>
          <w:trHeight w:val="586"/>
        </w:trPr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A1693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端口配置要求</w:t>
            </w: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0ED67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▲100GE 光接口≥6个，10GE光接口≥48个，提供官网链接及截图证明</w:t>
            </w:r>
          </w:p>
        </w:tc>
      </w:tr>
      <w:tr w:rsidR="00A82F1A" w:rsidRPr="00A82F1A" w14:paraId="48AB830E" w14:textId="77777777" w:rsidTr="00AB28EB">
        <w:trPr>
          <w:trHeight w:val="586"/>
        </w:trPr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2C7E4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二层功能</w:t>
            </w: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B3E22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支持Access、Trunk和Hybrid三种模式</w:t>
            </w:r>
          </w:p>
        </w:tc>
      </w:tr>
      <w:tr w:rsidR="00A82F1A" w:rsidRPr="00A82F1A" w14:paraId="72094A1B" w14:textId="77777777" w:rsidTr="00AB28EB">
        <w:trPr>
          <w:trHeight w:val="586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F8EB8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3127F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支持M-LAG或vPC等类似技术（跨框链路聚合，要求配对设备有独立的控制平面，不能用堆叠等多虚一技术实现）</w:t>
            </w:r>
          </w:p>
        </w:tc>
      </w:tr>
      <w:tr w:rsidR="00A82F1A" w:rsidRPr="00A82F1A" w14:paraId="510DCB93" w14:textId="77777777" w:rsidTr="00AB28EB">
        <w:trPr>
          <w:trHeight w:val="586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CE1F2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4EFBC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支持ERPS以太环保护协议（G.8032）</w:t>
            </w:r>
          </w:p>
        </w:tc>
      </w:tr>
      <w:tr w:rsidR="00A82F1A" w:rsidRPr="00A82F1A" w14:paraId="03FA1C96" w14:textId="77777777" w:rsidTr="00AB28EB">
        <w:trPr>
          <w:trHeight w:val="586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79CCC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70224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支持动态MAC、静态MAC和黑洞MAC表项</w:t>
            </w:r>
          </w:p>
        </w:tc>
      </w:tr>
      <w:tr w:rsidR="00A82F1A" w:rsidRPr="00A82F1A" w14:paraId="72633A98" w14:textId="77777777" w:rsidTr="00AB28EB">
        <w:trPr>
          <w:trHeight w:val="586"/>
        </w:trPr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7638F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三层功能</w:t>
            </w: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34036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支持RIP、OSPF、ISIS、BGP等IPv4动态路由协议，支持RIPng、OSPFv3、ISISv6、BGP4+等IPv6动态路由协议</w:t>
            </w:r>
          </w:p>
        </w:tc>
      </w:tr>
      <w:tr w:rsidR="00A82F1A" w:rsidRPr="00A82F1A" w14:paraId="628DD39F" w14:textId="77777777" w:rsidTr="00AB28EB">
        <w:trPr>
          <w:trHeight w:val="586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BD765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33967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支持BFD for OSPF，BGP，IS-IS，Static Route</w:t>
            </w:r>
          </w:p>
        </w:tc>
      </w:tr>
      <w:tr w:rsidR="00A82F1A" w:rsidRPr="00A82F1A" w14:paraId="055E7F85" w14:textId="77777777" w:rsidTr="00AB28EB">
        <w:trPr>
          <w:trHeight w:val="586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C653B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48CE7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支持IPv6 VXLAN over IPv4</w:t>
            </w:r>
          </w:p>
        </w:tc>
      </w:tr>
      <w:tr w:rsidR="00A82F1A" w:rsidRPr="00A82F1A" w14:paraId="37B7CEB2" w14:textId="77777777" w:rsidTr="00AB28EB">
        <w:trPr>
          <w:trHeight w:val="586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EBFB3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CFA37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支持IPv6 ND、PMTU发现</w:t>
            </w:r>
          </w:p>
        </w:tc>
      </w:tr>
      <w:tr w:rsidR="00A82F1A" w:rsidRPr="00A82F1A" w14:paraId="019D734E" w14:textId="77777777" w:rsidTr="00AB28EB">
        <w:trPr>
          <w:trHeight w:val="586"/>
        </w:trPr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15DC7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lastRenderedPageBreak/>
              <w:t>MPLS</w:t>
            </w: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77055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支持MPLS</w:t>
            </w:r>
          </w:p>
        </w:tc>
      </w:tr>
      <w:tr w:rsidR="00A82F1A" w:rsidRPr="00A82F1A" w14:paraId="2E12A520" w14:textId="77777777" w:rsidTr="00AB28EB">
        <w:trPr>
          <w:trHeight w:val="586"/>
        </w:trPr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D25B8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可靠性</w:t>
            </w: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</w:tcPr>
          <w:p w14:paraId="607CC807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▲支持硬件BFD（Bidirectional Forwarding Detection）≤3.3ms检测间隔，提供第三方测试报告</w:t>
            </w:r>
          </w:p>
        </w:tc>
      </w:tr>
      <w:tr w:rsidR="00A82F1A" w:rsidRPr="00A82F1A" w14:paraId="0EA8DE01" w14:textId="77777777" w:rsidTr="00AB28EB">
        <w:trPr>
          <w:trHeight w:val="586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58010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EAB93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 xml:space="preserve">支持VRRP、VRRP负载分担、BFD for VRRP </w:t>
            </w:r>
          </w:p>
        </w:tc>
      </w:tr>
      <w:tr w:rsidR="00A82F1A" w:rsidRPr="00A82F1A" w14:paraId="5F898025" w14:textId="77777777" w:rsidTr="00AB28EB">
        <w:trPr>
          <w:trHeight w:val="586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9774B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27B86" w14:textId="77777777" w:rsidR="00A82F1A" w:rsidRPr="00A82F1A" w:rsidRDefault="00A82F1A" w:rsidP="00A82F1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支持集群或堆叠多虚一技术，实现单一界面管理多台设备</w:t>
            </w:r>
          </w:p>
        </w:tc>
      </w:tr>
      <w:tr w:rsidR="00A82F1A" w:rsidRPr="00A82F1A" w14:paraId="3AB167B7" w14:textId="77777777" w:rsidTr="00AB28EB">
        <w:trPr>
          <w:trHeight w:val="586"/>
        </w:trPr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5FBAF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DC特性</w:t>
            </w: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54629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支持Vxlan，且支持BGP EVPN特性</w:t>
            </w:r>
          </w:p>
        </w:tc>
      </w:tr>
      <w:tr w:rsidR="00A82F1A" w:rsidRPr="00A82F1A" w14:paraId="2A923DB0" w14:textId="77777777" w:rsidTr="00AB28EB">
        <w:trPr>
          <w:trHeight w:val="586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4A2A2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001CF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支持VXLAN over IPv6</w:t>
            </w:r>
          </w:p>
        </w:tc>
      </w:tr>
      <w:tr w:rsidR="00A82F1A" w:rsidRPr="00A82F1A" w14:paraId="26BD1C42" w14:textId="77777777" w:rsidTr="00AB28EB">
        <w:trPr>
          <w:trHeight w:val="586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55A76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C2C52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支持IPv6 VXLAN over IPv4</w:t>
            </w:r>
          </w:p>
        </w:tc>
      </w:tr>
      <w:tr w:rsidR="00A82F1A" w:rsidRPr="00A82F1A" w14:paraId="61DD889E" w14:textId="77777777" w:rsidTr="00AB28EB">
        <w:trPr>
          <w:trHeight w:val="586"/>
        </w:trPr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1DAFB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安全性</w:t>
            </w: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AA234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支持方式Ddos、arp攻击和ICMP攻击</w:t>
            </w:r>
          </w:p>
        </w:tc>
      </w:tr>
      <w:tr w:rsidR="00A82F1A" w:rsidRPr="00A82F1A" w14:paraId="35FD2805" w14:textId="77777777" w:rsidTr="00AB28EB">
        <w:trPr>
          <w:trHeight w:val="586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F0C8A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0B644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支持IP、MAC、端口和VLAN的组合绑定</w:t>
            </w:r>
          </w:p>
        </w:tc>
      </w:tr>
      <w:tr w:rsidR="00A82F1A" w:rsidRPr="00A82F1A" w14:paraId="03466CE6" w14:textId="77777777" w:rsidTr="00AB28EB">
        <w:trPr>
          <w:trHeight w:val="586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50F13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01BC7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支持802.1X认证</w:t>
            </w:r>
          </w:p>
        </w:tc>
      </w:tr>
      <w:tr w:rsidR="00A82F1A" w:rsidRPr="00A82F1A" w14:paraId="1922C3BF" w14:textId="77777777" w:rsidTr="00AB28EB">
        <w:trPr>
          <w:trHeight w:val="586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C7198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EBD59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支持微分段（IPv4和IPv6）</w:t>
            </w:r>
          </w:p>
        </w:tc>
      </w:tr>
      <w:tr w:rsidR="00A82F1A" w:rsidRPr="00A82F1A" w14:paraId="6D883F77" w14:textId="77777777" w:rsidTr="00AB28EB">
        <w:trPr>
          <w:trHeight w:val="586"/>
        </w:trPr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C23A4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配置和维护</w:t>
            </w: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03FB0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支持Telemetry</w:t>
            </w:r>
          </w:p>
        </w:tc>
      </w:tr>
      <w:tr w:rsidR="00A82F1A" w:rsidRPr="00A82F1A" w14:paraId="2FEB0505" w14:textId="77777777" w:rsidTr="00AB28EB">
        <w:trPr>
          <w:trHeight w:val="586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7B43D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A5351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支持VxLAN OAM: VxLAN ping, VxLAN tracert</w:t>
            </w:r>
          </w:p>
        </w:tc>
      </w:tr>
      <w:tr w:rsidR="00A82F1A" w:rsidRPr="00A82F1A" w14:paraId="2ED76C60" w14:textId="77777777" w:rsidTr="00AB28EB">
        <w:trPr>
          <w:trHeight w:val="586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C6C4D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3BDDB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支持ERSPAN增强</w:t>
            </w:r>
          </w:p>
        </w:tc>
      </w:tr>
      <w:tr w:rsidR="00A82F1A" w:rsidRPr="00A82F1A" w14:paraId="71C7D27A" w14:textId="77777777" w:rsidTr="00AB28EB">
        <w:trPr>
          <w:trHeight w:val="586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57558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37BF8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支持SNMP V1/V2/V3、Telnet、RMON、SSH</w:t>
            </w:r>
          </w:p>
        </w:tc>
      </w:tr>
      <w:tr w:rsidR="00A82F1A" w:rsidRPr="00A82F1A" w14:paraId="2E5E3781" w14:textId="77777777" w:rsidTr="00AB28EB">
        <w:trPr>
          <w:trHeight w:val="586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2760D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7A193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支持配置回滚</w:t>
            </w:r>
          </w:p>
        </w:tc>
      </w:tr>
      <w:tr w:rsidR="00A82F1A" w:rsidRPr="00A82F1A" w14:paraId="63A189FB" w14:textId="77777777" w:rsidTr="00AB28EB">
        <w:trPr>
          <w:trHeight w:val="586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4250E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E7815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支持缓存的微突发检测</w:t>
            </w:r>
          </w:p>
        </w:tc>
      </w:tr>
      <w:tr w:rsidR="00A82F1A" w:rsidRPr="00A82F1A" w14:paraId="2CEA8C73" w14:textId="77777777" w:rsidTr="00AB28EB">
        <w:trPr>
          <w:trHeight w:val="586"/>
        </w:trPr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73F8B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流量分析</w:t>
            </w: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D9DC6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支持Netstream</w:t>
            </w:r>
          </w:p>
        </w:tc>
      </w:tr>
      <w:tr w:rsidR="00A82F1A" w:rsidRPr="00A82F1A" w14:paraId="786D3729" w14:textId="77777777" w:rsidTr="00AB28EB">
        <w:trPr>
          <w:trHeight w:val="586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AD13F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A43F0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支持sFlow</w:t>
            </w:r>
          </w:p>
        </w:tc>
      </w:tr>
      <w:tr w:rsidR="00A82F1A" w:rsidRPr="00A82F1A" w14:paraId="6390C4B2" w14:textId="77777777" w:rsidTr="00AB28EB">
        <w:trPr>
          <w:trHeight w:val="586"/>
        </w:trPr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A0C18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智能无损功能</w:t>
            </w: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EB348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支持AI ECN：识别流量模型，动态调节ECN门限</w:t>
            </w:r>
          </w:p>
        </w:tc>
      </w:tr>
      <w:tr w:rsidR="00A82F1A" w:rsidRPr="00A82F1A" w14:paraId="799113E8" w14:textId="77777777" w:rsidTr="00AB28EB">
        <w:trPr>
          <w:trHeight w:val="586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6BE1A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7B254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支持DLB: 动态负载均衡</w:t>
            </w:r>
          </w:p>
        </w:tc>
      </w:tr>
      <w:tr w:rsidR="00A82F1A" w:rsidRPr="00A82F1A" w14:paraId="73F7E5F0" w14:textId="77777777" w:rsidTr="00AB28EB">
        <w:trPr>
          <w:trHeight w:val="586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5B1DA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4DABA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支持RoCE网络KPI质量可视</w:t>
            </w:r>
          </w:p>
        </w:tc>
      </w:tr>
      <w:tr w:rsidR="00A82F1A" w:rsidRPr="00A82F1A" w14:paraId="4CB9DDB8" w14:textId="77777777" w:rsidTr="00AB28EB">
        <w:trPr>
          <w:trHeight w:val="586"/>
        </w:trPr>
        <w:tc>
          <w:tcPr>
            <w:tcW w:w="98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D1643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BB560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支持PFC死锁预防</w:t>
            </w:r>
          </w:p>
        </w:tc>
      </w:tr>
      <w:tr w:rsidR="00A82F1A" w:rsidRPr="00A82F1A" w14:paraId="55916198" w14:textId="77777777" w:rsidTr="00AB28EB">
        <w:trPr>
          <w:trHeight w:val="586"/>
        </w:trPr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BBE61" w14:textId="77777777" w:rsidR="00A82F1A" w:rsidRPr="00A82F1A" w:rsidRDefault="00A82F1A" w:rsidP="00A82F1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实配</w:t>
            </w:r>
          </w:p>
        </w:tc>
        <w:tc>
          <w:tcPr>
            <w:tcW w:w="4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33D3E" w14:textId="77777777" w:rsidR="00A82F1A" w:rsidRPr="00A82F1A" w:rsidRDefault="00A82F1A" w:rsidP="00A82F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</w:pP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>▲单台实配：</w:t>
            </w:r>
            <w:r w:rsidRPr="00A82F1A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1"/>
              </w:rPr>
              <w:t>双电源，24个万兆多模模块，2个40GE多模模块，1根万兆堆叠线缆</w:t>
            </w:r>
            <w:r w:rsidRPr="00A82F1A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1"/>
              </w:rPr>
              <w:t xml:space="preserve"> </w:t>
            </w:r>
          </w:p>
        </w:tc>
      </w:tr>
    </w:tbl>
    <w:p w14:paraId="51FD0BA9" w14:textId="77777777" w:rsidR="007E7EF4" w:rsidRPr="00A82F1A" w:rsidRDefault="007E7EF4">
      <w:pPr>
        <w:spacing w:line="360" w:lineRule="auto"/>
        <w:rPr>
          <w:color w:val="000000"/>
        </w:rPr>
      </w:pPr>
      <w:bookmarkStart w:id="1" w:name="_GoBack"/>
      <w:bookmarkEnd w:id="0"/>
      <w:bookmarkEnd w:id="1"/>
    </w:p>
    <w:p w14:paraId="062B6C20" w14:textId="77777777" w:rsidR="007E7EF4" w:rsidRDefault="00DE7A2A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（五）商务要求</w:t>
      </w:r>
    </w:p>
    <w:p w14:paraId="4AC39054" w14:textId="77777777" w:rsidR="007E7EF4" w:rsidRPr="00F214AD" w:rsidRDefault="00DE7A2A">
      <w:pPr>
        <w:spacing w:line="360" w:lineRule="auto"/>
        <w:ind w:firstLineChars="200" w:firstLine="422"/>
        <w:rPr>
          <w:rFonts w:ascii="宋体" w:eastAsia="宋体" w:hAnsi="宋体"/>
          <w:b/>
          <w:szCs w:val="21"/>
        </w:rPr>
      </w:pPr>
      <w:r w:rsidRPr="00F214AD">
        <w:rPr>
          <w:rFonts w:ascii="宋体" w:eastAsia="宋体" w:hAnsi="宋体" w:hint="eastAsia"/>
          <w:b/>
          <w:szCs w:val="21"/>
        </w:rPr>
        <w:t>一、售后服务要求</w:t>
      </w:r>
    </w:p>
    <w:p w14:paraId="4DA53053" w14:textId="47324B39" w:rsidR="009154D4" w:rsidRPr="00F214AD" w:rsidRDefault="009154D4" w:rsidP="009154D4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14AD">
        <w:rPr>
          <w:rFonts w:ascii="宋体" w:eastAsia="宋体" w:hAnsi="宋体"/>
          <w:szCs w:val="21"/>
        </w:rPr>
        <w:t>1、▲工作日工程师现场技术支持需要</w:t>
      </w:r>
      <w:r w:rsidR="003A635B">
        <w:rPr>
          <w:rFonts w:ascii="宋体" w:eastAsia="宋体" w:hAnsi="宋体"/>
          <w:szCs w:val="21"/>
        </w:rPr>
        <w:t>12</w:t>
      </w:r>
      <w:r w:rsidRPr="00F214AD">
        <w:rPr>
          <w:rFonts w:ascii="宋体" w:eastAsia="宋体" w:hAnsi="宋体"/>
          <w:szCs w:val="21"/>
        </w:rPr>
        <w:t>0分钟内到现场；(星期一至星期五8:00-17:30，不包括星期六、星期日及法定节假日)；热线支持服务及远程故障诊断服务(7*24 小时)。</w:t>
      </w:r>
      <w:r w:rsidR="00080524" w:rsidRPr="00335653">
        <w:rPr>
          <w:rFonts w:ascii="宋体" w:eastAsia="宋体" w:hAnsi="宋体" w:hint="eastAsia"/>
          <w:b/>
          <w:bCs/>
          <w:szCs w:val="21"/>
        </w:rPr>
        <w:t>（以承诺函为准）</w:t>
      </w:r>
    </w:p>
    <w:p w14:paraId="553BCB00" w14:textId="1106A69B" w:rsidR="009154D4" w:rsidRPr="00F214AD" w:rsidRDefault="009154D4" w:rsidP="009154D4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14AD">
        <w:rPr>
          <w:rFonts w:ascii="宋体" w:eastAsia="宋体" w:hAnsi="宋体"/>
          <w:szCs w:val="21"/>
        </w:rPr>
        <w:t>2、响应时间：7*24小时电话及现场响应，包括法定节假日。</w:t>
      </w:r>
    </w:p>
    <w:p w14:paraId="71E79996" w14:textId="65CC0AF9" w:rsidR="009154D4" w:rsidRPr="00F214AD" w:rsidRDefault="009154D4" w:rsidP="009154D4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14AD">
        <w:rPr>
          <w:rFonts w:ascii="宋体" w:eastAsia="宋体" w:hAnsi="宋体"/>
          <w:szCs w:val="21"/>
        </w:rPr>
        <w:t>3、▲非工作日，当系统出现严重故障，乙方按7*24*2小时响应服务，派工程师到现场响应服务。</w:t>
      </w:r>
      <w:r w:rsidR="00335653" w:rsidRPr="00335653">
        <w:rPr>
          <w:rFonts w:ascii="宋体" w:eastAsia="宋体" w:hAnsi="宋体" w:hint="eastAsia"/>
          <w:b/>
          <w:bCs/>
          <w:szCs w:val="21"/>
        </w:rPr>
        <w:t>（以承诺函为准）</w:t>
      </w:r>
    </w:p>
    <w:p w14:paraId="5CFC007C" w14:textId="77777777" w:rsidR="009154D4" w:rsidRPr="00F214AD" w:rsidRDefault="009154D4" w:rsidP="009154D4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14AD">
        <w:rPr>
          <w:rFonts w:ascii="宋体" w:eastAsia="宋体" w:hAnsi="宋体"/>
          <w:szCs w:val="21"/>
        </w:rPr>
        <w:t xml:space="preserve">4、提供热线支持服务及远程故障诊断服务。 </w:t>
      </w:r>
      <w:r w:rsidRPr="00F214AD">
        <w:rPr>
          <w:rFonts w:ascii="MS Gothic" w:eastAsia="MS Gothic" w:hAnsi="MS Gothic" w:cs="MS Gothic" w:hint="eastAsia"/>
          <w:szCs w:val="21"/>
        </w:rPr>
        <w:t> </w:t>
      </w:r>
    </w:p>
    <w:p w14:paraId="4AAB6B97" w14:textId="77777777" w:rsidR="009154D4" w:rsidRPr="00F214AD" w:rsidRDefault="009154D4" w:rsidP="009154D4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14AD">
        <w:rPr>
          <w:rFonts w:ascii="宋体" w:eastAsia="宋体" w:hAnsi="宋体"/>
          <w:szCs w:val="21"/>
        </w:rPr>
        <w:t xml:space="preserve">5、提供三年原厂维护服务。 </w:t>
      </w:r>
      <w:r w:rsidRPr="00F214AD">
        <w:rPr>
          <w:rFonts w:ascii="MS Gothic" w:eastAsia="MS Gothic" w:hAnsi="MS Gothic" w:cs="MS Gothic" w:hint="eastAsia"/>
          <w:szCs w:val="21"/>
        </w:rPr>
        <w:t> </w:t>
      </w:r>
    </w:p>
    <w:p w14:paraId="2D4B51D4" w14:textId="77777777" w:rsidR="009154D4" w:rsidRPr="00F214AD" w:rsidRDefault="009154D4" w:rsidP="009154D4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14AD">
        <w:rPr>
          <w:rFonts w:ascii="宋体" w:eastAsia="宋体" w:hAnsi="宋体"/>
          <w:szCs w:val="21"/>
        </w:rPr>
        <w:t>6、提供原厂备件及支持服务。</w:t>
      </w:r>
    </w:p>
    <w:p w14:paraId="3D8F00EA" w14:textId="77777777" w:rsidR="009154D4" w:rsidRPr="00F214AD" w:rsidRDefault="009154D4" w:rsidP="009154D4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14AD">
        <w:rPr>
          <w:rFonts w:ascii="宋体" w:eastAsia="宋体" w:hAnsi="宋体"/>
          <w:szCs w:val="21"/>
        </w:rPr>
        <w:t>7、技术咨询：使用中遇到操作、工作流程不清晰、系统维护等技术上问题时，提供咨询服务，技术人员将负责详细解答。</w:t>
      </w:r>
    </w:p>
    <w:p w14:paraId="3222F51D" w14:textId="77777777" w:rsidR="009154D4" w:rsidRPr="00F214AD" w:rsidRDefault="009154D4" w:rsidP="009154D4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14AD">
        <w:rPr>
          <w:rFonts w:ascii="宋体" w:eastAsia="宋体" w:hAnsi="宋体"/>
          <w:szCs w:val="21"/>
        </w:rPr>
        <w:t>8、系统定期优化：定期为甲方进行系统优化，对服务器端的系统性能进行例行检查和优化工作。</w:t>
      </w:r>
    </w:p>
    <w:p w14:paraId="6CDFC7BC" w14:textId="77777777" w:rsidR="009154D4" w:rsidRPr="00F214AD" w:rsidRDefault="009154D4" w:rsidP="009154D4">
      <w:pPr>
        <w:spacing w:line="360" w:lineRule="auto"/>
        <w:ind w:leftChars="200" w:left="420"/>
        <w:rPr>
          <w:rFonts w:ascii="宋体" w:eastAsia="宋体" w:hAnsi="宋体"/>
          <w:szCs w:val="21"/>
        </w:rPr>
      </w:pPr>
      <w:r w:rsidRPr="00F214AD">
        <w:rPr>
          <w:rFonts w:ascii="宋体" w:eastAsia="宋体" w:hAnsi="宋体"/>
          <w:szCs w:val="21"/>
        </w:rPr>
        <w:t>9、软件版本升级：有新版本软件推出时，进行现有模块功能的版本升级。</w:t>
      </w:r>
    </w:p>
    <w:p w14:paraId="5217E1C8" w14:textId="5444C253" w:rsidR="007E7EF4" w:rsidRPr="00F214AD" w:rsidRDefault="00DE7A2A" w:rsidP="009154D4">
      <w:pPr>
        <w:spacing w:line="360" w:lineRule="auto"/>
        <w:ind w:leftChars="200" w:left="420"/>
        <w:rPr>
          <w:rFonts w:ascii="宋体" w:eastAsia="宋体" w:hAnsi="宋体"/>
          <w:b/>
          <w:szCs w:val="21"/>
        </w:rPr>
      </w:pPr>
      <w:r w:rsidRPr="00F214AD">
        <w:rPr>
          <w:rFonts w:ascii="宋体" w:eastAsia="宋体" w:hAnsi="宋体" w:hint="eastAsia"/>
          <w:b/>
          <w:szCs w:val="21"/>
        </w:rPr>
        <w:t>二、验收要求</w:t>
      </w:r>
    </w:p>
    <w:p w14:paraId="34A5D900" w14:textId="77777777" w:rsidR="007E7EF4" w:rsidRPr="00F214AD" w:rsidRDefault="00DE7A2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14AD">
        <w:rPr>
          <w:rFonts w:ascii="宋体" w:eastAsia="宋体" w:hAnsi="宋体" w:hint="eastAsia"/>
          <w:szCs w:val="21"/>
        </w:rPr>
        <w:t>到货一次性验收通过</w:t>
      </w:r>
    </w:p>
    <w:p w14:paraId="72C4748F" w14:textId="77777777" w:rsidR="007E7EF4" w:rsidRPr="00F214AD" w:rsidRDefault="00DE7A2A">
      <w:pPr>
        <w:spacing w:line="360" w:lineRule="auto"/>
        <w:ind w:firstLineChars="200" w:firstLine="422"/>
        <w:rPr>
          <w:rFonts w:ascii="宋体" w:eastAsia="宋体" w:hAnsi="宋体"/>
          <w:b/>
          <w:szCs w:val="21"/>
        </w:rPr>
      </w:pPr>
      <w:r w:rsidRPr="00F214AD">
        <w:rPr>
          <w:rFonts w:ascii="宋体" w:eastAsia="宋体" w:hAnsi="宋体"/>
          <w:b/>
          <w:szCs w:val="21"/>
        </w:rPr>
        <w:t>三、交货地点</w:t>
      </w:r>
    </w:p>
    <w:p w14:paraId="53127EB1" w14:textId="7F17872B" w:rsidR="007E7EF4" w:rsidRPr="00F214AD" w:rsidRDefault="009154D4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14AD">
        <w:rPr>
          <w:rFonts w:ascii="宋体" w:eastAsia="宋体" w:hAnsi="宋体" w:hint="eastAsia"/>
          <w:szCs w:val="21"/>
        </w:rPr>
        <w:t>上海新华医院奉贤院区</w:t>
      </w:r>
    </w:p>
    <w:p w14:paraId="774E4098" w14:textId="77777777" w:rsidR="007E7EF4" w:rsidRPr="00F214AD" w:rsidRDefault="00DE7A2A">
      <w:pPr>
        <w:spacing w:line="360" w:lineRule="auto"/>
        <w:ind w:firstLineChars="200" w:firstLine="422"/>
        <w:rPr>
          <w:rFonts w:ascii="宋体" w:eastAsia="宋体" w:hAnsi="宋体"/>
          <w:b/>
          <w:szCs w:val="21"/>
        </w:rPr>
      </w:pPr>
      <w:r w:rsidRPr="00F214AD">
        <w:rPr>
          <w:rFonts w:ascii="宋体" w:eastAsia="宋体" w:hAnsi="宋体"/>
          <w:b/>
          <w:szCs w:val="21"/>
        </w:rPr>
        <w:t>四、交货时间</w:t>
      </w:r>
    </w:p>
    <w:p w14:paraId="07933C8C" w14:textId="087B09A7" w:rsidR="007E7EF4" w:rsidRPr="00F214AD" w:rsidRDefault="009154D4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14AD">
        <w:rPr>
          <w:rFonts w:ascii="宋体" w:eastAsia="宋体" w:hAnsi="宋体" w:hint="eastAsia"/>
          <w:szCs w:val="21"/>
        </w:rPr>
        <w:t>合同签订后</w:t>
      </w:r>
      <w:r w:rsidRPr="00F214AD">
        <w:rPr>
          <w:rFonts w:ascii="宋体" w:eastAsia="宋体" w:hAnsi="宋体"/>
          <w:szCs w:val="21"/>
        </w:rPr>
        <w:t>60天</w:t>
      </w:r>
    </w:p>
    <w:p w14:paraId="52175EA1" w14:textId="77777777" w:rsidR="007E7EF4" w:rsidRPr="00F214AD" w:rsidRDefault="00DE7A2A">
      <w:pPr>
        <w:spacing w:line="360" w:lineRule="auto"/>
        <w:ind w:firstLineChars="200" w:firstLine="422"/>
        <w:rPr>
          <w:rFonts w:ascii="宋体" w:eastAsia="宋体" w:hAnsi="宋体"/>
          <w:b/>
          <w:szCs w:val="21"/>
        </w:rPr>
      </w:pPr>
      <w:r w:rsidRPr="00F214AD">
        <w:rPr>
          <w:rFonts w:ascii="宋体" w:eastAsia="宋体" w:hAnsi="宋体" w:hint="eastAsia"/>
          <w:b/>
          <w:szCs w:val="21"/>
        </w:rPr>
        <w:t>五、付款方式：</w:t>
      </w:r>
    </w:p>
    <w:p w14:paraId="1C616087" w14:textId="77777777" w:rsidR="007E7EF4" w:rsidRPr="00F214AD" w:rsidRDefault="00DE7A2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14AD">
        <w:rPr>
          <w:rFonts w:ascii="宋体" w:eastAsia="宋体" w:hAnsi="宋体"/>
          <w:szCs w:val="21"/>
        </w:rPr>
        <w:t>本项目</w:t>
      </w:r>
      <w:r w:rsidRPr="00F214AD">
        <w:rPr>
          <w:rFonts w:ascii="宋体" w:eastAsia="宋体" w:hAnsi="宋体" w:hint="eastAsia"/>
          <w:szCs w:val="21"/>
        </w:rPr>
        <w:t>到货</w:t>
      </w:r>
      <w:r w:rsidRPr="00F214AD">
        <w:rPr>
          <w:rFonts w:ascii="宋体" w:eastAsia="宋体" w:hAnsi="宋体"/>
          <w:szCs w:val="21"/>
        </w:rPr>
        <w:t>验收合格并在收到发票后，根据医院</w:t>
      </w:r>
      <w:r w:rsidRPr="00F214AD">
        <w:rPr>
          <w:rFonts w:ascii="宋体" w:eastAsia="宋体" w:hAnsi="宋体" w:hint="eastAsia"/>
          <w:szCs w:val="21"/>
        </w:rPr>
        <w:t>付款流程</w:t>
      </w:r>
      <w:r w:rsidRPr="00F214AD">
        <w:rPr>
          <w:rFonts w:ascii="宋体" w:eastAsia="宋体" w:hAnsi="宋体"/>
          <w:szCs w:val="21"/>
        </w:rPr>
        <w:t>，甲方向乙方支付本合同项目总金额的</w:t>
      </w:r>
      <w:r w:rsidRPr="00F214AD">
        <w:rPr>
          <w:rFonts w:ascii="宋体" w:eastAsia="宋体" w:hAnsi="宋体" w:hint="eastAsia"/>
          <w:szCs w:val="21"/>
        </w:rPr>
        <w:t>100</w:t>
      </w:r>
      <w:r w:rsidRPr="00F214AD">
        <w:rPr>
          <w:rFonts w:ascii="宋体" w:eastAsia="宋体" w:hAnsi="宋体"/>
          <w:szCs w:val="21"/>
        </w:rPr>
        <w:t>%货款。</w:t>
      </w:r>
    </w:p>
    <w:p w14:paraId="3203250F" w14:textId="77777777" w:rsidR="007E7EF4" w:rsidRPr="00F214AD" w:rsidRDefault="007E7EF4">
      <w:pPr>
        <w:rPr>
          <w:rFonts w:ascii="宋体" w:eastAsia="宋体" w:hAnsi="宋体"/>
          <w:b/>
          <w:szCs w:val="21"/>
        </w:rPr>
      </w:pPr>
    </w:p>
    <w:p w14:paraId="50270120" w14:textId="77777777" w:rsidR="007E7EF4" w:rsidRPr="00F214AD" w:rsidRDefault="00DE7A2A">
      <w:pPr>
        <w:rPr>
          <w:rFonts w:ascii="宋体" w:eastAsia="宋体" w:hAnsi="宋体"/>
          <w:b/>
          <w:szCs w:val="21"/>
        </w:rPr>
      </w:pPr>
      <w:r w:rsidRPr="00F214AD">
        <w:rPr>
          <w:rFonts w:ascii="宋体" w:eastAsia="宋体" w:hAnsi="宋体" w:hint="eastAsia"/>
          <w:b/>
          <w:szCs w:val="21"/>
        </w:rPr>
        <w:t>注：针对本项目：</w:t>
      </w:r>
    </w:p>
    <w:p w14:paraId="03630611" w14:textId="77777777" w:rsidR="007E7EF4" w:rsidRPr="00F214AD" w:rsidRDefault="00DE7A2A">
      <w:pPr>
        <w:spacing w:line="360" w:lineRule="auto"/>
        <w:ind w:firstLineChars="200" w:firstLine="422"/>
        <w:rPr>
          <w:rFonts w:ascii="宋体" w:eastAsia="宋体" w:hAnsi="宋体"/>
          <w:b/>
          <w:szCs w:val="21"/>
        </w:rPr>
      </w:pPr>
      <w:r w:rsidRPr="00F214AD">
        <w:rPr>
          <w:rFonts w:ascii="宋体" w:eastAsia="宋体" w:hAnsi="宋体" w:hint="eastAsia"/>
          <w:b/>
          <w:szCs w:val="21"/>
        </w:rPr>
        <w:t>（</w:t>
      </w:r>
      <w:r w:rsidRPr="00F214AD">
        <w:rPr>
          <w:rFonts w:ascii="宋体" w:eastAsia="宋体" w:hAnsi="宋体"/>
          <w:b/>
          <w:szCs w:val="21"/>
        </w:rPr>
        <w:t>1）“除价格分外，其他分值得分低于对应总分值的50%以下”的情况:如有，视为无效报价。</w:t>
      </w:r>
    </w:p>
    <w:p w14:paraId="7B6D49A7" w14:textId="77777777" w:rsidR="007E7EF4" w:rsidRDefault="007E7EF4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2AAF9490" w14:textId="49C0E5F7" w:rsidR="007E7EF4" w:rsidRDefault="00DE7A2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评标办法</w:t>
      </w:r>
    </w:p>
    <w:tbl>
      <w:tblPr>
        <w:tblW w:w="54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"/>
        <w:gridCol w:w="1431"/>
        <w:gridCol w:w="1367"/>
        <w:gridCol w:w="5245"/>
      </w:tblGrid>
      <w:tr w:rsidR="009A2CED" w14:paraId="3880B6B2" w14:textId="77777777" w:rsidTr="00904217">
        <w:trPr>
          <w:trHeight w:val="125"/>
          <w:jc w:val="center"/>
        </w:trPr>
        <w:tc>
          <w:tcPr>
            <w:tcW w:w="565" w:type="pct"/>
            <w:vAlign w:val="center"/>
          </w:tcPr>
          <w:p w14:paraId="3E4E4DD5" w14:textId="77777777" w:rsidR="009A2CED" w:rsidRDefault="009A2CED" w:rsidP="005F107F">
            <w:pPr>
              <w:pStyle w:val="p15"/>
              <w:spacing w:line="360" w:lineRule="auto"/>
              <w:ind w:hanging="1"/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  <w:r>
              <w:rPr>
                <w:rFonts w:ascii="宋体" w:hAnsi="宋体" w:hint="eastAsia"/>
                <w:kern w:val="2"/>
                <w:sz w:val="22"/>
                <w:szCs w:val="22"/>
              </w:rPr>
              <w:t>序号</w:t>
            </w:r>
          </w:p>
        </w:tc>
        <w:tc>
          <w:tcPr>
            <w:tcW w:w="789" w:type="pct"/>
            <w:vAlign w:val="center"/>
          </w:tcPr>
          <w:p w14:paraId="5D0CADF5" w14:textId="77777777" w:rsidR="009A2CED" w:rsidRDefault="009A2CED" w:rsidP="005F107F">
            <w:pPr>
              <w:pStyle w:val="p15"/>
              <w:spacing w:line="360" w:lineRule="auto"/>
              <w:ind w:firstLine="20"/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  <w:r>
              <w:rPr>
                <w:rFonts w:ascii="宋体" w:hAnsi="宋体" w:hint="eastAsia"/>
                <w:kern w:val="2"/>
                <w:sz w:val="22"/>
                <w:szCs w:val="22"/>
              </w:rPr>
              <w:t>评审要素</w:t>
            </w:r>
          </w:p>
        </w:tc>
        <w:tc>
          <w:tcPr>
            <w:tcW w:w="754" w:type="pct"/>
            <w:vAlign w:val="center"/>
          </w:tcPr>
          <w:p w14:paraId="4A7A7814" w14:textId="77777777" w:rsidR="009A2CED" w:rsidRDefault="009A2CED" w:rsidP="005F107F">
            <w:pPr>
              <w:pStyle w:val="p15"/>
              <w:spacing w:line="360" w:lineRule="auto"/>
              <w:ind w:firstLine="4"/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  <w:r>
              <w:rPr>
                <w:rFonts w:ascii="宋体" w:hAnsi="宋体" w:hint="eastAsia"/>
                <w:kern w:val="2"/>
                <w:sz w:val="22"/>
                <w:szCs w:val="22"/>
              </w:rPr>
              <w:t>满分分值</w:t>
            </w:r>
          </w:p>
        </w:tc>
        <w:tc>
          <w:tcPr>
            <w:tcW w:w="2892" w:type="pct"/>
            <w:vAlign w:val="center"/>
          </w:tcPr>
          <w:p w14:paraId="575D7C91" w14:textId="77777777" w:rsidR="009A2CED" w:rsidRDefault="009A2CED" w:rsidP="005F107F">
            <w:pPr>
              <w:pStyle w:val="p15"/>
              <w:spacing w:line="360" w:lineRule="auto"/>
              <w:ind w:firstLine="307"/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  <w:r>
              <w:rPr>
                <w:rFonts w:ascii="宋体" w:hAnsi="宋体" w:hint="eastAsia"/>
                <w:kern w:val="2"/>
                <w:sz w:val="22"/>
                <w:szCs w:val="22"/>
              </w:rPr>
              <w:t>主要评审内容</w:t>
            </w:r>
          </w:p>
        </w:tc>
      </w:tr>
      <w:tr w:rsidR="009A2CED" w14:paraId="1917EF12" w14:textId="77777777" w:rsidTr="00FE1E0A">
        <w:trPr>
          <w:trHeight w:val="1829"/>
          <w:jc w:val="center"/>
        </w:trPr>
        <w:tc>
          <w:tcPr>
            <w:tcW w:w="565" w:type="pct"/>
            <w:vAlign w:val="center"/>
          </w:tcPr>
          <w:p w14:paraId="3CED9358" w14:textId="77777777" w:rsidR="009A2CED" w:rsidRDefault="009A2CED" w:rsidP="005F107F">
            <w:pPr>
              <w:pStyle w:val="p17"/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  <w:r>
              <w:rPr>
                <w:rFonts w:ascii="宋体" w:hAnsi="宋体" w:hint="eastAsia"/>
                <w:kern w:val="2"/>
                <w:sz w:val="22"/>
                <w:szCs w:val="22"/>
              </w:rPr>
              <w:t>1</w:t>
            </w:r>
          </w:p>
        </w:tc>
        <w:tc>
          <w:tcPr>
            <w:tcW w:w="789" w:type="pct"/>
            <w:vAlign w:val="center"/>
          </w:tcPr>
          <w:p w14:paraId="013A7828" w14:textId="77777777" w:rsidR="009A2CED" w:rsidRDefault="009A2CED" w:rsidP="005F107F">
            <w:pPr>
              <w:pStyle w:val="p16"/>
              <w:spacing w:line="360" w:lineRule="auto"/>
              <w:ind w:hanging="6"/>
              <w:jc w:val="center"/>
              <w:rPr>
                <w:rFonts w:ascii="宋体" w:hAnsi="宋体" w:cs="Times New Roman"/>
                <w:b w:val="0"/>
                <w:bCs w:val="0"/>
                <w:kern w:val="2"/>
              </w:rPr>
            </w:pPr>
            <w:r>
              <w:rPr>
                <w:rFonts w:ascii="宋体" w:hAnsi="宋体" w:cs="Times New Roman" w:hint="eastAsia"/>
                <w:b w:val="0"/>
                <w:bCs w:val="0"/>
                <w:kern w:val="2"/>
              </w:rPr>
              <w:t>报价得分</w:t>
            </w:r>
          </w:p>
        </w:tc>
        <w:tc>
          <w:tcPr>
            <w:tcW w:w="754" w:type="pct"/>
            <w:vAlign w:val="center"/>
          </w:tcPr>
          <w:p w14:paraId="3B203A33" w14:textId="57B31D3E" w:rsidR="009A2CED" w:rsidRDefault="009A2CED" w:rsidP="005F107F">
            <w:pPr>
              <w:pStyle w:val="p16"/>
              <w:spacing w:line="360" w:lineRule="auto"/>
              <w:ind w:hanging="6"/>
              <w:jc w:val="center"/>
              <w:rPr>
                <w:rFonts w:ascii="宋体" w:hAnsi="宋体" w:cs="Times New Roman"/>
                <w:b w:val="0"/>
                <w:bCs w:val="0"/>
                <w:kern w:val="2"/>
              </w:rPr>
            </w:pPr>
            <w:r>
              <w:rPr>
                <w:rFonts w:ascii="宋体" w:hAnsi="宋体" w:cs="Times New Roman"/>
                <w:b w:val="0"/>
                <w:bCs w:val="0"/>
                <w:kern w:val="2"/>
              </w:rPr>
              <w:t>3</w:t>
            </w:r>
            <w:r>
              <w:rPr>
                <w:rFonts w:ascii="宋体" w:hAnsi="宋体" w:cs="Times New Roman" w:hint="eastAsia"/>
                <w:b w:val="0"/>
                <w:bCs w:val="0"/>
                <w:kern w:val="2"/>
              </w:rPr>
              <w:t>0</w:t>
            </w:r>
            <w:r w:rsidR="00335653">
              <w:rPr>
                <w:rFonts w:ascii="宋体" w:hAnsi="宋体" w:cs="Times New Roman" w:hint="eastAsia"/>
                <w:b w:val="0"/>
                <w:bCs w:val="0"/>
                <w:kern w:val="2"/>
              </w:rPr>
              <w:t>分</w:t>
            </w:r>
          </w:p>
        </w:tc>
        <w:tc>
          <w:tcPr>
            <w:tcW w:w="2893" w:type="pct"/>
            <w:vAlign w:val="center"/>
          </w:tcPr>
          <w:p w14:paraId="5E657BB0" w14:textId="5BEE483D" w:rsidR="009A2CED" w:rsidRDefault="009A2CED" w:rsidP="005F107F">
            <w:pPr>
              <w:pStyle w:val="p16"/>
              <w:spacing w:line="360" w:lineRule="auto"/>
              <w:ind w:hanging="6"/>
              <w:jc w:val="both"/>
              <w:rPr>
                <w:rFonts w:ascii="宋体" w:hAnsi="宋体" w:cs="Times New Roman"/>
                <w:b w:val="0"/>
                <w:bCs w:val="0"/>
                <w:kern w:val="2"/>
              </w:rPr>
            </w:pPr>
            <w:r>
              <w:rPr>
                <w:rFonts w:ascii="宋体" w:hAnsi="宋体" w:cs="Times New Roman" w:hint="eastAsia"/>
                <w:b w:val="0"/>
                <w:bCs w:val="0"/>
                <w:kern w:val="2"/>
              </w:rPr>
              <w:t>以满足</w:t>
            </w:r>
            <w:r w:rsidR="00CC7B42">
              <w:rPr>
                <w:rFonts w:ascii="宋体" w:hAnsi="宋体" w:cs="Times New Roman" w:hint="eastAsia"/>
                <w:b w:val="0"/>
                <w:bCs w:val="0"/>
                <w:kern w:val="2"/>
              </w:rPr>
              <w:t>招标文件</w:t>
            </w:r>
            <w:r>
              <w:rPr>
                <w:rFonts w:ascii="宋体" w:hAnsi="宋体" w:cs="Times New Roman" w:hint="eastAsia"/>
                <w:b w:val="0"/>
                <w:bCs w:val="0"/>
                <w:kern w:val="2"/>
              </w:rPr>
              <w:t>要求且报价价格最低的报价为评审基准价，其价格分为满分。其他</w:t>
            </w:r>
            <w:r w:rsidR="00CC7B42">
              <w:rPr>
                <w:rFonts w:ascii="宋体" w:hAnsi="宋体" w:cs="Times New Roman" w:hint="eastAsia"/>
                <w:b w:val="0"/>
                <w:bCs w:val="0"/>
                <w:kern w:val="2"/>
              </w:rPr>
              <w:t>投标人</w:t>
            </w:r>
            <w:r>
              <w:rPr>
                <w:rFonts w:ascii="宋体" w:hAnsi="宋体" w:cs="Times New Roman" w:hint="eastAsia"/>
                <w:b w:val="0"/>
                <w:bCs w:val="0"/>
                <w:kern w:val="2"/>
              </w:rPr>
              <w:t>的价格分统一按照下列公式计算。</w:t>
            </w:r>
          </w:p>
          <w:p w14:paraId="7646E6FA" w14:textId="27833F63" w:rsidR="009A2CED" w:rsidRDefault="009A2CED" w:rsidP="005F107F">
            <w:pPr>
              <w:pStyle w:val="p16"/>
              <w:spacing w:line="360" w:lineRule="auto"/>
              <w:ind w:hanging="6"/>
              <w:jc w:val="both"/>
              <w:rPr>
                <w:rFonts w:ascii="宋体" w:hAnsi="宋体"/>
                <w:kern w:val="2"/>
              </w:rPr>
            </w:pPr>
            <w:r>
              <w:rPr>
                <w:rFonts w:ascii="宋体" w:hAnsi="宋体" w:cs="Times New Roman" w:hint="eastAsia"/>
                <w:b w:val="0"/>
                <w:bCs w:val="0"/>
                <w:kern w:val="2"/>
              </w:rPr>
              <w:t>报价得分=（评审基准价/</w:t>
            </w:r>
            <w:r w:rsidR="00CC7B42">
              <w:rPr>
                <w:rFonts w:ascii="宋体" w:hAnsi="宋体" w:cs="Times New Roman" w:hint="eastAsia"/>
                <w:b w:val="0"/>
                <w:bCs w:val="0"/>
                <w:kern w:val="2"/>
              </w:rPr>
              <w:t>投标</w:t>
            </w:r>
            <w:r>
              <w:rPr>
                <w:rFonts w:ascii="宋体" w:hAnsi="宋体" w:cs="Times New Roman" w:hint="eastAsia"/>
                <w:b w:val="0"/>
                <w:bCs w:val="0"/>
                <w:kern w:val="2"/>
              </w:rPr>
              <w:t>报价）×</w:t>
            </w:r>
            <w:r>
              <w:rPr>
                <w:rFonts w:ascii="宋体" w:hAnsi="宋体" w:cs="Times New Roman"/>
                <w:b w:val="0"/>
                <w:bCs w:val="0"/>
                <w:kern w:val="2"/>
              </w:rPr>
              <w:t>3</w:t>
            </w:r>
            <w:r>
              <w:rPr>
                <w:rFonts w:ascii="宋体" w:hAnsi="宋体" w:cs="Times New Roman" w:hint="eastAsia"/>
                <w:b w:val="0"/>
                <w:bCs w:val="0"/>
                <w:kern w:val="2"/>
              </w:rPr>
              <w:t>0</w:t>
            </w:r>
          </w:p>
        </w:tc>
      </w:tr>
      <w:tr w:rsidR="00904217" w14:paraId="5C96FE94" w14:textId="77777777" w:rsidTr="00904217">
        <w:trPr>
          <w:trHeight w:val="1550"/>
          <w:jc w:val="center"/>
        </w:trPr>
        <w:tc>
          <w:tcPr>
            <w:tcW w:w="565" w:type="pct"/>
            <w:vMerge w:val="restart"/>
            <w:vAlign w:val="center"/>
          </w:tcPr>
          <w:p w14:paraId="463B4EE5" w14:textId="77777777" w:rsidR="00904217" w:rsidRDefault="00904217" w:rsidP="005F107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2</w:t>
            </w:r>
          </w:p>
        </w:tc>
        <w:tc>
          <w:tcPr>
            <w:tcW w:w="789" w:type="pct"/>
            <w:vMerge w:val="restart"/>
            <w:vAlign w:val="center"/>
          </w:tcPr>
          <w:p w14:paraId="6C4E7A5C" w14:textId="77777777" w:rsidR="00904217" w:rsidRDefault="00904217" w:rsidP="005F107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履约及供货能力</w:t>
            </w:r>
          </w:p>
        </w:tc>
        <w:tc>
          <w:tcPr>
            <w:tcW w:w="754" w:type="pct"/>
            <w:vMerge w:val="restart"/>
            <w:vAlign w:val="center"/>
          </w:tcPr>
          <w:p w14:paraId="19B90D17" w14:textId="77777777" w:rsidR="00904217" w:rsidRDefault="00904217" w:rsidP="005F107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  <w:r>
              <w:rPr>
                <w:rFonts w:ascii="宋体" w:eastAsia="宋体" w:hAnsi="宋体" w:cs="宋体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sz w:val="22"/>
              </w:rPr>
              <w:t>分</w:t>
            </w:r>
          </w:p>
        </w:tc>
        <w:tc>
          <w:tcPr>
            <w:tcW w:w="2893" w:type="pct"/>
            <w:vAlign w:val="center"/>
          </w:tcPr>
          <w:p w14:paraId="6B37F3F5" w14:textId="71606B1C" w:rsidR="00904217" w:rsidRPr="00904217" w:rsidRDefault="00904217" w:rsidP="005F107F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  <w:r w:rsidRPr="00904217">
              <w:rPr>
                <w:rFonts w:ascii="宋体" w:eastAsia="宋体" w:hAnsi="宋体" w:cs="宋体"/>
                <w:b/>
                <w:sz w:val="22"/>
              </w:rPr>
              <w:t>业主评价：</w:t>
            </w:r>
            <w:r w:rsidRPr="00904217">
              <w:rPr>
                <w:rFonts w:ascii="宋体" w:eastAsia="宋体" w:hAnsi="宋体" w:cs="宋体"/>
                <w:sz w:val="22"/>
              </w:rPr>
              <w:t>提供客户履约满意度评价情况（优秀、满意等），以加盖单位公章或部门公章的证明资料为准。每提供1个得1分，最多得2分。</w:t>
            </w:r>
          </w:p>
        </w:tc>
      </w:tr>
      <w:tr w:rsidR="00B708E1" w14:paraId="200AD0F5" w14:textId="77777777" w:rsidTr="00904217">
        <w:trPr>
          <w:trHeight w:val="852"/>
          <w:jc w:val="center"/>
        </w:trPr>
        <w:tc>
          <w:tcPr>
            <w:tcW w:w="565" w:type="pct"/>
            <w:vMerge/>
            <w:vAlign w:val="center"/>
          </w:tcPr>
          <w:p w14:paraId="2A837AF7" w14:textId="77777777" w:rsidR="00B708E1" w:rsidRDefault="00B708E1" w:rsidP="005F107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89" w:type="pct"/>
            <w:vMerge/>
            <w:vAlign w:val="center"/>
          </w:tcPr>
          <w:p w14:paraId="11113258" w14:textId="77777777" w:rsidR="00B708E1" w:rsidRDefault="00B708E1" w:rsidP="005F107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4" w:type="pct"/>
            <w:vMerge/>
            <w:vAlign w:val="center"/>
          </w:tcPr>
          <w:p w14:paraId="5BC520ED" w14:textId="77777777" w:rsidR="00B708E1" w:rsidRDefault="00B708E1" w:rsidP="005F107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92" w:type="pct"/>
            <w:vAlign w:val="center"/>
          </w:tcPr>
          <w:p w14:paraId="72A00C69" w14:textId="7B5E107D" w:rsidR="00B708E1" w:rsidRPr="00904217" w:rsidRDefault="00B708E1" w:rsidP="00B708E1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  <w:r w:rsidRPr="00904217">
              <w:rPr>
                <w:rFonts w:ascii="宋体" w:eastAsia="宋体" w:hAnsi="宋体" w:cs="宋体" w:hint="eastAsia"/>
                <w:b/>
                <w:sz w:val="22"/>
              </w:rPr>
              <w:t>评审内容：</w:t>
            </w:r>
            <w:r w:rsidRPr="00904217">
              <w:rPr>
                <w:rFonts w:ascii="宋体" w:eastAsia="宋体" w:hAnsi="宋体" w:cs="宋体" w:hint="eastAsia"/>
                <w:sz w:val="22"/>
              </w:rPr>
              <w:t>自拟的用于证明投标人承担本项目优势的证明资料。（</w:t>
            </w:r>
            <w:r w:rsidRPr="00904217">
              <w:rPr>
                <w:rFonts w:ascii="宋体" w:eastAsia="宋体" w:hAnsi="宋体" w:cs="宋体"/>
                <w:sz w:val="22"/>
              </w:rPr>
              <w:t>0-4分）</w:t>
            </w:r>
          </w:p>
          <w:p w14:paraId="010901F3" w14:textId="76056D90" w:rsidR="00B708E1" w:rsidRPr="00904217" w:rsidRDefault="00B708E1" w:rsidP="00B708E1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  <w:r w:rsidRPr="00904217">
              <w:rPr>
                <w:rFonts w:ascii="宋体" w:eastAsia="宋体" w:hAnsi="宋体" w:cs="宋体" w:hint="eastAsia"/>
                <w:b/>
                <w:sz w:val="22"/>
              </w:rPr>
              <w:t>评审标准：</w:t>
            </w:r>
            <w:r w:rsidRPr="00904217">
              <w:rPr>
                <w:rFonts w:ascii="宋体" w:eastAsia="宋体" w:hAnsi="宋体" w:cs="宋体" w:hint="eastAsia"/>
                <w:sz w:val="22"/>
              </w:rPr>
              <w:t>自拟优势及证明资料齐全，且具有说服力的得4</w:t>
            </w:r>
            <w:r w:rsidRPr="00904217">
              <w:rPr>
                <w:rFonts w:ascii="宋体" w:eastAsia="宋体" w:hAnsi="宋体" w:cs="宋体"/>
                <w:sz w:val="22"/>
              </w:rPr>
              <w:t>分；</w:t>
            </w:r>
          </w:p>
          <w:p w14:paraId="519C66AC" w14:textId="391B4871" w:rsidR="00B708E1" w:rsidRPr="00904217" w:rsidRDefault="00B708E1" w:rsidP="00B708E1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  <w:r w:rsidRPr="00904217">
              <w:rPr>
                <w:rFonts w:ascii="宋体" w:eastAsia="宋体" w:hAnsi="宋体" w:cs="宋体" w:hint="eastAsia"/>
                <w:sz w:val="22"/>
              </w:rPr>
              <w:t>自拟优势及证明资料较齐全，比较有说服力的得</w:t>
            </w:r>
            <w:r w:rsidRPr="00904217">
              <w:rPr>
                <w:rFonts w:ascii="宋体" w:eastAsia="宋体" w:hAnsi="宋体" w:cs="宋体"/>
                <w:sz w:val="22"/>
              </w:rPr>
              <w:t>2-3分；</w:t>
            </w:r>
          </w:p>
          <w:p w14:paraId="781BB271" w14:textId="66B6F502" w:rsidR="00B708E1" w:rsidRPr="00904217" w:rsidRDefault="00B708E1" w:rsidP="00B708E1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  <w:r w:rsidRPr="00904217">
              <w:rPr>
                <w:rFonts w:ascii="宋体" w:eastAsia="宋体" w:hAnsi="宋体" w:cs="宋体" w:hint="eastAsia"/>
                <w:sz w:val="22"/>
              </w:rPr>
              <w:t>自拟优势及证明资料有缺漏，说服力较差的得</w:t>
            </w:r>
            <w:r w:rsidRPr="00904217">
              <w:rPr>
                <w:rFonts w:ascii="宋体" w:eastAsia="宋体" w:hAnsi="宋体" w:cs="宋体"/>
                <w:sz w:val="22"/>
              </w:rPr>
              <w:t>1分；</w:t>
            </w:r>
          </w:p>
          <w:p w14:paraId="348CFE76" w14:textId="59999C2D" w:rsidR="00B708E1" w:rsidRPr="00904217" w:rsidRDefault="00B708E1" w:rsidP="00B708E1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  <w:r w:rsidRPr="00904217">
              <w:rPr>
                <w:rFonts w:ascii="宋体" w:eastAsia="宋体" w:hAnsi="宋体" w:cs="宋体" w:hint="eastAsia"/>
                <w:sz w:val="22"/>
              </w:rPr>
              <w:t>未提供的得</w:t>
            </w:r>
            <w:r w:rsidRPr="00904217">
              <w:rPr>
                <w:rFonts w:ascii="宋体" w:eastAsia="宋体" w:hAnsi="宋体" w:cs="宋体"/>
                <w:sz w:val="22"/>
              </w:rPr>
              <w:t>0分。</w:t>
            </w:r>
          </w:p>
        </w:tc>
      </w:tr>
      <w:tr w:rsidR="009A2CED" w14:paraId="1ED9869B" w14:textId="77777777" w:rsidTr="00904217">
        <w:trPr>
          <w:trHeight w:val="548"/>
          <w:jc w:val="center"/>
        </w:trPr>
        <w:tc>
          <w:tcPr>
            <w:tcW w:w="565" w:type="pct"/>
            <w:vMerge/>
            <w:vAlign w:val="center"/>
          </w:tcPr>
          <w:p w14:paraId="27B16848" w14:textId="77777777" w:rsidR="009A2CED" w:rsidRDefault="009A2CED" w:rsidP="005F107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89" w:type="pct"/>
            <w:vMerge/>
            <w:vAlign w:val="center"/>
          </w:tcPr>
          <w:p w14:paraId="5BFA56F0" w14:textId="77777777" w:rsidR="009A2CED" w:rsidRDefault="009A2CED" w:rsidP="005F107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4" w:type="pct"/>
            <w:vMerge/>
            <w:vAlign w:val="center"/>
          </w:tcPr>
          <w:p w14:paraId="2DE62BA7" w14:textId="77777777" w:rsidR="009A2CED" w:rsidRDefault="009A2CED" w:rsidP="005F107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92" w:type="pct"/>
            <w:vAlign w:val="center"/>
          </w:tcPr>
          <w:p w14:paraId="72255FCF" w14:textId="28C9A6EA" w:rsidR="009A2CED" w:rsidRPr="00904217" w:rsidRDefault="003A635B" w:rsidP="005F107F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  <w:r w:rsidRPr="00904217">
              <w:rPr>
                <w:rFonts w:ascii="宋体" w:eastAsia="宋体" w:hAnsi="宋体" w:cs="宋体" w:hint="eastAsia"/>
                <w:sz w:val="22"/>
              </w:rPr>
              <w:t>投标人提交投标文件截止时间前三年内取得类似项目的业绩，每提供一个业绩的得</w:t>
            </w:r>
            <w:r w:rsidRPr="00904217">
              <w:rPr>
                <w:rFonts w:ascii="宋体" w:eastAsia="宋体" w:hAnsi="宋体" w:cs="宋体"/>
                <w:sz w:val="22"/>
              </w:rPr>
              <w:t>1分，满分9分。业绩时间（2021年9月至今）以合同签订时间为准，须提供相应的合同复印件（至少包括合同的签约主体、项目名称及内容、合同金额、交付日期及合同双方盖章的尾页等合同要素的相关内容，否则将不予认可）</w:t>
            </w:r>
          </w:p>
        </w:tc>
      </w:tr>
      <w:tr w:rsidR="009A2CED" w14:paraId="3BC1D15B" w14:textId="77777777" w:rsidTr="00904217">
        <w:trPr>
          <w:trHeight w:val="132"/>
          <w:jc w:val="center"/>
        </w:trPr>
        <w:tc>
          <w:tcPr>
            <w:tcW w:w="565" w:type="pct"/>
            <w:vAlign w:val="center"/>
          </w:tcPr>
          <w:p w14:paraId="1A0DAC45" w14:textId="77777777" w:rsidR="009A2CED" w:rsidRDefault="009A2CED" w:rsidP="005F107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3</w:t>
            </w:r>
          </w:p>
        </w:tc>
        <w:tc>
          <w:tcPr>
            <w:tcW w:w="789" w:type="pct"/>
            <w:vAlign w:val="center"/>
          </w:tcPr>
          <w:p w14:paraId="7616E186" w14:textId="77777777" w:rsidR="007620B7" w:rsidRDefault="009A2CED" w:rsidP="005F107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技术</w:t>
            </w:r>
            <w:r w:rsidR="007620B7">
              <w:rPr>
                <w:rFonts w:ascii="宋体" w:eastAsia="宋体" w:hAnsi="宋体" w:cs="宋体" w:hint="eastAsia"/>
                <w:sz w:val="22"/>
              </w:rPr>
              <w:t>商</w:t>
            </w:r>
          </w:p>
          <w:p w14:paraId="1996A33E" w14:textId="0A4AE3EE" w:rsidR="009A2CED" w:rsidRDefault="007620B7" w:rsidP="005F107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务</w:t>
            </w:r>
            <w:r w:rsidR="009A2CED">
              <w:rPr>
                <w:rFonts w:ascii="宋体" w:eastAsia="宋体" w:hAnsi="宋体" w:cs="宋体" w:hint="eastAsia"/>
                <w:sz w:val="22"/>
              </w:rPr>
              <w:t>指标</w:t>
            </w:r>
          </w:p>
        </w:tc>
        <w:tc>
          <w:tcPr>
            <w:tcW w:w="754" w:type="pct"/>
            <w:vAlign w:val="center"/>
          </w:tcPr>
          <w:p w14:paraId="430142A3" w14:textId="77777777" w:rsidR="009A2CED" w:rsidRDefault="009A2CED" w:rsidP="005F107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40</w:t>
            </w:r>
            <w:r>
              <w:rPr>
                <w:rFonts w:ascii="宋体" w:eastAsia="宋体" w:hAnsi="宋体" w:cs="宋体" w:hint="eastAsia"/>
                <w:sz w:val="22"/>
              </w:rPr>
              <w:t>分</w:t>
            </w:r>
          </w:p>
        </w:tc>
        <w:tc>
          <w:tcPr>
            <w:tcW w:w="2892" w:type="pct"/>
            <w:vAlign w:val="center"/>
          </w:tcPr>
          <w:p w14:paraId="22663B23" w14:textId="545B3C14" w:rsidR="009A2CED" w:rsidRDefault="00CC7B42" w:rsidP="005F107F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投标人</w:t>
            </w:r>
            <w:r w:rsidR="009A2CED">
              <w:rPr>
                <w:rFonts w:ascii="宋体" w:eastAsia="宋体" w:hAnsi="宋体" w:cs="宋体" w:hint="eastAsia"/>
                <w:sz w:val="22"/>
              </w:rPr>
              <w:t>方案技术参数应满足招标文件中规定的要求，其中：</w:t>
            </w:r>
          </w:p>
          <w:p w14:paraId="46F771F9" w14:textId="77777777" w:rsidR="009A2CED" w:rsidRDefault="009A2CED" w:rsidP="005F107F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1、标注“★”号的为核心技术参数，不满足废标。</w:t>
            </w:r>
          </w:p>
          <w:p w14:paraId="1DDC4982" w14:textId="66E54617" w:rsidR="009A2CED" w:rsidRDefault="009A2CED" w:rsidP="005F107F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2、标注“▲”号的为关键功能技术参数，共计</w:t>
            </w:r>
            <w:r w:rsidR="007620B7">
              <w:rPr>
                <w:rFonts w:ascii="宋体" w:eastAsia="宋体" w:hAnsi="宋体" w:cs="宋体" w:hint="eastAsia"/>
                <w:sz w:val="22"/>
              </w:rPr>
              <w:t>30</w:t>
            </w:r>
            <w:r>
              <w:rPr>
                <w:rFonts w:ascii="宋体" w:eastAsia="宋体" w:hAnsi="宋体" w:cs="宋体" w:hint="eastAsia"/>
                <w:sz w:val="22"/>
              </w:rPr>
              <w:t>分。每一项不满足关键功能技术参数要求的减</w:t>
            </w:r>
            <w:r>
              <w:rPr>
                <w:rFonts w:ascii="宋体" w:eastAsia="宋体" w:hAnsi="宋体" w:cs="宋体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sz w:val="22"/>
              </w:rPr>
              <w:t xml:space="preserve"> 分，扣完为止。</w:t>
            </w:r>
            <w:r w:rsidR="00E5695D">
              <w:rPr>
                <w:rFonts w:ascii="宋体" w:eastAsia="宋体" w:hAnsi="宋体" w:hint="eastAsia"/>
                <w:sz w:val="24"/>
                <w:szCs w:val="24"/>
              </w:rPr>
              <w:t>若“▲”的负偏离项数超过“▲”总数的</w:t>
            </w:r>
            <w:r w:rsidR="00E5695D">
              <w:rPr>
                <w:rFonts w:ascii="宋体" w:eastAsia="宋体" w:hAnsi="宋体"/>
                <w:sz w:val="24"/>
                <w:szCs w:val="24"/>
              </w:rPr>
              <w:t>50%（含）的，则“技术</w:t>
            </w:r>
            <w:r w:rsidR="007620B7">
              <w:rPr>
                <w:rFonts w:ascii="宋体" w:eastAsia="宋体" w:hAnsi="宋体" w:hint="eastAsia"/>
                <w:sz w:val="24"/>
                <w:szCs w:val="24"/>
              </w:rPr>
              <w:t>商务</w:t>
            </w:r>
            <w:r w:rsidR="00E5695D">
              <w:rPr>
                <w:rFonts w:ascii="宋体" w:eastAsia="宋体" w:hAnsi="宋体"/>
                <w:sz w:val="24"/>
                <w:szCs w:val="24"/>
              </w:rPr>
              <w:t>指标”评审项分值得0分。</w:t>
            </w:r>
          </w:p>
          <w:p w14:paraId="26FCB0DB" w14:textId="563C6B17" w:rsidR="009A2CED" w:rsidRDefault="009A2CED" w:rsidP="005F107F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3、未标注“▲”及“★”的为一般功能技术参数，共计</w:t>
            </w:r>
            <w:r w:rsidR="00FE1E0A">
              <w:rPr>
                <w:rFonts w:ascii="宋体" w:eastAsia="宋体" w:hAnsi="宋体" w:cs="宋体"/>
                <w:sz w:val="22"/>
              </w:rPr>
              <w:t>1</w:t>
            </w:r>
            <w:r w:rsidR="007620B7">
              <w:rPr>
                <w:rFonts w:ascii="宋体" w:eastAsia="宋体" w:hAnsi="宋体" w:cs="宋体" w:hint="eastAsia"/>
                <w:sz w:val="22"/>
              </w:rPr>
              <w:t>0</w:t>
            </w:r>
            <w:r>
              <w:rPr>
                <w:rFonts w:ascii="宋体" w:eastAsia="宋体" w:hAnsi="宋体" w:cs="宋体" w:hint="eastAsia"/>
                <w:sz w:val="22"/>
              </w:rPr>
              <w:t xml:space="preserve">分，每一项不满足一般功能技术参数要求的减 </w:t>
            </w:r>
            <w:r>
              <w:rPr>
                <w:rFonts w:ascii="宋体" w:eastAsia="宋体" w:hAnsi="宋体" w:cs="宋体"/>
                <w:sz w:val="22"/>
              </w:rPr>
              <w:t>0.5</w:t>
            </w:r>
            <w:r>
              <w:rPr>
                <w:rFonts w:ascii="宋体" w:eastAsia="宋体" w:hAnsi="宋体" w:cs="宋体" w:hint="eastAsia"/>
                <w:sz w:val="22"/>
              </w:rPr>
              <w:t>分，扣完为止。</w:t>
            </w:r>
          </w:p>
          <w:p w14:paraId="471996FA" w14:textId="024AC7C2" w:rsidR="009A2CED" w:rsidRDefault="009A2CED" w:rsidP="005F107F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“★”和“▲”技术</w:t>
            </w:r>
            <w:r w:rsidR="00B860D2">
              <w:rPr>
                <w:rFonts w:ascii="宋体" w:eastAsia="宋体" w:hAnsi="宋体" w:cs="宋体" w:hint="eastAsia"/>
                <w:sz w:val="22"/>
              </w:rPr>
              <w:t>商务</w:t>
            </w:r>
            <w:r>
              <w:rPr>
                <w:rFonts w:ascii="宋体" w:eastAsia="宋体" w:hAnsi="宋体" w:cs="宋体" w:hint="eastAsia"/>
                <w:sz w:val="22"/>
              </w:rPr>
              <w:t>指标，须提供相关证明材料，不提供不得分。</w:t>
            </w:r>
          </w:p>
        </w:tc>
      </w:tr>
      <w:tr w:rsidR="009A2CED" w14:paraId="5CDC1460" w14:textId="77777777" w:rsidTr="00904217">
        <w:trPr>
          <w:trHeight w:val="278"/>
          <w:jc w:val="center"/>
        </w:trPr>
        <w:tc>
          <w:tcPr>
            <w:tcW w:w="565" w:type="pct"/>
            <w:vMerge w:val="restart"/>
            <w:vAlign w:val="center"/>
          </w:tcPr>
          <w:p w14:paraId="1589766A" w14:textId="77777777" w:rsidR="009A2CED" w:rsidRDefault="009A2CED" w:rsidP="005F107F">
            <w:pPr>
              <w:pStyle w:val="p17"/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  <w:r>
              <w:rPr>
                <w:rFonts w:ascii="宋体" w:hAnsi="宋体"/>
                <w:kern w:val="2"/>
                <w:sz w:val="22"/>
                <w:szCs w:val="22"/>
              </w:rPr>
              <w:lastRenderedPageBreak/>
              <w:t>4</w:t>
            </w:r>
          </w:p>
        </w:tc>
        <w:tc>
          <w:tcPr>
            <w:tcW w:w="789" w:type="pct"/>
            <w:vMerge w:val="restart"/>
            <w:vAlign w:val="center"/>
          </w:tcPr>
          <w:p w14:paraId="559078A1" w14:textId="77777777" w:rsidR="009A2CED" w:rsidRDefault="009A2CED" w:rsidP="005F107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实施方案</w:t>
            </w:r>
          </w:p>
        </w:tc>
        <w:tc>
          <w:tcPr>
            <w:tcW w:w="754" w:type="pct"/>
            <w:vMerge w:val="restart"/>
            <w:vAlign w:val="center"/>
          </w:tcPr>
          <w:p w14:paraId="22709434" w14:textId="77777777" w:rsidR="009A2CED" w:rsidRDefault="009A2CED" w:rsidP="005F107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sz w:val="22"/>
              </w:rPr>
              <w:t>分</w:t>
            </w:r>
          </w:p>
        </w:tc>
        <w:tc>
          <w:tcPr>
            <w:tcW w:w="2892" w:type="pct"/>
            <w:vAlign w:val="center"/>
          </w:tcPr>
          <w:p w14:paraId="53F24EF4" w14:textId="77777777" w:rsidR="009A2CED" w:rsidRDefault="009A2CED" w:rsidP="005F107F">
            <w:pPr>
              <w:spacing w:line="360" w:lineRule="auto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供货方案及需求理解。（0</w:t>
            </w:r>
            <w:r>
              <w:rPr>
                <w:rFonts w:ascii="宋体" w:eastAsia="宋体" w:hAnsi="宋体"/>
                <w:b/>
                <w:sz w:val="22"/>
              </w:rPr>
              <w:t>-7</w:t>
            </w:r>
            <w:r>
              <w:rPr>
                <w:rFonts w:ascii="宋体" w:eastAsia="宋体" w:hAnsi="宋体" w:hint="eastAsia"/>
                <w:b/>
                <w:sz w:val="22"/>
              </w:rPr>
              <w:t>分）</w:t>
            </w:r>
          </w:p>
          <w:p w14:paraId="11CBCC19" w14:textId="2912DF26" w:rsidR="009A2CED" w:rsidRDefault="009A2CED" w:rsidP="005F107F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评审内容：</w:t>
            </w:r>
            <w:r w:rsidR="00CC7B42">
              <w:rPr>
                <w:rFonts w:ascii="宋体" w:eastAsia="宋体" w:hAnsi="宋体" w:cs="宋体" w:hint="eastAsia"/>
                <w:sz w:val="22"/>
              </w:rPr>
              <w:t>投标人</w:t>
            </w:r>
            <w:r>
              <w:rPr>
                <w:rFonts w:ascii="宋体" w:eastAsia="宋体" w:hAnsi="宋体" w:cs="宋体" w:hint="eastAsia"/>
                <w:sz w:val="22"/>
              </w:rPr>
              <w:t>对项目的理解程度及供货方案的完整性及时性进行综合评定</w:t>
            </w:r>
            <w:r w:rsidR="00FE1E0A">
              <w:rPr>
                <w:rFonts w:ascii="宋体" w:eastAsia="宋体" w:hAnsi="宋体" w:cs="宋体" w:hint="eastAsia"/>
                <w:sz w:val="22"/>
              </w:rPr>
              <w:t>。</w:t>
            </w:r>
            <w:r>
              <w:rPr>
                <w:rFonts w:ascii="宋体" w:eastAsia="宋体" w:hAnsi="宋体" w:cs="宋体"/>
                <w:sz w:val="22"/>
              </w:rPr>
              <w:t xml:space="preserve"> </w:t>
            </w:r>
          </w:p>
          <w:p w14:paraId="52618C4F" w14:textId="77777777" w:rsidR="009A2CED" w:rsidRPr="00CC7B42" w:rsidRDefault="009A2CED" w:rsidP="005F107F">
            <w:pPr>
              <w:pStyle w:val="a6"/>
              <w:ind w:left="9" w:hangingChars="4" w:hanging="9"/>
              <w:rPr>
                <w:rFonts w:cs="宋体"/>
                <w:b w:val="0"/>
                <w:bCs/>
                <w:sz w:val="22"/>
              </w:rPr>
            </w:pPr>
            <w:r>
              <w:rPr>
                <w:rFonts w:cs="宋体" w:hint="eastAsia"/>
                <w:bCs/>
                <w:sz w:val="22"/>
              </w:rPr>
              <w:t>评审标准：</w:t>
            </w:r>
            <w:r w:rsidRPr="00CC7B42">
              <w:rPr>
                <w:rFonts w:cs="宋体" w:hint="eastAsia"/>
                <w:b w:val="0"/>
                <w:bCs/>
                <w:sz w:val="22"/>
              </w:rPr>
              <w:t>（1）能全面、准确清晰阐述新华医院现有系统技术架构和现状，以及本次项目建设与现有系统的关系；确保能系统的正常运行采购方案，能够正确分析项目的重点、难点、完整性、供货方案的及时性的得</w:t>
            </w:r>
            <w:r w:rsidRPr="00CC7B42">
              <w:rPr>
                <w:rFonts w:cs="宋体"/>
                <w:b w:val="0"/>
                <w:bCs/>
                <w:sz w:val="22"/>
              </w:rPr>
              <w:t>6</w:t>
            </w:r>
            <w:r w:rsidRPr="00CC7B42">
              <w:rPr>
                <w:rFonts w:cs="宋体" w:hint="eastAsia"/>
                <w:b w:val="0"/>
                <w:bCs/>
                <w:sz w:val="22"/>
              </w:rPr>
              <w:t>-</w:t>
            </w:r>
            <w:r w:rsidRPr="00CC7B42">
              <w:rPr>
                <w:rFonts w:cs="宋体"/>
                <w:b w:val="0"/>
                <w:bCs/>
                <w:sz w:val="22"/>
              </w:rPr>
              <w:t>7</w:t>
            </w:r>
            <w:r w:rsidRPr="00CC7B42">
              <w:rPr>
                <w:rFonts w:cs="宋体" w:hint="eastAsia"/>
                <w:b w:val="0"/>
                <w:bCs/>
                <w:sz w:val="22"/>
              </w:rPr>
              <w:t>分；</w:t>
            </w:r>
          </w:p>
          <w:p w14:paraId="03509981" w14:textId="77777777" w:rsidR="009A2CED" w:rsidRPr="00CC7B42" w:rsidRDefault="009A2CED" w:rsidP="005F107F">
            <w:pPr>
              <w:pStyle w:val="a6"/>
              <w:ind w:left="9" w:hangingChars="4" w:hanging="9"/>
              <w:rPr>
                <w:rFonts w:cs="宋体"/>
                <w:b w:val="0"/>
                <w:bCs/>
                <w:sz w:val="22"/>
              </w:rPr>
            </w:pPr>
            <w:r w:rsidRPr="00CC7B42">
              <w:rPr>
                <w:rFonts w:cs="宋体" w:hint="eastAsia"/>
                <w:b w:val="0"/>
                <w:bCs/>
                <w:sz w:val="22"/>
              </w:rPr>
              <w:t>（2）基本理解需求，但分析项目重点、难点、完整性、供货的及时性不够准确，供货方案的及时性存在一定缺点的得</w:t>
            </w:r>
            <w:r w:rsidRPr="00CC7B42">
              <w:rPr>
                <w:rFonts w:cs="宋体"/>
                <w:b w:val="0"/>
                <w:bCs/>
                <w:sz w:val="22"/>
              </w:rPr>
              <w:t>3</w:t>
            </w:r>
            <w:r w:rsidRPr="00CC7B42">
              <w:rPr>
                <w:rFonts w:cs="宋体" w:hint="eastAsia"/>
                <w:b w:val="0"/>
                <w:bCs/>
                <w:sz w:val="22"/>
              </w:rPr>
              <w:t>-</w:t>
            </w:r>
            <w:r w:rsidRPr="00CC7B42">
              <w:rPr>
                <w:rFonts w:cs="宋体"/>
                <w:b w:val="0"/>
                <w:bCs/>
                <w:sz w:val="22"/>
              </w:rPr>
              <w:t>5</w:t>
            </w:r>
            <w:r w:rsidRPr="00CC7B42">
              <w:rPr>
                <w:rFonts w:cs="宋体" w:hint="eastAsia"/>
                <w:b w:val="0"/>
                <w:bCs/>
                <w:sz w:val="22"/>
              </w:rPr>
              <w:t>分；</w:t>
            </w:r>
          </w:p>
          <w:p w14:paraId="461DA56E" w14:textId="77777777" w:rsidR="009A2CED" w:rsidRPr="00CC7B42" w:rsidRDefault="009A2CED" w:rsidP="005F107F">
            <w:pPr>
              <w:pStyle w:val="a6"/>
              <w:ind w:left="9" w:hangingChars="4" w:hanging="9"/>
              <w:rPr>
                <w:rFonts w:cs="宋体"/>
                <w:b w:val="0"/>
                <w:bCs/>
                <w:sz w:val="22"/>
              </w:rPr>
            </w:pPr>
            <w:r w:rsidRPr="00CC7B42">
              <w:rPr>
                <w:rFonts w:cs="宋体" w:hint="eastAsia"/>
                <w:b w:val="0"/>
                <w:bCs/>
                <w:sz w:val="22"/>
              </w:rPr>
              <w:t>（3）对需求理解有偏差，且重点、难点、完整性理解有缺陷、供货方案的及时性存在缺陷的得</w:t>
            </w:r>
            <w:r w:rsidRPr="00CC7B42">
              <w:rPr>
                <w:rFonts w:cs="宋体"/>
                <w:b w:val="0"/>
                <w:bCs/>
                <w:sz w:val="22"/>
              </w:rPr>
              <w:t>1</w:t>
            </w:r>
            <w:r w:rsidRPr="00CC7B42">
              <w:rPr>
                <w:rFonts w:cs="宋体" w:hint="eastAsia"/>
                <w:b w:val="0"/>
                <w:bCs/>
                <w:sz w:val="22"/>
              </w:rPr>
              <w:t>-</w:t>
            </w:r>
            <w:r w:rsidRPr="00CC7B42">
              <w:rPr>
                <w:rFonts w:cs="宋体"/>
                <w:b w:val="0"/>
                <w:bCs/>
                <w:sz w:val="22"/>
              </w:rPr>
              <w:t>2</w:t>
            </w:r>
            <w:r w:rsidRPr="00CC7B42">
              <w:rPr>
                <w:rFonts w:cs="宋体" w:hint="eastAsia"/>
                <w:b w:val="0"/>
                <w:bCs/>
                <w:sz w:val="22"/>
              </w:rPr>
              <w:t>分；</w:t>
            </w:r>
          </w:p>
          <w:p w14:paraId="7A60564F" w14:textId="77777777" w:rsidR="009A2CED" w:rsidRDefault="009A2CED" w:rsidP="005F107F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  <w:r w:rsidRPr="00CC7B42">
              <w:rPr>
                <w:rFonts w:ascii="宋体" w:eastAsia="宋体" w:hAnsi="宋体" w:hint="eastAsia"/>
                <w:sz w:val="22"/>
              </w:rPr>
              <w:t>（4）未提供的得0分</w:t>
            </w:r>
          </w:p>
        </w:tc>
      </w:tr>
      <w:tr w:rsidR="009A2CED" w14:paraId="6C6222F5" w14:textId="77777777" w:rsidTr="00904217">
        <w:trPr>
          <w:trHeight w:val="56"/>
          <w:jc w:val="center"/>
        </w:trPr>
        <w:tc>
          <w:tcPr>
            <w:tcW w:w="565" w:type="pct"/>
            <w:vMerge/>
            <w:vAlign w:val="center"/>
          </w:tcPr>
          <w:p w14:paraId="02069480" w14:textId="77777777" w:rsidR="009A2CED" w:rsidRDefault="009A2CED" w:rsidP="005F107F">
            <w:pPr>
              <w:pStyle w:val="p17"/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</w:p>
        </w:tc>
        <w:tc>
          <w:tcPr>
            <w:tcW w:w="789" w:type="pct"/>
            <w:vMerge/>
            <w:vAlign w:val="center"/>
          </w:tcPr>
          <w:p w14:paraId="517B9C02" w14:textId="77777777" w:rsidR="009A2CED" w:rsidRDefault="009A2CED" w:rsidP="005F107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4" w:type="pct"/>
            <w:vMerge/>
            <w:vAlign w:val="center"/>
          </w:tcPr>
          <w:p w14:paraId="0E1CEAB3" w14:textId="77777777" w:rsidR="009A2CED" w:rsidRDefault="009A2CED" w:rsidP="005F107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92" w:type="pct"/>
            <w:vAlign w:val="center"/>
          </w:tcPr>
          <w:p w14:paraId="066483B6" w14:textId="77777777" w:rsidR="009A2CED" w:rsidRDefault="009A2CED" w:rsidP="005F107F">
            <w:pPr>
              <w:spacing w:line="360" w:lineRule="auto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总体方案含验收方案、售后服务方案、培训方案等。（0</w:t>
            </w:r>
            <w:r>
              <w:rPr>
                <w:rFonts w:ascii="宋体" w:eastAsia="宋体" w:hAnsi="宋体"/>
                <w:b/>
                <w:sz w:val="22"/>
              </w:rPr>
              <w:t>-5</w:t>
            </w:r>
            <w:r>
              <w:rPr>
                <w:rFonts w:ascii="宋体" w:eastAsia="宋体" w:hAnsi="宋体" w:hint="eastAsia"/>
                <w:b/>
                <w:sz w:val="22"/>
              </w:rPr>
              <w:t>分）</w:t>
            </w:r>
          </w:p>
          <w:p w14:paraId="591D96D0" w14:textId="77777777" w:rsidR="009A2CED" w:rsidRDefault="009A2CED" w:rsidP="005F107F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评审内容：</w:t>
            </w:r>
            <w:r>
              <w:rPr>
                <w:rFonts w:ascii="宋体" w:eastAsia="宋体" w:hAnsi="宋体" w:cs="宋体" w:hint="eastAsia"/>
                <w:sz w:val="22"/>
              </w:rPr>
              <w:t>项目实施总体方案应包括完善可行的项目</w:t>
            </w:r>
            <w:r>
              <w:rPr>
                <w:rFonts w:ascii="宋体" w:eastAsia="宋体" w:hAnsi="宋体" w:cs="宋体" w:hint="eastAsia"/>
                <w:sz w:val="22"/>
              </w:rPr>
              <w:lastRenderedPageBreak/>
              <w:t>实施进度管理及控制计划、项目人员组成及职责、工期管理、突发事件处置方案、项目质量管理计划、验收方案、售后服务方案、培训方案等。根据方案情况综合评定。</w:t>
            </w:r>
          </w:p>
          <w:p w14:paraId="5F2F7E28" w14:textId="77777777" w:rsidR="009A2CED" w:rsidRPr="00CC7B42" w:rsidRDefault="009A2CED" w:rsidP="005F107F">
            <w:pPr>
              <w:pStyle w:val="a6"/>
              <w:ind w:left="9" w:hangingChars="4" w:hanging="9"/>
              <w:rPr>
                <w:b w:val="0"/>
                <w:sz w:val="22"/>
              </w:rPr>
            </w:pPr>
            <w:r>
              <w:rPr>
                <w:rFonts w:cs="宋体" w:hint="eastAsia"/>
                <w:bCs/>
                <w:sz w:val="22"/>
              </w:rPr>
              <w:t>评审标准：</w:t>
            </w:r>
            <w:r w:rsidRPr="00CC7B42">
              <w:rPr>
                <w:rFonts w:hint="eastAsia"/>
                <w:b w:val="0"/>
                <w:sz w:val="22"/>
              </w:rPr>
              <w:t>（1）方案编制科学合理可行，详细，具有针对性、关键路径合理，统筹安排，对项目实施具有指导意义的得</w:t>
            </w:r>
            <w:r w:rsidRPr="00CC7B42">
              <w:rPr>
                <w:b w:val="0"/>
                <w:sz w:val="22"/>
              </w:rPr>
              <w:t>4-5</w:t>
            </w:r>
            <w:r w:rsidRPr="00CC7B42">
              <w:rPr>
                <w:rFonts w:hint="eastAsia"/>
                <w:b w:val="0"/>
                <w:sz w:val="22"/>
              </w:rPr>
              <w:t>分；</w:t>
            </w:r>
          </w:p>
          <w:p w14:paraId="3C07A125" w14:textId="77777777" w:rsidR="009A2CED" w:rsidRPr="00CC7B42" w:rsidRDefault="009A2CED" w:rsidP="005F107F">
            <w:pPr>
              <w:pStyle w:val="a6"/>
              <w:ind w:left="9" w:hangingChars="4" w:hanging="9"/>
              <w:rPr>
                <w:b w:val="0"/>
                <w:sz w:val="22"/>
              </w:rPr>
            </w:pPr>
            <w:r w:rsidRPr="00CC7B42">
              <w:rPr>
                <w:rFonts w:hint="eastAsia"/>
                <w:b w:val="0"/>
                <w:sz w:val="22"/>
              </w:rPr>
              <w:t>（2）</w:t>
            </w:r>
            <w:r w:rsidRPr="00CC7B42">
              <w:rPr>
                <w:rFonts w:cs="宋体" w:hint="eastAsia"/>
                <w:b w:val="0"/>
                <w:bCs/>
                <w:sz w:val="22"/>
              </w:rPr>
              <w:t>方案编制具有针对性，能够满足招标需求的得</w:t>
            </w:r>
            <w:r w:rsidRPr="00CC7B42">
              <w:rPr>
                <w:rFonts w:cs="宋体"/>
                <w:b w:val="0"/>
                <w:bCs/>
                <w:sz w:val="22"/>
              </w:rPr>
              <w:t>2-3分</w:t>
            </w:r>
          </w:p>
          <w:p w14:paraId="0BBDCF67" w14:textId="77777777" w:rsidR="009A2CED" w:rsidRDefault="009A2CED" w:rsidP="005F107F">
            <w:pPr>
              <w:spacing w:line="360" w:lineRule="auto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（</w:t>
            </w:r>
            <w:r>
              <w:rPr>
                <w:rFonts w:ascii="宋体" w:eastAsia="宋体" w:hAnsi="宋体"/>
                <w:sz w:val="22"/>
              </w:rPr>
              <w:t>3</w:t>
            </w:r>
            <w:r>
              <w:rPr>
                <w:rFonts w:ascii="宋体" w:eastAsia="宋体" w:hAnsi="宋体" w:hint="eastAsia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bCs/>
                <w:sz w:val="22"/>
              </w:rPr>
              <w:t>方案编制有缺漏，不具有针对性，且存在缺陷的得</w:t>
            </w:r>
            <w:r>
              <w:rPr>
                <w:rFonts w:ascii="宋体" w:eastAsia="宋体" w:hAnsi="宋体" w:cs="宋体"/>
                <w:bCs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2"/>
              </w:rPr>
              <w:t>分；</w:t>
            </w:r>
          </w:p>
          <w:p w14:paraId="0BCA566C" w14:textId="77777777" w:rsidR="009A2CED" w:rsidRDefault="009A2CED" w:rsidP="005F107F">
            <w:pPr>
              <w:spacing w:line="360" w:lineRule="auto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（</w:t>
            </w:r>
            <w:r>
              <w:rPr>
                <w:rFonts w:ascii="宋体" w:eastAsia="宋体" w:hAnsi="宋体"/>
                <w:sz w:val="22"/>
              </w:rPr>
              <w:t>4</w:t>
            </w:r>
            <w:r>
              <w:rPr>
                <w:rFonts w:ascii="宋体" w:eastAsia="宋体" w:hAnsi="宋体" w:hint="eastAsia"/>
                <w:sz w:val="22"/>
              </w:rPr>
              <w:t>）未提供的得0分。</w:t>
            </w:r>
          </w:p>
        </w:tc>
      </w:tr>
      <w:tr w:rsidR="009A2CED" w14:paraId="6EFB7E85" w14:textId="77777777" w:rsidTr="00904217">
        <w:trPr>
          <w:trHeight w:val="1548"/>
          <w:jc w:val="center"/>
        </w:trPr>
        <w:tc>
          <w:tcPr>
            <w:tcW w:w="565" w:type="pct"/>
            <w:vMerge/>
            <w:vAlign w:val="center"/>
          </w:tcPr>
          <w:p w14:paraId="0BE3F3EA" w14:textId="77777777" w:rsidR="009A2CED" w:rsidRDefault="009A2CED" w:rsidP="005F107F">
            <w:pPr>
              <w:pStyle w:val="p17"/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</w:p>
        </w:tc>
        <w:tc>
          <w:tcPr>
            <w:tcW w:w="789" w:type="pct"/>
            <w:vMerge/>
            <w:vAlign w:val="center"/>
          </w:tcPr>
          <w:p w14:paraId="4311027E" w14:textId="77777777" w:rsidR="009A2CED" w:rsidRDefault="009A2CED" w:rsidP="005F107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4" w:type="pct"/>
            <w:vMerge/>
            <w:vAlign w:val="center"/>
          </w:tcPr>
          <w:p w14:paraId="7E99753C" w14:textId="77777777" w:rsidR="009A2CED" w:rsidRDefault="009A2CED" w:rsidP="005F107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92" w:type="pct"/>
            <w:vAlign w:val="center"/>
          </w:tcPr>
          <w:p w14:paraId="60337A5A" w14:textId="77777777" w:rsidR="009A2CED" w:rsidRDefault="009A2CED" w:rsidP="005F107F">
            <w:pPr>
              <w:spacing w:line="360" w:lineRule="auto"/>
              <w:rPr>
                <w:rFonts w:ascii="宋体" w:eastAsia="宋体" w:hAnsi="宋体" w:cs="宋体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</w:rPr>
              <w:t>服务团队。（0</w:t>
            </w:r>
            <w:r>
              <w:rPr>
                <w:rFonts w:ascii="宋体" w:eastAsia="宋体" w:hAnsi="宋体" w:cs="宋体"/>
                <w:b/>
                <w:sz w:val="22"/>
              </w:rPr>
              <w:t>-3</w:t>
            </w:r>
            <w:r>
              <w:rPr>
                <w:rFonts w:ascii="宋体" w:eastAsia="宋体" w:hAnsi="宋体" w:cs="宋体" w:hint="eastAsia"/>
                <w:b/>
                <w:sz w:val="22"/>
              </w:rPr>
              <w:t>分）</w:t>
            </w:r>
          </w:p>
          <w:p w14:paraId="31E9BCC4" w14:textId="17D42EF7" w:rsidR="009A2CED" w:rsidRDefault="009A2CED" w:rsidP="00FE1E0A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项目实施人员具有《系统集成项目管理工程师》证书得</w:t>
            </w:r>
            <w:r>
              <w:rPr>
                <w:rFonts w:ascii="宋体" w:eastAsia="宋体" w:hAnsi="宋体" w:cs="宋体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sz w:val="22"/>
              </w:rPr>
              <w:t>分，须提供</w:t>
            </w:r>
            <w:r w:rsidR="00FE1E0A">
              <w:rPr>
                <w:rFonts w:ascii="宋体" w:eastAsia="宋体" w:hAnsi="宋体" w:cs="宋体" w:hint="eastAsia"/>
                <w:sz w:val="22"/>
              </w:rPr>
              <w:t>近6个月内</w:t>
            </w:r>
            <w:r>
              <w:rPr>
                <w:rFonts w:ascii="宋体" w:eastAsia="宋体" w:hAnsi="宋体" w:cs="宋体" w:hint="eastAsia"/>
                <w:sz w:val="22"/>
              </w:rPr>
              <w:t>任意一个月的社保证明。</w:t>
            </w:r>
          </w:p>
        </w:tc>
      </w:tr>
    </w:tbl>
    <w:p w14:paraId="2894E670" w14:textId="77777777" w:rsidR="007E7EF4" w:rsidRDefault="00DE7A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注：进入详细评审的投标人，除去报价得分，其它得分小于该部分总分值</w:t>
      </w:r>
      <w:r>
        <w:rPr>
          <w:rFonts w:ascii="宋体" w:eastAsia="宋体" w:hAnsi="宋体"/>
          <w:sz w:val="24"/>
          <w:szCs w:val="24"/>
        </w:rPr>
        <w:t>50%的，则视为无效投标。若最终符合要求的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不足3家，则本项目</w:t>
      </w:r>
      <w:r>
        <w:rPr>
          <w:rFonts w:ascii="宋体" w:eastAsia="宋体" w:hAnsi="宋体" w:hint="eastAsia"/>
          <w:sz w:val="24"/>
          <w:szCs w:val="24"/>
        </w:rPr>
        <w:t>招标失败。</w:t>
      </w:r>
    </w:p>
    <w:sectPr w:rsidR="007E7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A63498" w16cex:dateUtc="2024-09-05T02:43:00Z"/>
  <w16cex:commentExtensible w16cex:durableId="035AEE66" w16cex:dateUtc="2024-09-05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31B3EB" w16cid:durableId="474F98A8"/>
  <w16cid:commentId w16cid:paraId="7F0DDCCE" w16cid:durableId="02A63498"/>
  <w16cid:commentId w16cid:paraId="0B680C68" w16cid:durableId="64528B4F"/>
  <w16cid:commentId w16cid:paraId="46AC9087" w16cid:durableId="035AEE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9FD8B" w14:textId="77777777" w:rsidR="006B513C" w:rsidRDefault="006B513C" w:rsidP="00646AA5">
      <w:r>
        <w:separator/>
      </w:r>
    </w:p>
  </w:endnote>
  <w:endnote w:type="continuationSeparator" w:id="0">
    <w:p w14:paraId="5B1733AA" w14:textId="77777777" w:rsidR="006B513C" w:rsidRDefault="006B513C" w:rsidP="0064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FD215" w14:textId="77777777" w:rsidR="006B513C" w:rsidRDefault="006B513C" w:rsidP="00646AA5">
      <w:r>
        <w:separator/>
      </w:r>
    </w:p>
  </w:footnote>
  <w:footnote w:type="continuationSeparator" w:id="0">
    <w:p w14:paraId="6F1D8504" w14:textId="77777777" w:rsidR="006B513C" w:rsidRDefault="006B513C" w:rsidP="00646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542E"/>
    <w:multiLevelType w:val="hybridMultilevel"/>
    <w:tmpl w:val="F2AEA48E"/>
    <w:lvl w:ilvl="0" w:tplc="763C4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3859ED"/>
    <w:multiLevelType w:val="hybridMultilevel"/>
    <w:tmpl w:val="F19CB6DC"/>
    <w:lvl w:ilvl="0" w:tplc="A92EB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BD6A8C"/>
    <w:multiLevelType w:val="hybridMultilevel"/>
    <w:tmpl w:val="E9306AC2"/>
    <w:lvl w:ilvl="0" w:tplc="00200DA0">
      <w:start w:val="1"/>
      <w:numFmt w:val="decimal"/>
      <w:pStyle w:val="a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3D4A8C"/>
    <w:multiLevelType w:val="hybridMultilevel"/>
    <w:tmpl w:val="1D62BD0E"/>
    <w:lvl w:ilvl="0" w:tplc="8D0EF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D938A2"/>
    <w:multiLevelType w:val="hybridMultilevel"/>
    <w:tmpl w:val="D90679D8"/>
    <w:lvl w:ilvl="0" w:tplc="CA1C5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42133D"/>
    <w:multiLevelType w:val="multilevel"/>
    <w:tmpl w:val="7A42133D"/>
    <w:lvl w:ilvl="0">
      <w:start w:val="1"/>
      <w:numFmt w:val="decimal"/>
      <w:pStyle w:val="a0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xOTY4NzZkNzQ1ZDc5NjM1MzljZjg3MTcyMjkwMzkifQ=="/>
  </w:docVars>
  <w:rsids>
    <w:rsidRoot w:val="00802568"/>
    <w:rsid w:val="00032821"/>
    <w:rsid w:val="00033BD5"/>
    <w:rsid w:val="000369AA"/>
    <w:rsid w:val="00037A37"/>
    <w:rsid w:val="00045B0A"/>
    <w:rsid w:val="00045EAE"/>
    <w:rsid w:val="00053576"/>
    <w:rsid w:val="000729E6"/>
    <w:rsid w:val="00080524"/>
    <w:rsid w:val="00085544"/>
    <w:rsid w:val="000950C1"/>
    <w:rsid w:val="00097888"/>
    <w:rsid w:val="000B0FB0"/>
    <w:rsid w:val="000B54ED"/>
    <w:rsid w:val="000C3559"/>
    <w:rsid w:val="000C7C90"/>
    <w:rsid w:val="000E159E"/>
    <w:rsid w:val="001027C6"/>
    <w:rsid w:val="00115069"/>
    <w:rsid w:val="001160B6"/>
    <w:rsid w:val="001214AB"/>
    <w:rsid w:val="001347AF"/>
    <w:rsid w:val="001348F1"/>
    <w:rsid w:val="001367C7"/>
    <w:rsid w:val="00165E1F"/>
    <w:rsid w:val="001854FD"/>
    <w:rsid w:val="001B1BAB"/>
    <w:rsid w:val="001C3981"/>
    <w:rsid w:val="001D1C86"/>
    <w:rsid w:val="001D2BFB"/>
    <w:rsid w:val="001E39AC"/>
    <w:rsid w:val="001E5DB2"/>
    <w:rsid w:val="00201182"/>
    <w:rsid w:val="00211EF1"/>
    <w:rsid w:val="002353D0"/>
    <w:rsid w:val="002419C4"/>
    <w:rsid w:val="002448CC"/>
    <w:rsid w:val="00283592"/>
    <w:rsid w:val="002A06FC"/>
    <w:rsid w:val="002C0DFE"/>
    <w:rsid w:val="002D59F4"/>
    <w:rsid w:val="002E581F"/>
    <w:rsid w:val="002F0A64"/>
    <w:rsid w:val="002F1563"/>
    <w:rsid w:val="0030176C"/>
    <w:rsid w:val="00315531"/>
    <w:rsid w:val="003313E3"/>
    <w:rsid w:val="00333A92"/>
    <w:rsid w:val="00335653"/>
    <w:rsid w:val="00347C21"/>
    <w:rsid w:val="00353076"/>
    <w:rsid w:val="00363045"/>
    <w:rsid w:val="0037183E"/>
    <w:rsid w:val="003A3786"/>
    <w:rsid w:val="003A635B"/>
    <w:rsid w:val="003A6D68"/>
    <w:rsid w:val="003B1757"/>
    <w:rsid w:val="003C28B3"/>
    <w:rsid w:val="003C6D37"/>
    <w:rsid w:val="003D0908"/>
    <w:rsid w:val="003D4DCC"/>
    <w:rsid w:val="003E04C5"/>
    <w:rsid w:val="003E2D48"/>
    <w:rsid w:val="003E2F88"/>
    <w:rsid w:val="003F18F3"/>
    <w:rsid w:val="003F683C"/>
    <w:rsid w:val="00400DE4"/>
    <w:rsid w:val="004115F3"/>
    <w:rsid w:val="00412387"/>
    <w:rsid w:val="00445841"/>
    <w:rsid w:val="00451956"/>
    <w:rsid w:val="00452A5C"/>
    <w:rsid w:val="004658CB"/>
    <w:rsid w:val="004676B7"/>
    <w:rsid w:val="00476B41"/>
    <w:rsid w:val="004863D6"/>
    <w:rsid w:val="00496B61"/>
    <w:rsid w:val="004A11ED"/>
    <w:rsid w:val="004A2E6F"/>
    <w:rsid w:val="004A453A"/>
    <w:rsid w:val="004D3056"/>
    <w:rsid w:val="004E6462"/>
    <w:rsid w:val="00500BCF"/>
    <w:rsid w:val="00502409"/>
    <w:rsid w:val="00510671"/>
    <w:rsid w:val="00511616"/>
    <w:rsid w:val="005136F3"/>
    <w:rsid w:val="005162CC"/>
    <w:rsid w:val="005417AE"/>
    <w:rsid w:val="0054368E"/>
    <w:rsid w:val="005453DA"/>
    <w:rsid w:val="00583F6A"/>
    <w:rsid w:val="0058473D"/>
    <w:rsid w:val="00592ECE"/>
    <w:rsid w:val="005A7CB4"/>
    <w:rsid w:val="005B2561"/>
    <w:rsid w:val="005B303C"/>
    <w:rsid w:val="005F3E91"/>
    <w:rsid w:val="006266AE"/>
    <w:rsid w:val="00646AA5"/>
    <w:rsid w:val="0064703E"/>
    <w:rsid w:val="006545A3"/>
    <w:rsid w:val="006722D4"/>
    <w:rsid w:val="00672A0A"/>
    <w:rsid w:val="00684732"/>
    <w:rsid w:val="0069231D"/>
    <w:rsid w:val="006A7DBA"/>
    <w:rsid w:val="006B0786"/>
    <w:rsid w:val="006B1199"/>
    <w:rsid w:val="006B513C"/>
    <w:rsid w:val="006B743E"/>
    <w:rsid w:val="006C6E69"/>
    <w:rsid w:val="006C7423"/>
    <w:rsid w:val="006D10EF"/>
    <w:rsid w:val="006D1CF2"/>
    <w:rsid w:val="00733B72"/>
    <w:rsid w:val="007620B7"/>
    <w:rsid w:val="0077236E"/>
    <w:rsid w:val="007A2E73"/>
    <w:rsid w:val="007B24D2"/>
    <w:rsid w:val="007C50BA"/>
    <w:rsid w:val="007D0BCB"/>
    <w:rsid w:val="007D3BC1"/>
    <w:rsid w:val="007E1314"/>
    <w:rsid w:val="007E7EF4"/>
    <w:rsid w:val="00802568"/>
    <w:rsid w:val="00852894"/>
    <w:rsid w:val="00857CF4"/>
    <w:rsid w:val="0086241F"/>
    <w:rsid w:val="00866763"/>
    <w:rsid w:val="008671C8"/>
    <w:rsid w:val="00896E88"/>
    <w:rsid w:val="008A3B46"/>
    <w:rsid w:val="008A4060"/>
    <w:rsid w:val="008C10BD"/>
    <w:rsid w:val="008C2E01"/>
    <w:rsid w:val="008D1316"/>
    <w:rsid w:val="008E61D5"/>
    <w:rsid w:val="008F7452"/>
    <w:rsid w:val="0090336E"/>
    <w:rsid w:val="00904217"/>
    <w:rsid w:val="00907590"/>
    <w:rsid w:val="009154D4"/>
    <w:rsid w:val="00916E34"/>
    <w:rsid w:val="0092075E"/>
    <w:rsid w:val="00944369"/>
    <w:rsid w:val="00965DB1"/>
    <w:rsid w:val="0097640A"/>
    <w:rsid w:val="009A2CED"/>
    <w:rsid w:val="009B3F7D"/>
    <w:rsid w:val="009C009E"/>
    <w:rsid w:val="009C1221"/>
    <w:rsid w:val="009D50C6"/>
    <w:rsid w:val="009E3CF9"/>
    <w:rsid w:val="009E6D18"/>
    <w:rsid w:val="00A0096C"/>
    <w:rsid w:val="00A07522"/>
    <w:rsid w:val="00A365C7"/>
    <w:rsid w:val="00A44217"/>
    <w:rsid w:val="00A56295"/>
    <w:rsid w:val="00A704D5"/>
    <w:rsid w:val="00A81BBA"/>
    <w:rsid w:val="00A82F1A"/>
    <w:rsid w:val="00A91FE4"/>
    <w:rsid w:val="00AA6FAF"/>
    <w:rsid w:val="00AB1178"/>
    <w:rsid w:val="00AB2F33"/>
    <w:rsid w:val="00AD155A"/>
    <w:rsid w:val="00AD43FC"/>
    <w:rsid w:val="00AE3733"/>
    <w:rsid w:val="00B03610"/>
    <w:rsid w:val="00B044F6"/>
    <w:rsid w:val="00B321B6"/>
    <w:rsid w:val="00B43BBE"/>
    <w:rsid w:val="00B55977"/>
    <w:rsid w:val="00B708E1"/>
    <w:rsid w:val="00B750C8"/>
    <w:rsid w:val="00B80AD7"/>
    <w:rsid w:val="00B824EB"/>
    <w:rsid w:val="00B860D2"/>
    <w:rsid w:val="00B976DA"/>
    <w:rsid w:val="00BA080A"/>
    <w:rsid w:val="00BA5E6B"/>
    <w:rsid w:val="00BD5D69"/>
    <w:rsid w:val="00BD5F0E"/>
    <w:rsid w:val="00BE0D86"/>
    <w:rsid w:val="00C007F5"/>
    <w:rsid w:val="00C016FE"/>
    <w:rsid w:val="00C07F00"/>
    <w:rsid w:val="00C154F8"/>
    <w:rsid w:val="00C30279"/>
    <w:rsid w:val="00C47DE8"/>
    <w:rsid w:val="00C51387"/>
    <w:rsid w:val="00C5266D"/>
    <w:rsid w:val="00C62B1B"/>
    <w:rsid w:val="00C706DA"/>
    <w:rsid w:val="00C77A61"/>
    <w:rsid w:val="00C941F5"/>
    <w:rsid w:val="00CC35E5"/>
    <w:rsid w:val="00CC4A0B"/>
    <w:rsid w:val="00CC6BC9"/>
    <w:rsid w:val="00CC7B42"/>
    <w:rsid w:val="00CD3CBE"/>
    <w:rsid w:val="00CE7488"/>
    <w:rsid w:val="00D02AA5"/>
    <w:rsid w:val="00D21D31"/>
    <w:rsid w:val="00D26585"/>
    <w:rsid w:val="00D46436"/>
    <w:rsid w:val="00D61758"/>
    <w:rsid w:val="00D869AB"/>
    <w:rsid w:val="00D91FF3"/>
    <w:rsid w:val="00DA1DA3"/>
    <w:rsid w:val="00DA4BFE"/>
    <w:rsid w:val="00DA6C43"/>
    <w:rsid w:val="00DD71FC"/>
    <w:rsid w:val="00DE57FC"/>
    <w:rsid w:val="00DE5A3F"/>
    <w:rsid w:val="00DE68DB"/>
    <w:rsid w:val="00DE7A2A"/>
    <w:rsid w:val="00DF22AF"/>
    <w:rsid w:val="00DF7FAD"/>
    <w:rsid w:val="00E138EC"/>
    <w:rsid w:val="00E25A3B"/>
    <w:rsid w:val="00E31D79"/>
    <w:rsid w:val="00E40657"/>
    <w:rsid w:val="00E54AE3"/>
    <w:rsid w:val="00E5695D"/>
    <w:rsid w:val="00E73EF0"/>
    <w:rsid w:val="00E745FA"/>
    <w:rsid w:val="00ED0E5D"/>
    <w:rsid w:val="00ED4AB1"/>
    <w:rsid w:val="00EF04DB"/>
    <w:rsid w:val="00F07C2A"/>
    <w:rsid w:val="00F12557"/>
    <w:rsid w:val="00F13417"/>
    <w:rsid w:val="00F17C8C"/>
    <w:rsid w:val="00F214AD"/>
    <w:rsid w:val="00F2398F"/>
    <w:rsid w:val="00F24147"/>
    <w:rsid w:val="00F37BA0"/>
    <w:rsid w:val="00F4212D"/>
    <w:rsid w:val="00F478B6"/>
    <w:rsid w:val="00F52125"/>
    <w:rsid w:val="00F61293"/>
    <w:rsid w:val="00F62BEE"/>
    <w:rsid w:val="00F85F3D"/>
    <w:rsid w:val="00F944F0"/>
    <w:rsid w:val="00FB675D"/>
    <w:rsid w:val="00FD0149"/>
    <w:rsid w:val="00FD427C"/>
    <w:rsid w:val="00FE1E0A"/>
    <w:rsid w:val="00FF6215"/>
    <w:rsid w:val="079C6F13"/>
    <w:rsid w:val="159E5A9B"/>
    <w:rsid w:val="184D778D"/>
    <w:rsid w:val="197073A1"/>
    <w:rsid w:val="1CB52DE9"/>
    <w:rsid w:val="25FD1729"/>
    <w:rsid w:val="356E06DE"/>
    <w:rsid w:val="3940361A"/>
    <w:rsid w:val="3E6F65C5"/>
    <w:rsid w:val="487D69DA"/>
    <w:rsid w:val="4FB90945"/>
    <w:rsid w:val="50935715"/>
    <w:rsid w:val="5B157D68"/>
    <w:rsid w:val="70B41C9D"/>
    <w:rsid w:val="7E4002F7"/>
    <w:rsid w:val="7FA6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763C6"/>
  <w15:docId w15:val="{FC03ED7C-04ED-4994-B3C8-B95A4DF8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1"/>
    <w:next w:val="a1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1"/>
    <w:next w:val="a1"/>
    <w:link w:val="2Char"/>
    <w:autoRedefine/>
    <w:qFormat/>
    <w:pPr>
      <w:keepNext/>
      <w:keepLines/>
      <w:widowControl/>
      <w:spacing w:line="360" w:lineRule="auto"/>
      <w:ind w:left="360" w:hanging="360"/>
      <w:jc w:val="left"/>
      <w:outlineLvl w:val="1"/>
    </w:pPr>
    <w:rPr>
      <w:rFonts w:ascii="宋体" w:eastAsia="宋体" w:hAnsi="宋体" w:cs="宋体"/>
      <w:b/>
      <w:kern w:val="0"/>
      <w:sz w:val="28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Char"/>
    <w:autoRedefine/>
    <w:uiPriority w:val="99"/>
    <w:unhideWhenUsed/>
    <w:qFormat/>
    <w:rsid w:val="00033BD5"/>
    <w:pPr>
      <w:jc w:val="left"/>
    </w:pPr>
    <w:rPr>
      <w:rFonts w:ascii="宋体" w:eastAsia="宋体" w:hAnsi="宋体"/>
    </w:rPr>
  </w:style>
  <w:style w:type="paragraph" w:styleId="a6">
    <w:name w:val="Body Text Indent"/>
    <w:basedOn w:val="a1"/>
    <w:link w:val="Char0"/>
    <w:autoRedefine/>
    <w:uiPriority w:val="99"/>
    <w:unhideWhenUsed/>
    <w:qFormat/>
    <w:pPr>
      <w:spacing w:after="120" w:line="360" w:lineRule="auto"/>
    </w:pPr>
    <w:rPr>
      <w:rFonts w:ascii="宋体" w:eastAsia="宋体" w:hAnsi="宋体"/>
      <w:b/>
      <w:sz w:val="24"/>
      <w:szCs w:val="24"/>
    </w:rPr>
  </w:style>
  <w:style w:type="paragraph" w:styleId="a7">
    <w:name w:val="Balloon Text"/>
    <w:basedOn w:val="a1"/>
    <w:link w:val="Char1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1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1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5"/>
    <w:next w:val="a5"/>
    <w:link w:val="Char4"/>
    <w:autoRedefine/>
    <w:uiPriority w:val="99"/>
    <w:semiHidden/>
    <w:unhideWhenUsed/>
    <w:qFormat/>
    <w:rPr>
      <w:b/>
      <w:bCs/>
    </w:rPr>
  </w:style>
  <w:style w:type="table" w:styleId="ab">
    <w:name w:val="Table Grid"/>
    <w:basedOn w:val="a3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2"/>
    <w:autoRedefine/>
    <w:uiPriority w:val="99"/>
    <w:unhideWhenUsed/>
    <w:qFormat/>
    <w:rPr>
      <w:sz w:val="21"/>
      <w:szCs w:val="21"/>
    </w:rPr>
  </w:style>
  <w:style w:type="character" w:customStyle="1" w:styleId="Char3">
    <w:name w:val="页眉 Char"/>
    <w:basedOn w:val="a2"/>
    <w:link w:val="a9"/>
    <w:autoRedefine/>
    <w:uiPriority w:val="99"/>
    <w:qFormat/>
    <w:rPr>
      <w:sz w:val="18"/>
      <w:szCs w:val="18"/>
    </w:rPr>
  </w:style>
  <w:style w:type="character" w:customStyle="1" w:styleId="Char2">
    <w:name w:val="页脚 Char"/>
    <w:basedOn w:val="a2"/>
    <w:link w:val="a8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character" w:customStyle="1" w:styleId="2Char">
    <w:name w:val="标题 2 Char"/>
    <w:basedOn w:val="a2"/>
    <w:link w:val="2"/>
    <w:autoRedefine/>
    <w:qFormat/>
    <w:rPr>
      <w:rFonts w:ascii="宋体" w:eastAsia="宋体" w:hAnsi="宋体" w:cs="宋体"/>
      <w:b/>
      <w:kern w:val="0"/>
      <w:sz w:val="28"/>
      <w:szCs w:val="24"/>
    </w:rPr>
  </w:style>
  <w:style w:type="paragraph" w:styleId="a0">
    <w:name w:val="List Paragraph"/>
    <w:basedOn w:val="a1"/>
    <w:autoRedefine/>
    <w:uiPriority w:val="34"/>
    <w:qFormat/>
    <w:pPr>
      <w:numPr>
        <w:numId w:val="1"/>
      </w:numPr>
      <w:adjustRightInd w:val="0"/>
      <w:snapToGrid w:val="0"/>
      <w:spacing w:line="360" w:lineRule="auto"/>
    </w:pPr>
    <w:rPr>
      <w:sz w:val="24"/>
      <w:szCs w:val="24"/>
    </w:rPr>
  </w:style>
  <w:style w:type="character" w:customStyle="1" w:styleId="Char">
    <w:name w:val="批注文字 Char"/>
    <w:basedOn w:val="a2"/>
    <w:link w:val="a5"/>
    <w:autoRedefine/>
    <w:uiPriority w:val="99"/>
    <w:qFormat/>
    <w:rsid w:val="00033BD5"/>
    <w:rPr>
      <w:rFonts w:ascii="宋体" w:hAnsi="宋体" w:cstheme="minorBidi"/>
      <w:kern w:val="2"/>
      <w:sz w:val="21"/>
      <w:szCs w:val="22"/>
    </w:rPr>
  </w:style>
  <w:style w:type="character" w:customStyle="1" w:styleId="Char4">
    <w:name w:val="批注主题 Char"/>
    <w:basedOn w:val="Char"/>
    <w:link w:val="aa"/>
    <w:autoRedefine/>
    <w:uiPriority w:val="99"/>
    <w:semiHidden/>
    <w:qFormat/>
    <w:rPr>
      <w:rFonts w:ascii="宋体" w:hAnsi="宋体" w:cstheme="minorBidi"/>
      <w:b/>
      <w:bCs/>
      <w:kern w:val="2"/>
      <w:sz w:val="21"/>
      <w:szCs w:val="22"/>
    </w:rPr>
  </w:style>
  <w:style w:type="character" w:customStyle="1" w:styleId="Char1">
    <w:name w:val="批注框文本 Char"/>
    <w:basedOn w:val="a2"/>
    <w:link w:val="a7"/>
    <w:autoRedefine/>
    <w:uiPriority w:val="99"/>
    <w:semiHidden/>
    <w:qFormat/>
    <w:rPr>
      <w:sz w:val="18"/>
      <w:szCs w:val="18"/>
    </w:rPr>
  </w:style>
  <w:style w:type="paragraph" w:customStyle="1" w:styleId="10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0">
    <w:name w:val="修订2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">
    <w:name w:val="No Spacing"/>
    <w:autoRedefine/>
    <w:uiPriority w:val="1"/>
    <w:qFormat/>
    <w:rsid w:val="00B708E1"/>
    <w:pPr>
      <w:widowControl w:val="0"/>
      <w:numPr>
        <w:numId w:val="6"/>
      </w:numPr>
      <w:spacing w:line="360" w:lineRule="auto"/>
      <w:jc w:val="center"/>
    </w:pPr>
    <w:rPr>
      <w:rFonts w:ascii="宋体" w:hAnsi="宋体"/>
      <w:kern w:val="2"/>
      <w:sz w:val="24"/>
      <w:szCs w:val="24"/>
    </w:rPr>
  </w:style>
  <w:style w:type="paragraph" w:customStyle="1" w:styleId="3">
    <w:name w:val="修订3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2"/>
    <w:link w:val="1"/>
    <w:autoRedefine/>
    <w:uiPriority w:val="9"/>
    <w:qFormat/>
    <w:rPr>
      <w:rFonts w:asciiTheme="minorHAnsi" w:eastAsiaTheme="minorEastAsia" w:hAnsiTheme="minorHAnsi" w:cstheme="minorBidi"/>
      <w:b/>
      <w:bCs/>
      <w:kern w:val="44"/>
      <w:sz w:val="30"/>
      <w:szCs w:val="44"/>
    </w:rPr>
  </w:style>
  <w:style w:type="paragraph" w:customStyle="1" w:styleId="11">
    <w:name w:val="列表段落1"/>
    <w:basedOn w:val="a1"/>
    <w:autoRedefine/>
    <w:qFormat/>
    <w:pPr>
      <w:widowControl/>
      <w:spacing w:line="360" w:lineRule="auto"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6">
    <w:name w:val="列表段落6"/>
    <w:basedOn w:val="a1"/>
    <w:autoRedefine/>
    <w:qFormat/>
    <w:pPr>
      <w:spacing w:line="360" w:lineRule="auto"/>
      <w:ind w:firstLineChars="200" w:firstLine="200"/>
    </w:pPr>
    <w:rPr>
      <w:rFonts w:ascii="Calibri" w:eastAsia="等线" w:hAnsi="Calibri" w:cs="Times New Roman"/>
      <w:sz w:val="24"/>
      <w:szCs w:val="24"/>
    </w:rPr>
  </w:style>
  <w:style w:type="character" w:customStyle="1" w:styleId="Char0">
    <w:name w:val="正文文本缩进 Char"/>
    <w:basedOn w:val="a2"/>
    <w:link w:val="a6"/>
    <w:uiPriority w:val="99"/>
    <w:qFormat/>
    <w:rPr>
      <w:rFonts w:ascii="宋体" w:hAnsi="宋体" w:cstheme="minorBidi"/>
      <w:b/>
      <w:kern w:val="2"/>
      <w:sz w:val="24"/>
      <w:szCs w:val="24"/>
    </w:rPr>
  </w:style>
  <w:style w:type="paragraph" w:customStyle="1" w:styleId="p15">
    <w:name w:val="p15"/>
    <w:basedOn w:val="a1"/>
    <w:autoRedefine/>
    <w:qFormat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4"/>
      <w:szCs w:val="21"/>
    </w:rPr>
  </w:style>
  <w:style w:type="paragraph" w:customStyle="1" w:styleId="p17">
    <w:name w:val="p17"/>
    <w:basedOn w:val="a1"/>
    <w:autoRedefine/>
    <w:qFormat/>
    <w:pPr>
      <w:widowControl/>
      <w:spacing w:line="360" w:lineRule="auto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p16">
    <w:name w:val="p16"/>
    <w:basedOn w:val="a1"/>
    <w:autoRedefine/>
    <w:qFormat/>
    <w:pPr>
      <w:widowControl/>
      <w:jc w:val="right"/>
    </w:pPr>
    <w:rPr>
      <w:rFonts w:ascii="Univers" w:eastAsia="宋体" w:hAnsi="Univers" w:cs="宋体"/>
      <w:b/>
      <w:bCs/>
      <w:kern w:val="0"/>
      <w:sz w:val="22"/>
    </w:rPr>
  </w:style>
  <w:style w:type="paragraph" w:customStyle="1" w:styleId="att">
    <w:name w:val="att"/>
    <w:basedOn w:val="a1"/>
    <w:qFormat/>
    <w:pPr>
      <w:spacing w:line="360" w:lineRule="auto"/>
    </w:pPr>
    <w:rPr>
      <w:rFonts w:ascii="Times New Roman" w:eastAsia="楷体_GB2312" w:hAnsi="Times New Roman" w:cs="Times New Roman"/>
      <w:sz w:val="24"/>
      <w:szCs w:val="20"/>
    </w:rPr>
  </w:style>
  <w:style w:type="paragraph" w:styleId="ad">
    <w:name w:val="Revision"/>
    <w:hidden/>
    <w:uiPriority w:val="99"/>
    <w:semiHidden/>
    <w:rsid w:val="00733B7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781</Words>
  <Characters>4452</Characters>
  <Application>Microsoft Office Word</Application>
  <DocSecurity>0</DocSecurity>
  <Lines>37</Lines>
  <Paragraphs>10</Paragraphs>
  <ScaleCrop>false</ScaleCrop>
  <Company>Organization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30</cp:revision>
  <dcterms:created xsi:type="dcterms:W3CDTF">2024-08-29T01:44:00Z</dcterms:created>
  <dcterms:modified xsi:type="dcterms:W3CDTF">2024-10-14T07:59:00Z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70E806282C4A40BD9F214454DC5283A9_13</vt:lpwstr>
  </property>
</Properties>
</file>