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8894"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一、项目名称</w:t>
      </w:r>
    </w:p>
    <w:p w14:paraId="640D4BDD" w14:textId="7D7D25E4" w:rsidR="00E347A7" w:rsidRDefault="00446AA2" w:rsidP="001D1C86">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新华医院</w:t>
      </w:r>
      <w:proofErr w:type="gramStart"/>
      <w:r>
        <w:rPr>
          <w:rFonts w:ascii="宋体" w:eastAsia="宋体" w:hAnsi="宋体" w:hint="eastAsia"/>
          <w:sz w:val="24"/>
          <w:szCs w:val="24"/>
        </w:rPr>
        <w:t>2024年等保测评</w:t>
      </w:r>
      <w:proofErr w:type="gramEnd"/>
      <w:r>
        <w:rPr>
          <w:rFonts w:ascii="宋体" w:eastAsia="宋体" w:hAnsi="宋体" w:hint="eastAsia"/>
          <w:sz w:val="24"/>
          <w:szCs w:val="24"/>
        </w:rPr>
        <w:t>服务</w:t>
      </w:r>
    </w:p>
    <w:p w14:paraId="6D243CAB"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二、项目参数:</w:t>
      </w:r>
    </w:p>
    <w:p w14:paraId="187AAB06" w14:textId="77777777" w:rsidR="00446AA2" w:rsidRPr="00062F0D" w:rsidRDefault="00446AA2" w:rsidP="00446AA2">
      <w:pPr>
        <w:pStyle w:val="a9"/>
        <w:numPr>
          <w:ilvl w:val="0"/>
          <w:numId w:val="2"/>
        </w:numPr>
        <w:spacing w:line="360" w:lineRule="auto"/>
        <w:ind w:firstLineChars="0"/>
        <w:rPr>
          <w:b/>
          <w:sz w:val="24"/>
          <w:szCs w:val="24"/>
        </w:rPr>
      </w:pPr>
      <w:r w:rsidRPr="00062F0D">
        <w:rPr>
          <w:rFonts w:hint="eastAsia"/>
          <w:b/>
          <w:sz w:val="24"/>
          <w:szCs w:val="24"/>
        </w:rPr>
        <w:t>服务内容</w:t>
      </w:r>
    </w:p>
    <w:p w14:paraId="34FFD175" w14:textId="77777777" w:rsidR="00446AA2" w:rsidRPr="00446AA2" w:rsidRDefault="00446AA2" w:rsidP="00446AA2">
      <w:pPr>
        <w:spacing w:line="360" w:lineRule="auto"/>
        <w:ind w:firstLineChars="200" w:firstLine="480"/>
        <w:rPr>
          <w:rFonts w:ascii="宋体" w:eastAsia="宋体" w:hAnsi="宋体"/>
          <w:sz w:val="24"/>
          <w:szCs w:val="24"/>
        </w:rPr>
      </w:pPr>
      <w:r w:rsidRPr="00446AA2">
        <w:rPr>
          <w:rFonts w:ascii="宋体" w:eastAsia="宋体" w:hAnsi="宋体" w:hint="eastAsia"/>
          <w:sz w:val="24"/>
          <w:szCs w:val="24"/>
        </w:rPr>
        <w:t>为上海交通大学医学院附属新华医院新华医院2023年信息系统等级保护测评项目，依据 GB/T 22239-</w:t>
      </w:r>
      <w:r w:rsidRPr="00446AA2">
        <w:rPr>
          <w:rFonts w:ascii="宋体" w:eastAsia="宋体" w:hAnsi="宋体" w:hint="eastAsia"/>
        </w:rPr>
        <w:t>2019</w:t>
      </w:r>
      <w:r w:rsidRPr="00446AA2">
        <w:rPr>
          <w:rFonts w:ascii="宋体" w:eastAsia="宋体" w:hAnsi="宋体" w:hint="eastAsia"/>
          <w:sz w:val="24"/>
          <w:szCs w:val="24"/>
        </w:rPr>
        <w:t>《信息系统安全等级保护基本要求》(三级)、GB/T 18336-2008《信息 技术安全技术信息技术安全性评估准则》、DB31/T 272-2008《计算机信息系统安全测评通用技术 规范》等相关标准，对新华医院的医院核心业务系统（HIS、LIS、RIS）、新华医院电子病历系统、新华医院数据集成平台、门户网站、体检APP、新华医院OA系统、互联网医院等7个三级系统展开等级保护测评工作，对测评工作中发现安全风险问题汇总后及时反馈，协助实施问题整改，待完成整改后，再对整改情况进行复核，以保证被测系统安全性方面满足等级 保护标准三级的要求。</w:t>
      </w:r>
    </w:p>
    <w:p w14:paraId="55134BE5" w14:textId="77777777" w:rsidR="00446AA2" w:rsidRPr="00446AA2" w:rsidRDefault="00446AA2" w:rsidP="00446AA2">
      <w:pPr>
        <w:pStyle w:val="a9"/>
        <w:numPr>
          <w:ilvl w:val="0"/>
          <w:numId w:val="2"/>
        </w:numPr>
        <w:spacing w:line="360" w:lineRule="auto"/>
        <w:ind w:firstLineChars="0"/>
        <w:rPr>
          <w:b/>
          <w:sz w:val="24"/>
          <w:szCs w:val="24"/>
        </w:rPr>
      </w:pPr>
      <w:r w:rsidRPr="00446AA2">
        <w:rPr>
          <w:rFonts w:hint="eastAsia"/>
          <w:b/>
          <w:sz w:val="24"/>
          <w:szCs w:val="24"/>
        </w:rPr>
        <w:t>服务要求</w:t>
      </w:r>
    </w:p>
    <w:p w14:paraId="60537A97" w14:textId="77777777" w:rsidR="00446AA2" w:rsidRPr="00446AA2" w:rsidRDefault="00446AA2" w:rsidP="00446AA2">
      <w:pPr>
        <w:spacing w:line="360" w:lineRule="auto"/>
        <w:rPr>
          <w:rFonts w:ascii="宋体" w:eastAsia="宋体" w:hAnsi="宋体"/>
          <w:sz w:val="24"/>
          <w:szCs w:val="24"/>
        </w:rPr>
      </w:pPr>
      <w:r w:rsidRPr="00446AA2">
        <w:rPr>
          <w:rFonts w:ascii="宋体" w:eastAsia="宋体" w:hAnsi="宋体" w:hint="eastAsia"/>
          <w:sz w:val="24"/>
          <w:szCs w:val="24"/>
        </w:rPr>
        <w:t>（一）技术要求</w:t>
      </w:r>
    </w:p>
    <w:p w14:paraId="7D92C9FE"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1、安全物理环境</w:t>
      </w:r>
    </w:p>
    <w:p w14:paraId="035C1EFF"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安全物理环境差距评估将通过访谈、文档审查和实地察看的方式差距评估信息系统的安全物理环境保障情况。主要涉及机房。</w:t>
      </w:r>
    </w:p>
    <w:p w14:paraId="001DCAB9"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2、安全通信网络</w:t>
      </w:r>
    </w:p>
    <w:p w14:paraId="11F6C386"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安全通信网</w:t>
      </w:r>
      <w:proofErr w:type="gramStart"/>
      <w:r w:rsidRPr="00446AA2">
        <w:rPr>
          <w:rFonts w:ascii="宋体" w:eastAsia="宋体" w:hAnsi="宋体" w:hint="eastAsia"/>
          <w:sz w:val="24"/>
          <w:szCs w:val="24"/>
        </w:rPr>
        <w:t>络差距</w:t>
      </w:r>
      <w:proofErr w:type="gramEnd"/>
      <w:r w:rsidRPr="00446AA2">
        <w:rPr>
          <w:rFonts w:ascii="宋体" w:eastAsia="宋体" w:hAnsi="宋体" w:hint="eastAsia"/>
          <w:sz w:val="24"/>
          <w:szCs w:val="24"/>
        </w:rPr>
        <w:t>评估将通过访谈、检查和测试的方式差距评估信息系统的安全通信网</w:t>
      </w:r>
      <w:proofErr w:type="gramStart"/>
      <w:r w:rsidRPr="00446AA2">
        <w:rPr>
          <w:rFonts w:ascii="宋体" w:eastAsia="宋体" w:hAnsi="宋体" w:hint="eastAsia"/>
          <w:sz w:val="24"/>
          <w:szCs w:val="24"/>
        </w:rPr>
        <w:t>络保障</w:t>
      </w:r>
      <w:proofErr w:type="gramEnd"/>
      <w:r w:rsidRPr="00446AA2">
        <w:rPr>
          <w:rFonts w:ascii="宋体" w:eastAsia="宋体" w:hAnsi="宋体" w:hint="eastAsia"/>
          <w:sz w:val="24"/>
          <w:szCs w:val="24"/>
        </w:rPr>
        <w:t>情况。主要涉及对象为：主要涉及网络互联设备与安全设备。</w:t>
      </w:r>
    </w:p>
    <w:p w14:paraId="42B79484"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3、安全区域边界</w:t>
      </w:r>
    </w:p>
    <w:p w14:paraId="17C973F0"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安全区域边界差距评估将通过访谈、检查和测试的方式差距评估信息系统的安全区域边界安全保障情况。主要涉及对象为：主要涉及网络互联设备与安全设备。</w:t>
      </w:r>
    </w:p>
    <w:p w14:paraId="26717E07"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4、安全计算环境</w:t>
      </w:r>
    </w:p>
    <w:p w14:paraId="6AFCA317"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安全计算环境差距评估将通过访谈、检查和测试的方式差距评估信息系统的主机和应用安全保障情况。主要涉及主机（存储操作系统）和数据库管理系统、应用系统。</w:t>
      </w:r>
    </w:p>
    <w:p w14:paraId="79098D4F"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lastRenderedPageBreak/>
        <w:t>5、安全管理中心</w:t>
      </w:r>
    </w:p>
    <w:p w14:paraId="7E7EF586"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安全管理中心评估将通过访谈、检查和测试的方式差距评估信息系统的各类安全管理情况。主要涉及对象为：应用系统鉴别数据、业务数据等系统关键数据。</w:t>
      </w:r>
    </w:p>
    <w:p w14:paraId="679E102F" w14:textId="77777777" w:rsidR="00446AA2" w:rsidRPr="00446AA2" w:rsidRDefault="00446AA2" w:rsidP="00446AA2">
      <w:pPr>
        <w:spacing w:line="360" w:lineRule="auto"/>
        <w:rPr>
          <w:rFonts w:ascii="宋体" w:eastAsia="宋体" w:hAnsi="宋体"/>
          <w:sz w:val="24"/>
          <w:szCs w:val="24"/>
        </w:rPr>
      </w:pPr>
      <w:r w:rsidRPr="00446AA2">
        <w:rPr>
          <w:rFonts w:ascii="宋体" w:eastAsia="宋体" w:hAnsi="宋体" w:hint="eastAsia"/>
          <w:sz w:val="24"/>
          <w:szCs w:val="24"/>
        </w:rPr>
        <w:t>（二）管理要求</w:t>
      </w:r>
    </w:p>
    <w:p w14:paraId="35DFDAAE"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1、安全管理制度</w:t>
      </w:r>
    </w:p>
    <w:p w14:paraId="67D5057F"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安全管理制度差距评估将通过访谈和检查的方式差距评估信息系统的安全管理制度建立情况。主要涉及对象为：信息安全管理体系、日常安全管理制度、重要操作规程及相关执行记录等。</w:t>
      </w:r>
    </w:p>
    <w:p w14:paraId="7240D37E"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2、安全管理机构</w:t>
      </w:r>
    </w:p>
    <w:p w14:paraId="3BFE7A5E"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安全管理机构差距评估将通过访谈和检查的方式差距评估信息系统的安全管理机构建立情况。主要涉及对象为：安全管理机构设立文档、信息安全小组名单、岗位说明书、等文档及执行记录。</w:t>
      </w:r>
    </w:p>
    <w:p w14:paraId="2CA929B6"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3、安全管理人员</w:t>
      </w:r>
    </w:p>
    <w:p w14:paraId="70B2027B"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安全管理人员差距评估将通过访谈和检查的方式差距评估信息系统的安全管理人员方面情况。主要涉及对象为：人事管理制度、外部人员访问要求等安全管理制度及执行记录。</w:t>
      </w:r>
    </w:p>
    <w:p w14:paraId="781620F1"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4、安全建设管理</w:t>
      </w:r>
    </w:p>
    <w:p w14:paraId="03FAABED"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安全建设管理差距评估将通过访谈和检查的方式差距评估信息系统的安全建设管理方面情况。主要涉及对象为：系统建设过程中涉及的相关文档，如：系统定级报告、安全设计方案、测试验收报告等文档及软件开发、工程实施等方面的安全管理制度及执行记录。</w:t>
      </w:r>
    </w:p>
    <w:p w14:paraId="42A245A4"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5、</w:t>
      </w:r>
      <w:proofErr w:type="gramStart"/>
      <w:r w:rsidRPr="00446AA2">
        <w:rPr>
          <w:rFonts w:ascii="宋体" w:eastAsia="宋体" w:hAnsi="宋体" w:hint="eastAsia"/>
          <w:sz w:val="24"/>
          <w:szCs w:val="24"/>
        </w:rPr>
        <w:t>安全运</w:t>
      </w:r>
      <w:proofErr w:type="gramEnd"/>
      <w:r w:rsidRPr="00446AA2">
        <w:rPr>
          <w:rFonts w:ascii="宋体" w:eastAsia="宋体" w:hAnsi="宋体" w:hint="eastAsia"/>
          <w:sz w:val="24"/>
          <w:szCs w:val="24"/>
        </w:rPr>
        <w:t>维管理</w:t>
      </w:r>
    </w:p>
    <w:p w14:paraId="6656744D" w14:textId="77777777" w:rsidR="00446AA2" w:rsidRPr="00446AA2" w:rsidRDefault="00446AA2" w:rsidP="00446AA2">
      <w:pPr>
        <w:pStyle w:val="a9"/>
        <w:spacing w:line="360" w:lineRule="auto"/>
        <w:ind w:firstLine="480"/>
        <w:rPr>
          <w:rFonts w:ascii="宋体" w:eastAsia="宋体" w:hAnsi="宋体"/>
          <w:sz w:val="24"/>
          <w:szCs w:val="24"/>
        </w:rPr>
      </w:pPr>
      <w:proofErr w:type="gramStart"/>
      <w:r w:rsidRPr="00446AA2">
        <w:rPr>
          <w:rFonts w:ascii="宋体" w:eastAsia="宋体" w:hAnsi="宋体" w:hint="eastAsia"/>
          <w:sz w:val="24"/>
          <w:szCs w:val="24"/>
        </w:rPr>
        <w:t>安全运维管理</w:t>
      </w:r>
      <w:proofErr w:type="gramEnd"/>
      <w:r w:rsidRPr="00446AA2">
        <w:rPr>
          <w:rFonts w:ascii="宋体" w:eastAsia="宋体" w:hAnsi="宋体" w:hint="eastAsia"/>
          <w:sz w:val="24"/>
          <w:szCs w:val="24"/>
        </w:rPr>
        <w:t>差距评估将通过访谈和检查的方式差距评估信息系统的</w:t>
      </w:r>
      <w:proofErr w:type="gramStart"/>
      <w:r w:rsidRPr="00446AA2">
        <w:rPr>
          <w:rFonts w:ascii="宋体" w:eastAsia="宋体" w:hAnsi="宋体" w:hint="eastAsia"/>
          <w:sz w:val="24"/>
          <w:szCs w:val="24"/>
        </w:rPr>
        <w:t>安全运维管理</w:t>
      </w:r>
      <w:proofErr w:type="gramEnd"/>
      <w:r w:rsidRPr="00446AA2">
        <w:rPr>
          <w:rFonts w:ascii="宋体" w:eastAsia="宋体" w:hAnsi="宋体" w:hint="eastAsia"/>
          <w:sz w:val="24"/>
          <w:szCs w:val="24"/>
        </w:rPr>
        <w:t>方面情况。主要涉及对象为：系统运</w:t>
      </w:r>
      <w:proofErr w:type="gramStart"/>
      <w:r w:rsidRPr="00446AA2">
        <w:rPr>
          <w:rFonts w:ascii="宋体" w:eastAsia="宋体" w:hAnsi="宋体" w:hint="eastAsia"/>
          <w:sz w:val="24"/>
          <w:szCs w:val="24"/>
        </w:rPr>
        <w:t>维过程</w:t>
      </w:r>
      <w:proofErr w:type="gramEnd"/>
      <w:r w:rsidRPr="00446AA2">
        <w:rPr>
          <w:rFonts w:ascii="宋体" w:eastAsia="宋体" w:hAnsi="宋体" w:hint="eastAsia"/>
          <w:sz w:val="24"/>
          <w:szCs w:val="24"/>
        </w:rPr>
        <w:t>中涉及的安全管理制度及执行记录。</w:t>
      </w:r>
    </w:p>
    <w:p w14:paraId="1DB89201" w14:textId="77777777" w:rsidR="00446AA2" w:rsidRPr="00446AA2" w:rsidRDefault="00446AA2" w:rsidP="00446AA2">
      <w:pPr>
        <w:pStyle w:val="a9"/>
        <w:numPr>
          <w:ilvl w:val="0"/>
          <w:numId w:val="2"/>
        </w:numPr>
        <w:spacing w:line="360" w:lineRule="auto"/>
        <w:ind w:firstLineChars="0"/>
        <w:rPr>
          <w:b/>
          <w:sz w:val="24"/>
          <w:szCs w:val="24"/>
        </w:rPr>
      </w:pPr>
      <w:r w:rsidRPr="00446AA2">
        <w:rPr>
          <w:rFonts w:hint="eastAsia"/>
          <w:b/>
          <w:sz w:val="24"/>
          <w:szCs w:val="24"/>
        </w:rPr>
        <w:t>服务及验收要求</w:t>
      </w:r>
    </w:p>
    <w:p w14:paraId="4CC5F6A5"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1、在安全等级测评工作中发现安全风险问题汇总后及时反馈采购人，同时督促其实施问题整改。</w:t>
      </w:r>
    </w:p>
    <w:p w14:paraId="61940051"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lastRenderedPageBreak/>
        <w:t>2、待采购人完成整改后，再对整改情况进行复核，以保证</w:t>
      </w:r>
      <w:proofErr w:type="gramStart"/>
      <w:r w:rsidRPr="00446AA2">
        <w:rPr>
          <w:rFonts w:ascii="宋体" w:eastAsia="宋体" w:hAnsi="宋体" w:hint="eastAsia"/>
          <w:sz w:val="24"/>
          <w:szCs w:val="24"/>
        </w:rPr>
        <w:t>其医院</w:t>
      </w:r>
      <w:proofErr w:type="gramEnd"/>
      <w:r w:rsidRPr="00446AA2">
        <w:rPr>
          <w:rFonts w:ascii="宋体" w:eastAsia="宋体" w:hAnsi="宋体" w:hint="eastAsia"/>
          <w:sz w:val="24"/>
          <w:szCs w:val="24"/>
        </w:rPr>
        <w:t>新华医院的医院核心业务系统（HIS、LIS、RIS）、新华医院电子病历系统、新华医院数据集成平台、门户网站、体检APP、新华医院OA系统、互联网医院等7个三级系统在安全性方面满足等级保护标准(三级)的要求。</w:t>
      </w:r>
    </w:p>
    <w:p w14:paraId="05DCFE3E"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3、获取详细的测评信息之后，对其进行归类记录，按照被测对象的定级结果，对测评记录进行整理，并进行分析评估，以期发现被测对象和等级保护标准的差距以及存在的安全隐患。</w:t>
      </w:r>
    </w:p>
    <w:p w14:paraId="0A1249B3"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4、将分类的评估结果综合为测评的整体结论，撰写问题汇总与整改建议。</w:t>
      </w:r>
    </w:p>
    <w:p w14:paraId="7AA1FBD7"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5、若涉及整改，在整改完成后，开展复测评工作。</w:t>
      </w:r>
    </w:p>
    <w:p w14:paraId="33476091"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3、供应商在响应文件中提供服务承诺：</w:t>
      </w:r>
    </w:p>
    <w:p w14:paraId="54505F16"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1）组建一支有丰富经验的服务团队，致力于本项目的安全测评服务工作，保证为采购人提供优质服务。</w:t>
      </w:r>
    </w:p>
    <w:p w14:paraId="2A5CA29D"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2）</w:t>
      </w:r>
      <w:r w:rsidRPr="00446AA2">
        <w:rPr>
          <w:rFonts w:ascii="宋体" w:eastAsia="宋体" w:hAnsi="宋体" w:hint="eastAsia"/>
          <w:sz w:val="24"/>
          <w:szCs w:val="24"/>
        </w:rPr>
        <w:tab/>
        <w:t>提供多种技术服务方式，包括现场服务（5*8）、电话支持（7*24）、响应时间1小时到现场等。</w:t>
      </w:r>
    </w:p>
    <w:p w14:paraId="3ED72FC9"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3）</w:t>
      </w:r>
      <w:r w:rsidRPr="00446AA2">
        <w:rPr>
          <w:rFonts w:ascii="宋体" w:eastAsia="宋体" w:hAnsi="宋体" w:hint="eastAsia"/>
          <w:sz w:val="24"/>
          <w:szCs w:val="24"/>
        </w:rPr>
        <w:tab/>
        <w:t>遵循守法、公平、公正、独立的原则进行测评服务。</w:t>
      </w:r>
    </w:p>
    <w:p w14:paraId="6051082F"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4）</w:t>
      </w:r>
      <w:r w:rsidRPr="00446AA2">
        <w:rPr>
          <w:rFonts w:ascii="宋体" w:eastAsia="宋体" w:hAnsi="宋体" w:hint="eastAsia"/>
          <w:sz w:val="24"/>
          <w:szCs w:val="24"/>
        </w:rPr>
        <w:tab/>
        <w:t>不得以任何形式将本项目业务转包或分包给第三方。</w:t>
      </w:r>
    </w:p>
    <w:p w14:paraId="1FB3EEEF"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4、双方签署验收文件时，成交供应商应提交全套、完整的全面技术资料，以及所有与用户、设备等相关联的说明、表格等资料，且</w:t>
      </w:r>
      <w:proofErr w:type="gramStart"/>
      <w:r w:rsidRPr="00446AA2">
        <w:rPr>
          <w:rFonts w:ascii="宋体" w:eastAsia="宋体" w:hAnsi="宋体" w:hint="eastAsia"/>
          <w:sz w:val="24"/>
          <w:szCs w:val="24"/>
        </w:rPr>
        <w:t>获得等保备案</w:t>
      </w:r>
      <w:proofErr w:type="gramEnd"/>
      <w:r w:rsidRPr="00446AA2">
        <w:rPr>
          <w:rFonts w:ascii="宋体" w:eastAsia="宋体" w:hAnsi="宋体" w:hint="eastAsia"/>
          <w:sz w:val="24"/>
          <w:szCs w:val="24"/>
        </w:rPr>
        <w:t>证明。</w:t>
      </w:r>
    </w:p>
    <w:p w14:paraId="54E203F7"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5、本项目全部工作应合同签订后半年内完成。</w:t>
      </w:r>
    </w:p>
    <w:p w14:paraId="7DBEFCF5" w14:textId="77777777" w:rsidR="00446AA2" w:rsidRPr="00446AA2" w:rsidRDefault="00446AA2" w:rsidP="00446AA2">
      <w:pPr>
        <w:pStyle w:val="a9"/>
        <w:numPr>
          <w:ilvl w:val="0"/>
          <w:numId w:val="2"/>
        </w:numPr>
        <w:spacing w:line="360" w:lineRule="auto"/>
        <w:ind w:firstLineChars="0"/>
        <w:rPr>
          <w:b/>
          <w:sz w:val="24"/>
          <w:szCs w:val="24"/>
        </w:rPr>
      </w:pPr>
      <w:r w:rsidRPr="00446AA2">
        <w:rPr>
          <w:rFonts w:hint="eastAsia"/>
          <w:b/>
          <w:sz w:val="24"/>
          <w:szCs w:val="24"/>
        </w:rPr>
        <w:t xml:space="preserve">提交文档要求 </w:t>
      </w:r>
    </w:p>
    <w:p w14:paraId="22FB483B"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1、现场测评前，提交安全等级测评工作计划及测评方案；</w:t>
      </w:r>
    </w:p>
    <w:p w14:paraId="1D0EB16A"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2、初次现场安全测评完成后，分别出具新华医院的医院核心业务系统（HIS、LIS、RIS）、新华医院电子病历系统、新华医院数据集成平台、门户网站、体检APP、新华医院OA系统、互联网医院等7个三级系统的《测评问题汇总》;</w:t>
      </w:r>
    </w:p>
    <w:p w14:paraId="57B8E8E7" w14:textId="77777777" w:rsidR="00446AA2" w:rsidRPr="00446AA2" w:rsidRDefault="00446AA2" w:rsidP="00446AA2">
      <w:pPr>
        <w:pStyle w:val="a9"/>
        <w:spacing w:line="360" w:lineRule="auto"/>
        <w:ind w:firstLine="480"/>
        <w:rPr>
          <w:rFonts w:ascii="宋体" w:eastAsia="宋体" w:hAnsi="宋体"/>
          <w:sz w:val="24"/>
          <w:szCs w:val="24"/>
        </w:rPr>
      </w:pPr>
      <w:r w:rsidRPr="00446AA2">
        <w:rPr>
          <w:rFonts w:ascii="宋体" w:eastAsia="宋体" w:hAnsi="宋体" w:hint="eastAsia"/>
          <w:sz w:val="24"/>
          <w:szCs w:val="24"/>
        </w:rPr>
        <w:t>3、</w:t>
      </w:r>
      <w:proofErr w:type="gramStart"/>
      <w:r w:rsidRPr="00446AA2">
        <w:rPr>
          <w:rFonts w:ascii="宋体" w:eastAsia="宋体" w:hAnsi="宋体" w:hint="eastAsia"/>
          <w:sz w:val="24"/>
          <w:szCs w:val="24"/>
        </w:rPr>
        <w:t>全部等保测评</w:t>
      </w:r>
      <w:proofErr w:type="gramEnd"/>
      <w:r w:rsidRPr="00446AA2">
        <w:rPr>
          <w:rFonts w:ascii="宋体" w:eastAsia="宋体" w:hAnsi="宋体" w:hint="eastAsia"/>
          <w:sz w:val="24"/>
          <w:szCs w:val="24"/>
        </w:rPr>
        <w:t>工作完成后，分别出具新华医院的医院核心业务系统（HIS、LIS、RIS）、新华医院电子病历系统、新华医院数据集成平台、门户网站、体检APP、新华医院OA系统、互联网医院等7个三级系统的《安全等级测评报告》。</w:t>
      </w:r>
    </w:p>
    <w:p w14:paraId="6BCBC500" w14:textId="77777777" w:rsidR="00446AA2" w:rsidRPr="00446AA2" w:rsidRDefault="00446AA2" w:rsidP="00446AA2">
      <w:pPr>
        <w:pStyle w:val="a9"/>
        <w:numPr>
          <w:ilvl w:val="0"/>
          <w:numId w:val="2"/>
        </w:numPr>
        <w:spacing w:line="360" w:lineRule="auto"/>
        <w:ind w:firstLineChars="0"/>
        <w:rPr>
          <w:b/>
          <w:sz w:val="24"/>
          <w:szCs w:val="24"/>
        </w:rPr>
      </w:pPr>
      <w:r w:rsidRPr="00446AA2">
        <w:rPr>
          <w:rFonts w:hint="eastAsia"/>
          <w:b/>
          <w:sz w:val="24"/>
          <w:szCs w:val="24"/>
        </w:rPr>
        <w:t>保密</w:t>
      </w:r>
      <w:r w:rsidRPr="00446AA2">
        <w:rPr>
          <w:b/>
          <w:sz w:val="24"/>
          <w:szCs w:val="24"/>
        </w:rPr>
        <w:t>要求</w:t>
      </w:r>
    </w:p>
    <w:p w14:paraId="03517E1A" w14:textId="77777777" w:rsidR="00446AA2" w:rsidRPr="00446AA2" w:rsidRDefault="00446AA2" w:rsidP="00446AA2">
      <w:pPr>
        <w:spacing w:line="360" w:lineRule="auto"/>
        <w:rPr>
          <w:rFonts w:ascii="宋体" w:eastAsia="宋体" w:hAnsi="宋体"/>
          <w:sz w:val="24"/>
          <w:szCs w:val="24"/>
        </w:rPr>
      </w:pPr>
      <w:r w:rsidRPr="00446AA2">
        <w:rPr>
          <w:rFonts w:ascii="宋体" w:eastAsia="宋体" w:hAnsi="宋体" w:hint="eastAsia"/>
          <w:sz w:val="24"/>
          <w:szCs w:val="24"/>
        </w:rPr>
        <w:t>供应商</w:t>
      </w:r>
      <w:r w:rsidRPr="00446AA2">
        <w:rPr>
          <w:rFonts w:ascii="宋体" w:eastAsia="宋体" w:hAnsi="宋体"/>
          <w:sz w:val="24"/>
          <w:szCs w:val="24"/>
        </w:rPr>
        <w:t>应严格</w:t>
      </w:r>
      <w:r w:rsidRPr="00446AA2">
        <w:rPr>
          <w:rFonts w:ascii="宋体" w:eastAsia="宋体" w:hAnsi="宋体" w:hint="eastAsia"/>
          <w:sz w:val="24"/>
          <w:szCs w:val="24"/>
        </w:rPr>
        <w:t>遵照</w:t>
      </w:r>
      <w:r w:rsidRPr="00446AA2">
        <w:rPr>
          <w:rFonts w:ascii="宋体" w:eastAsia="宋体" w:hAnsi="宋体"/>
          <w:sz w:val="24"/>
          <w:szCs w:val="24"/>
        </w:rPr>
        <w:t>有关</w:t>
      </w:r>
      <w:r w:rsidRPr="00446AA2">
        <w:rPr>
          <w:rFonts w:ascii="宋体" w:eastAsia="宋体" w:hAnsi="宋体" w:hint="eastAsia"/>
          <w:sz w:val="24"/>
          <w:szCs w:val="24"/>
        </w:rPr>
        <w:t>保密工作</w:t>
      </w:r>
      <w:r w:rsidRPr="00446AA2">
        <w:rPr>
          <w:rFonts w:ascii="宋体" w:eastAsia="宋体" w:hAnsi="宋体"/>
          <w:sz w:val="24"/>
          <w:szCs w:val="24"/>
        </w:rPr>
        <w:t>要求，</w:t>
      </w:r>
      <w:r w:rsidRPr="00446AA2">
        <w:rPr>
          <w:rFonts w:ascii="宋体" w:eastAsia="宋体" w:hAnsi="宋体" w:hint="eastAsia"/>
          <w:sz w:val="24"/>
          <w:szCs w:val="24"/>
        </w:rPr>
        <w:t>签订</w:t>
      </w:r>
      <w:r w:rsidRPr="00446AA2">
        <w:rPr>
          <w:rFonts w:ascii="宋体" w:eastAsia="宋体" w:hAnsi="宋体"/>
          <w:sz w:val="24"/>
          <w:szCs w:val="24"/>
        </w:rPr>
        <w:t>保密协议</w:t>
      </w:r>
      <w:r w:rsidRPr="00446AA2">
        <w:rPr>
          <w:rFonts w:ascii="宋体" w:eastAsia="宋体" w:hAnsi="宋体" w:hint="eastAsia"/>
          <w:sz w:val="24"/>
          <w:szCs w:val="24"/>
        </w:rPr>
        <w:t>。未经采购方</w:t>
      </w:r>
      <w:r w:rsidRPr="00446AA2">
        <w:rPr>
          <w:rFonts w:ascii="宋体" w:eastAsia="宋体" w:hAnsi="宋体"/>
          <w:sz w:val="24"/>
          <w:szCs w:val="24"/>
        </w:rPr>
        <w:t>允许，</w:t>
      </w:r>
      <w:r w:rsidRPr="00446AA2">
        <w:rPr>
          <w:rFonts w:ascii="宋体" w:eastAsia="宋体" w:hAnsi="宋体" w:hint="eastAsia"/>
          <w:sz w:val="24"/>
          <w:szCs w:val="24"/>
        </w:rPr>
        <w:t>不得以</w:t>
      </w:r>
      <w:r w:rsidRPr="00446AA2">
        <w:rPr>
          <w:rFonts w:ascii="宋体" w:eastAsia="宋体" w:hAnsi="宋体" w:hint="eastAsia"/>
          <w:sz w:val="24"/>
          <w:szCs w:val="24"/>
        </w:rPr>
        <w:lastRenderedPageBreak/>
        <w:t>任何理由向不承担保密义务的任何第三方泄露涉密信息、医务</w:t>
      </w:r>
      <w:r w:rsidRPr="00446AA2">
        <w:rPr>
          <w:rFonts w:ascii="宋体" w:eastAsia="宋体" w:hAnsi="宋体"/>
          <w:sz w:val="24"/>
          <w:szCs w:val="24"/>
        </w:rPr>
        <w:t>工作秘密</w:t>
      </w:r>
      <w:r w:rsidRPr="00446AA2">
        <w:rPr>
          <w:rFonts w:ascii="宋体" w:eastAsia="宋体" w:hAnsi="宋体" w:hint="eastAsia"/>
          <w:sz w:val="24"/>
          <w:szCs w:val="24"/>
        </w:rPr>
        <w:t>，不得私自复制任何涉密信息、医务</w:t>
      </w:r>
      <w:r w:rsidRPr="00446AA2">
        <w:rPr>
          <w:rFonts w:ascii="宋体" w:eastAsia="宋体" w:hAnsi="宋体"/>
          <w:sz w:val="24"/>
          <w:szCs w:val="24"/>
        </w:rPr>
        <w:t>工作秘密</w:t>
      </w:r>
      <w:r w:rsidRPr="00446AA2">
        <w:rPr>
          <w:rFonts w:ascii="宋体" w:eastAsia="宋体" w:hAnsi="宋体" w:hint="eastAsia"/>
          <w:sz w:val="24"/>
          <w:szCs w:val="24"/>
        </w:rPr>
        <w:t>。</w:t>
      </w:r>
    </w:p>
    <w:p w14:paraId="685F4A8A" w14:textId="77777777" w:rsidR="00446AA2" w:rsidRPr="00446AA2" w:rsidRDefault="00446AA2" w:rsidP="00446AA2">
      <w:pPr>
        <w:spacing w:line="360" w:lineRule="auto"/>
        <w:rPr>
          <w:rFonts w:ascii="宋体" w:eastAsia="宋体" w:hAnsi="宋体"/>
          <w:sz w:val="24"/>
          <w:szCs w:val="24"/>
        </w:rPr>
      </w:pPr>
    </w:p>
    <w:p w14:paraId="2ABB7896" w14:textId="77777777" w:rsidR="00446AA2" w:rsidRPr="00446AA2" w:rsidRDefault="00446AA2" w:rsidP="00446AA2">
      <w:pPr>
        <w:pStyle w:val="a9"/>
        <w:numPr>
          <w:ilvl w:val="0"/>
          <w:numId w:val="2"/>
        </w:numPr>
        <w:spacing w:line="360" w:lineRule="auto"/>
        <w:ind w:firstLineChars="0"/>
        <w:rPr>
          <w:b/>
          <w:sz w:val="24"/>
          <w:szCs w:val="24"/>
        </w:rPr>
      </w:pPr>
      <w:r w:rsidRPr="00446AA2">
        <w:rPr>
          <w:rFonts w:hint="eastAsia"/>
          <w:b/>
          <w:sz w:val="24"/>
          <w:szCs w:val="24"/>
        </w:rPr>
        <w:t>报价</w:t>
      </w:r>
    </w:p>
    <w:p w14:paraId="750DE4E9" w14:textId="77777777" w:rsidR="00446AA2" w:rsidRPr="00446AA2" w:rsidRDefault="00446AA2" w:rsidP="00446AA2">
      <w:pPr>
        <w:spacing w:line="360" w:lineRule="auto"/>
        <w:rPr>
          <w:rFonts w:ascii="宋体" w:eastAsia="宋体" w:hAnsi="宋体"/>
          <w:sz w:val="24"/>
          <w:szCs w:val="24"/>
        </w:rPr>
      </w:pPr>
      <w:r w:rsidRPr="00446AA2">
        <w:rPr>
          <w:rFonts w:ascii="宋体" w:eastAsia="宋体" w:hAnsi="宋体" w:hint="eastAsia"/>
          <w:sz w:val="24"/>
          <w:szCs w:val="24"/>
        </w:rPr>
        <w:t>响应报价采用固定总价，和本项目相关的费用均应包含在响应报价中，供应商应充分考虑人工费、服务费、税费、不可预见费等。供应商漏报的单价或每单价报价中漏报、少报的费用，视为此项费用已隐含在响应报价中，中标后不得再向采购方收取任何费用。任何在构成响应总价的分项费用中未列明的费用，除采购文件中另有明确规定以外，均应被认为已经包括在响应总价中，供应商不得以任何理由要求采购方额外支付任何款项。</w:t>
      </w:r>
    </w:p>
    <w:p w14:paraId="3C416020" w14:textId="77777777" w:rsidR="00220551" w:rsidRPr="00446AA2" w:rsidRDefault="00220551" w:rsidP="00220551">
      <w:pPr>
        <w:adjustRightInd w:val="0"/>
        <w:snapToGrid w:val="0"/>
        <w:spacing w:line="360" w:lineRule="auto"/>
        <w:rPr>
          <w:rFonts w:ascii="宋体" w:eastAsia="宋体" w:hAnsi="宋体" w:hint="eastAsia"/>
          <w:sz w:val="24"/>
          <w:szCs w:val="24"/>
        </w:rPr>
      </w:pPr>
    </w:p>
    <w:p w14:paraId="331182B1" w14:textId="77777777" w:rsidR="001D1C86" w:rsidRPr="001D1C86" w:rsidRDefault="00B43BBE" w:rsidP="00220551">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41CF9CB0" w14:textId="6BCE62FE" w:rsidR="001D1C86" w:rsidRPr="001D1C86" w:rsidRDefault="001D1C86" w:rsidP="001D1C86">
      <w:pPr>
        <w:adjustRightInd w:val="0"/>
        <w:snapToGrid w:val="0"/>
        <w:spacing w:line="360" w:lineRule="auto"/>
        <w:ind w:firstLineChars="200" w:firstLine="480"/>
        <w:rPr>
          <w:rFonts w:ascii="宋体" w:eastAsia="宋体" w:hAnsi="宋体" w:hint="eastAsia"/>
          <w:sz w:val="24"/>
          <w:szCs w:val="24"/>
        </w:rPr>
      </w:pPr>
      <w:r w:rsidRPr="001D1C86">
        <w:rPr>
          <w:rFonts w:ascii="宋体" w:eastAsia="宋体" w:hAnsi="宋体" w:hint="eastAsia"/>
          <w:sz w:val="24"/>
          <w:szCs w:val="24"/>
        </w:rPr>
        <w:t>人民币</w:t>
      </w:r>
      <w:r w:rsidR="00446AA2">
        <w:rPr>
          <w:rFonts w:ascii="宋体" w:eastAsia="宋体" w:hAnsi="宋体" w:hint="eastAsia"/>
          <w:sz w:val="24"/>
          <w:szCs w:val="24"/>
        </w:rPr>
        <w:t>60</w:t>
      </w:r>
      <w:r w:rsidRPr="001D1C86">
        <w:rPr>
          <w:rFonts w:ascii="宋体" w:eastAsia="宋体" w:hAnsi="宋体"/>
          <w:sz w:val="24"/>
          <w:szCs w:val="24"/>
        </w:rPr>
        <w:t>.00万元</w:t>
      </w:r>
    </w:p>
    <w:p w14:paraId="54BAE45A" w14:textId="77777777" w:rsidR="001D1C86" w:rsidRP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20D7376D" w14:textId="77777777" w:rsidR="004A7A67" w:rsidRPr="004A7A67" w:rsidRDefault="004A7A67" w:rsidP="004A7A67">
      <w:pPr>
        <w:widowControl/>
        <w:spacing w:line="360" w:lineRule="auto"/>
        <w:ind w:firstLineChars="200" w:firstLine="480"/>
        <w:jc w:val="left"/>
        <w:textAlignment w:val="baseline"/>
        <w:rPr>
          <w:rFonts w:ascii="宋体" w:eastAsia="宋体" w:hAnsi="宋体" w:cs="Times New Roman" w:hint="eastAsia"/>
          <w:kern w:val="0"/>
          <w:sz w:val="24"/>
          <w:szCs w:val="24"/>
        </w:rPr>
      </w:pPr>
      <w:r w:rsidRPr="004A7A67">
        <w:rPr>
          <w:rFonts w:ascii="宋体" w:eastAsia="宋体" w:hAnsi="宋体" w:cs="Times New Roman"/>
          <w:kern w:val="0"/>
          <w:sz w:val="24"/>
          <w:szCs w:val="24"/>
        </w:rPr>
        <w:t>1.满足《中华人民共和国政府采购法》第二十二条规定；</w:t>
      </w:r>
    </w:p>
    <w:p w14:paraId="7B760532" w14:textId="77777777" w:rsidR="004A7A67" w:rsidRPr="004A7A67" w:rsidRDefault="004A7A67" w:rsidP="004A7A67">
      <w:pPr>
        <w:widowControl/>
        <w:spacing w:line="360" w:lineRule="auto"/>
        <w:ind w:firstLineChars="200" w:firstLine="480"/>
        <w:jc w:val="left"/>
        <w:textAlignment w:val="baseline"/>
        <w:rPr>
          <w:rFonts w:ascii="宋体" w:eastAsia="宋体" w:hAnsi="宋体" w:cs="Times New Roman" w:hint="eastAsia"/>
          <w:kern w:val="0"/>
          <w:sz w:val="24"/>
          <w:szCs w:val="24"/>
        </w:rPr>
      </w:pPr>
      <w:r w:rsidRPr="004A7A67">
        <w:rPr>
          <w:rFonts w:ascii="宋体" w:eastAsia="宋体" w:hAnsi="宋体" w:cs="Times New Roman" w:hint="eastAsia"/>
          <w:kern w:val="0"/>
          <w:sz w:val="24"/>
          <w:szCs w:val="24"/>
        </w:rPr>
        <w:t>2</w:t>
      </w:r>
      <w:r w:rsidRPr="004A7A67">
        <w:rPr>
          <w:rFonts w:ascii="宋体" w:eastAsia="宋体" w:hAnsi="宋体" w:cs="Times New Roman"/>
          <w:kern w:val="0"/>
          <w:sz w:val="24"/>
          <w:szCs w:val="24"/>
        </w:rPr>
        <w:t>.本项目的特定资格要求：</w:t>
      </w:r>
    </w:p>
    <w:p w14:paraId="79B23CA2" w14:textId="77777777" w:rsidR="004A7A67" w:rsidRPr="004A7A67" w:rsidRDefault="004A7A67" w:rsidP="004A7A67">
      <w:pPr>
        <w:widowControl/>
        <w:spacing w:line="360" w:lineRule="auto"/>
        <w:ind w:firstLineChars="200" w:firstLine="480"/>
        <w:jc w:val="left"/>
        <w:textAlignment w:val="baseline"/>
        <w:rPr>
          <w:rFonts w:ascii="宋体" w:eastAsia="宋体" w:hAnsi="宋体" w:cs="Times New Roman" w:hint="eastAsia"/>
          <w:kern w:val="0"/>
          <w:sz w:val="24"/>
          <w:szCs w:val="24"/>
        </w:rPr>
      </w:pPr>
      <w:r w:rsidRPr="004A7A67">
        <w:rPr>
          <w:rFonts w:ascii="宋体" w:eastAsia="宋体" w:hAnsi="宋体" w:cs="Times New Roman"/>
          <w:kern w:val="0"/>
          <w:sz w:val="24"/>
          <w:szCs w:val="24"/>
        </w:rPr>
        <w:t>1）、购买了磋商采购文件且在法律上和财务上独立、合法运作并独立于采购人和采购代理机构。</w:t>
      </w:r>
    </w:p>
    <w:p w14:paraId="45CCFB3A" w14:textId="77777777" w:rsidR="004A7A67" w:rsidRPr="004A7A67" w:rsidRDefault="004A7A67" w:rsidP="004A7A67">
      <w:pPr>
        <w:widowControl/>
        <w:spacing w:line="360" w:lineRule="auto"/>
        <w:ind w:firstLineChars="200" w:firstLine="480"/>
        <w:jc w:val="left"/>
        <w:textAlignment w:val="baseline"/>
        <w:rPr>
          <w:rFonts w:ascii="宋体" w:eastAsia="宋体" w:hAnsi="宋体" w:cs="Times New Roman" w:hint="eastAsia"/>
          <w:kern w:val="0"/>
          <w:sz w:val="24"/>
          <w:szCs w:val="24"/>
        </w:rPr>
      </w:pPr>
      <w:r w:rsidRPr="004A7A67">
        <w:rPr>
          <w:rFonts w:ascii="宋体" w:eastAsia="宋体" w:hAnsi="宋体" w:cs="Times New Roman"/>
          <w:kern w:val="0"/>
          <w:sz w:val="24"/>
          <w:szCs w:val="24"/>
        </w:rPr>
        <w:t>2）、本项目不允许分包、转包。</w:t>
      </w:r>
    </w:p>
    <w:p w14:paraId="63CEBAF5" w14:textId="77777777" w:rsidR="004A7A67" w:rsidRPr="004A7A67" w:rsidRDefault="004A7A67" w:rsidP="004A7A67">
      <w:pPr>
        <w:widowControl/>
        <w:spacing w:line="360" w:lineRule="auto"/>
        <w:ind w:firstLineChars="200" w:firstLine="480"/>
        <w:jc w:val="left"/>
        <w:textAlignment w:val="baseline"/>
        <w:rPr>
          <w:rFonts w:ascii="宋体" w:eastAsia="宋体" w:hAnsi="宋体" w:cs="Times New Roman" w:hint="eastAsia"/>
          <w:kern w:val="0"/>
          <w:sz w:val="24"/>
          <w:szCs w:val="24"/>
        </w:rPr>
      </w:pPr>
      <w:r w:rsidRPr="004A7A67">
        <w:rPr>
          <w:rFonts w:ascii="宋体" w:eastAsia="宋体" w:hAnsi="宋体" w:cs="Times New Roman"/>
          <w:kern w:val="0"/>
          <w:sz w:val="24"/>
          <w:szCs w:val="24"/>
        </w:rPr>
        <w:t>3）、本项目不接受联合体。</w:t>
      </w:r>
    </w:p>
    <w:p w14:paraId="0CE72F82" w14:textId="77777777" w:rsidR="004A7A67" w:rsidRPr="004A7A67" w:rsidRDefault="004A7A67" w:rsidP="004A7A67">
      <w:pPr>
        <w:widowControl/>
        <w:spacing w:line="360" w:lineRule="auto"/>
        <w:ind w:firstLineChars="200" w:firstLine="480"/>
        <w:jc w:val="left"/>
        <w:textAlignment w:val="baseline"/>
        <w:rPr>
          <w:rFonts w:ascii="宋体" w:eastAsia="宋体" w:hAnsi="宋体" w:cs="Times New Roman" w:hint="eastAsia"/>
          <w:kern w:val="0"/>
          <w:sz w:val="24"/>
          <w:szCs w:val="24"/>
        </w:rPr>
      </w:pPr>
      <w:r w:rsidRPr="004A7A67">
        <w:rPr>
          <w:rFonts w:ascii="宋体" w:eastAsia="宋体" w:hAnsi="宋体" w:cs="Times New Roman" w:hint="eastAsia"/>
          <w:kern w:val="0"/>
          <w:sz w:val="24"/>
          <w:szCs w:val="24"/>
        </w:rPr>
        <w:t>4</w:t>
      </w:r>
      <w:r w:rsidRPr="004A7A67">
        <w:rPr>
          <w:rFonts w:ascii="宋体" w:eastAsia="宋体" w:hAnsi="宋体" w:cs="Times New Roman"/>
          <w:kern w:val="0"/>
          <w:sz w:val="24"/>
          <w:szCs w:val="24"/>
        </w:rPr>
        <w:t>）、</w:t>
      </w:r>
      <w:r w:rsidRPr="004A7A67">
        <w:rPr>
          <w:rFonts w:ascii="宋体" w:eastAsia="宋体" w:hAnsi="宋体" w:cs="Times New Roman" w:hint="eastAsia"/>
          <w:kern w:val="0"/>
          <w:sz w:val="24"/>
          <w:szCs w:val="24"/>
        </w:rPr>
        <w:t>单位负责人为同一人或者存在直接控股、管理关系的不同供应商，不得参加同一合同项下的政府采购活动。</w:t>
      </w:r>
    </w:p>
    <w:p w14:paraId="1C165449" w14:textId="77777777" w:rsidR="004A7A67" w:rsidRPr="004A7A67" w:rsidRDefault="004A7A67" w:rsidP="004A7A67">
      <w:pPr>
        <w:widowControl/>
        <w:spacing w:line="360" w:lineRule="auto"/>
        <w:ind w:firstLineChars="200" w:firstLine="480"/>
        <w:jc w:val="left"/>
        <w:textAlignment w:val="baseline"/>
        <w:rPr>
          <w:rFonts w:ascii="宋体" w:eastAsia="宋体" w:hAnsi="宋体" w:cs="Times New Roman" w:hint="eastAsia"/>
          <w:kern w:val="0"/>
          <w:sz w:val="24"/>
          <w:szCs w:val="24"/>
        </w:rPr>
      </w:pPr>
      <w:r w:rsidRPr="004A7A67">
        <w:rPr>
          <w:rFonts w:ascii="宋体" w:eastAsia="宋体" w:hAnsi="宋体" w:cs="Times New Roman" w:hint="eastAsia"/>
          <w:kern w:val="0"/>
          <w:sz w:val="24"/>
          <w:szCs w:val="24"/>
        </w:rPr>
        <w:t>5</w:t>
      </w:r>
      <w:r w:rsidRPr="004A7A67">
        <w:rPr>
          <w:rFonts w:ascii="宋体" w:eastAsia="宋体" w:hAnsi="宋体" w:cs="Times New Roman"/>
          <w:kern w:val="0"/>
          <w:sz w:val="24"/>
          <w:szCs w:val="24"/>
        </w:rPr>
        <w:t>）、</w:t>
      </w:r>
      <w:r w:rsidRPr="004A7A67">
        <w:rPr>
          <w:rFonts w:ascii="宋体" w:eastAsia="宋体" w:hAnsi="宋体" w:cs="Times New Roman" w:hint="eastAsia"/>
          <w:kern w:val="0"/>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FC1DAE7" w14:textId="77777777" w:rsidR="00446AA2" w:rsidRPr="00E846B4" w:rsidRDefault="00446AA2" w:rsidP="00446AA2">
      <w:pPr>
        <w:spacing w:line="360" w:lineRule="auto"/>
        <w:rPr>
          <w:rFonts w:ascii="宋体" w:eastAsia="宋体" w:hAnsi="宋体" w:cs="Times New Roman" w:hint="eastAsia"/>
          <w:kern w:val="0"/>
          <w:sz w:val="24"/>
          <w:szCs w:val="24"/>
        </w:rPr>
      </w:pPr>
      <w:r w:rsidRPr="00E846B4">
        <w:rPr>
          <w:rFonts w:ascii="宋体" w:eastAsia="宋体" w:hAnsi="宋体" w:cs="Times New Roman" w:hint="eastAsia"/>
          <w:kern w:val="0"/>
          <w:sz w:val="24"/>
          <w:szCs w:val="24"/>
        </w:rPr>
        <w:t>6）、具有有效的《网络安全等级测评与检测评估机构服务认证证书》。</w:t>
      </w:r>
    </w:p>
    <w:p w14:paraId="1FAC47FE" w14:textId="77777777" w:rsidR="0094303D" w:rsidRPr="002D6E4A" w:rsidRDefault="0094303D" w:rsidP="0094303D">
      <w:pPr>
        <w:adjustRightInd w:val="0"/>
        <w:snapToGrid w:val="0"/>
        <w:spacing w:line="360" w:lineRule="auto"/>
        <w:rPr>
          <w:rFonts w:ascii="宋体" w:eastAsia="宋体" w:hAnsi="宋体" w:hint="eastAsia"/>
          <w:b/>
          <w:sz w:val="24"/>
          <w:szCs w:val="24"/>
        </w:rPr>
      </w:pPr>
      <w:r w:rsidRPr="002D6E4A">
        <w:rPr>
          <w:rFonts w:ascii="宋体" w:eastAsia="宋体" w:hAnsi="宋体" w:hint="eastAsia"/>
          <w:b/>
          <w:sz w:val="24"/>
          <w:szCs w:val="24"/>
        </w:rPr>
        <w:lastRenderedPageBreak/>
        <w:t>（四）商务要求</w:t>
      </w:r>
    </w:p>
    <w:p w14:paraId="2F529C16" w14:textId="356D5E3C" w:rsidR="0094303D" w:rsidRDefault="0094303D" w:rsidP="0094303D">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sidRPr="002D6E4A">
        <w:rPr>
          <w:rFonts w:ascii="宋体" w:eastAsia="宋体" w:hAnsi="宋体" w:hint="eastAsia"/>
          <w:sz w:val="24"/>
          <w:szCs w:val="24"/>
        </w:rPr>
        <w:t>服务期限</w:t>
      </w:r>
      <w:r>
        <w:rPr>
          <w:rFonts w:ascii="宋体" w:eastAsia="宋体" w:hAnsi="宋体" w:hint="eastAsia"/>
          <w:sz w:val="24"/>
          <w:szCs w:val="24"/>
        </w:rPr>
        <w:t>：</w:t>
      </w:r>
      <w:r w:rsidR="00446AA2" w:rsidRPr="00446AA2">
        <w:rPr>
          <w:rFonts w:ascii="宋体" w:eastAsia="宋体" w:hAnsi="宋体" w:hint="eastAsia"/>
          <w:sz w:val="24"/>
          <w:szCs w:val="24"/>
        </w:rPr>
        <w:t>合同签订之日起半年内</w:t>
      </w:r>
    </w:p>
    <w:p w14:paraId="4DFFD921" w14:textId="2B8CA0A5" w:rsidR="0094303D" w:rsidRPr="001D1C86" w:rsidRDefault="0094303D" w:rsidP="0094303D">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r w:rsidR="00446AA2" w:rsidRPr="00446AA2">
        <w:rPr>
          <w:rFonts w:ascii="宋体" w:eastAsia="宋体" w:hAnsi="宋体" w:hint="eastAsia"/>
          <w:sz w:val="24"/>
          <w:szCs w:val="24"/>
        </w:rPr>
        <w:t>项目交付验收合格后开具正规发票后60天内，甲方一次性支付给乙方合同全款。</w:t>
      </w:r>
    </w:p>
    <w:p w14:paraId="6B39A219" w14:textId="77777777" w:rsidR="001D1C86" w:rsidRPr="0094303D" w:rsidRDefault="001D1C86" w:rsidP="001D1C86">
      <w:pPr>
        <w:adjustRightInd w:val="0"/>
        <w:snapToGrid w:val="0"/>
        <w:spacing w:line="360" w:lineRule="auto"/>
        <w:rPr>
          <w:rFonts w:ascii="宋体" w:eastAsia="宋体" w:hAnsi="宋体" w:hint="eastAsia"/>
          <w:sz w:val="24"/>
          <w:szCs w:val="24"/>
        </w:rPr>
      </w:pPr>
    </w:p>
    <w:sectPr w:rsidR="001D1C86" w:rsidRPr="00943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596F2" w14:textId="77777777" w:rsidR="002E581F" w:rsidRDefault="002E581F" w:rsidP="001D1C86">
      <w:pPr>
        <w:rPr>
          <w:rFonts w:hint="eastAsia"/>
        </w:rPr>
      </w:pPr>
      <w:r>
        <w:separator/>
      </w:r>
    </w:p>
  </w:endnote>
  <w:endnote w:type="continuationSeparator" w:id="0">
    <w:p w14:paraId="2BEFCC79" w14:textId="77777777" w:rsidR="002E581F" w:rsidRDefault="002E581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5F8C" w14:textId="77777777" w:rsidR="002E581F" w:rsidRDefault="002E581F" w:rsidP="001D1C86">
      <w:pPr>
        <w:rPr>
          <w:rFonts w:hint="eastAsia"/>
        </w:rPr>
      </w:pPr>
      <w:r>
        <w:separator/>
      </w:r>
    </w:p>
  </w:footnote>
  <w:footnote w:type="continuationSeparator" w:id="0">
    <w:p w14:paraId="1D8A9EF1" w14:textId="77777777" w:rsidR="002E581F" w:rsidRDefault="002E581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1343377">
    <w:abstractNumId w:val="0"/>
  </w:num>
  <w:num w:numId="2" w16cid:durableId="77483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D1C86"/>
    <w:rsid w:val="00220551"/>
    <w:rsid w:val="002E581F"/>
    <w:rsid w:val="00446AA2"/>
    <w:rsid w:val="004A7A67"/>
    <w:rsid w:val="00712FBB"/>
    <w:rsid w:val="00802568"/>
    <w:rsid w:val="0090336E"/>
    <w:rsid w:val="0094303D"/>
    <w:rsid w:val="009D50C6"/>
    <w:rsid w:val="00B43BBE"/>
    <w:rsid w:val="00B562B1"/>
    <w:rsid w:val="00D50362"/>
    <w:rsid w:val="00E347A7"/>
    <w:rsid w:val="00E8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9DA9A"/>
  <w15:docId w15:val="{78C13E76-2724-4C56-8498-B6E21FF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99"/>
    <w:qFormat/>
    <w:rsid w:val="004A7A67"/>
  </w:style>
  <w:style w:type="paragraph" w:styleId="a9">
    <w:name w:val="List Paragraph"/>
    <w:basedOn w:val="a"/>
    <w:link w:val="a8"/>
    <w:autoRedefine/>
    <w:uiPriority w:val="99"/>
    <w:qFormat/>
    <w:rsid w:val="004A7A67"/>
    <w:pPr>
      <w:widowControl/>
      <w:ind w:firstLineChars="200" w:firstLine="420"/>
      <w:textAlignment w:val="baseline"/>
    </w:pPr>
  </w:style>
  <w:style w:type="character" w:styleId="aa">
    <w:name w:val="annotation reference"/>
    <w:autoRedefine/>
    <w:uiPriority w:val="99"/>
    <w:qFormat/>
    <w:rsid w:val="00446AA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432</Words>
  <Characters>2463</Characters>
  <Application>Microsoft Office Word</Application>
  <DocSecurity>0</DocSecurity>
  <Lines>20</Lines>
  <Paragraphs>5</Paragraphs>
  <ScaleCrop>false</ScaleCrop>
  <Company>Organization</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10</cp:revision>
  <dcterms:created xsi:type="dcterms:W3CDTF">2024-03-28T03:06:00Z</dcterms:created>
  <dcterms:modified xsi:type="dcterms:W3CDTF">2024-10-14T08:30:00Z</dcterms:modified>
</cp:coreProperties>
</file>