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869F7" w14:textId="77777777" w:rsidR="001B3075" w:rsidRDefault="001B3075" w:rsidP="001B307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主要功能及工作原理：</w:t>
      </w:r>
    </w:p>
    <w:p w14:paraId="59D5E0DA" w14:textId="77777777" w:rsidR="001B3075" w:rsidRDefault="001B3075" w:rsidP="001B3075">
      <w:pPr>
        <w:spacing w:line="360" w:lineRule="auto"/>
        <w:ind w:firstLineChars="200" w:firstLine="480"/>
        <w:rPr>
          <w:sz w:val="24"/>
        </w:rPr>
      </w:pPr>
      <w:r w:rsidRPr="00B95D01">
        <w:rPr>
          <w:rFonts w:hint="eastAsia"/>
          <w:sz w:val="24"/>
        </w:rPr>
        <w:t>脑部与区域血氧检测仪使用的为整合近红外光源，可测量到大脑深层组织及身体组织微循环。经过特殊计算，算出特定区域的局部血氧饱和度（</w:t>
      </w:r>
      <w:r w:rsidRPr="00B95D01">
        <w:rPr>
          <w:rFonts w:hint="eastAsia"/>
          <w:sz w:val="24"/>
        </w:rPr>
        <w:t>rSO2</w:t>
      </w:r>
      <w:r w:rsidRPr="00B95D01">
        <w:rPr>
          <w:rFonts w:hint="eastAsia"/>
          <w:sz w:val="24"/>
        </w:rPr>
        <w:t>）数值。该检测仪可无创、实时提供血液局部氧饱和</w:t>
      </w:r>
      <w:proofErr w:type="gramStart"/>
      <w:r w:rsidRPr="00B95D01">
        <w:rPr>
          <w:rFonts w:hint="eastAsia"/>
          <w:sz w:val="24"/>
        </w:rPr>
        <w:t>度改变</w:t>
      </w:r>
      <w:proofErr w:type="gramEnd"/>
      <w:r w:rsidRPr="00B95D01">
        <w:rPr>
          <w:rFonts w:hint="eastAsia"/>
          <w:sz w:val="24"/>
        </w:rPr>
        <w:t>的持续信息，提供区域氧输送和氧</w:t>
      </w:r>
      <w:proofErr w:type="gramStart"/>
      <w:r w:rsidRPr="00B95D01">
        <w:rPr>
          <w:rFonts w:hint="eastAsia"/>
          <w:sz w:val="24"/>
        </w:rPr>
        <w:t>耗平衡</w:t>
      </w:r>
      <w:proofErr w:type="gramEnd"/>
      <w:r w:rsidRPr="00B95D01">
        <w:rPr>
          <w:rFonts w:hint="eastAsia"/>
          <w:sz w:val="24"/>
        </w:rPr>
        <w:t>改变的即时显示信息。在围术期、重症监护室都有广泛使用。</w:t>
      </w:r>
    </w:p>
    <w:p w14:paraId="7D1FE6E7" w14:textId="77777777" w:rsidR="001B3075" w:rsidRDefault="001B3075" w:rsidP="001B307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应用场景：</w:t>
      </w:r>
    </w:p>
    <w:p w14:paraId="4BEA38B5" w14:textId="77777777" w:rsidR="001B3075" w:rsidRDefault="001B3075" w:rsidP="001B3075">
      <w:pPr>
        <w:spacing w:line="360" w:lineRule="auto"/>
        <w:ind w:firstLineChars="200" w:firstLine="480"/>
        <w:rPr>
          <w:sz w:val="24"/>
        </w:rPr>
      </w:pPr>
      <w:proofErr w:type="gramStart"/>
      <w:r w:rsidRPr="00B95D01">
        <w:rPr>
          <w:rFonts w:hint="eastAsia"/>
          <w:sz w:val="24"/>
        </w:rPr>
        <w:t>围术期监测</w:t>
      </w:r>
      <w:proofErr w:type="gramEnd"/>
      <w:r w:rsidRPr="00B95D01">
        <w:rPr>
          <w:rFonts w:hint="eastAsia"/>
          <w:sz w:val="24"/>
        </w:rPr>
        <w:t>（心脏外科手术、血管外科手术、移植手术、老年患者手术等）、重症监护室（</w:t>
      </w:r>
      <w:r w:rsidRPr="00B95D01">
        <w:rPr>
          <w:rFonts w:hint="eastAsia"/>
          <w:sz w:val="24"/>
        </w:rPr>
        <w:t>ECMO</w:t>
      </w:r>
      <w:r w:rsidRPr="00B95D01">
        <w:rPr>
          <w:rFonts w:hint="eastAsia"/>
          <w:sz w:val="24"/>
        </w:rPr>
        <w:t>患者、重症颅脑创伤等）、新生儿</w:t>
      </w:r>
      <w:r w:rsidRPr="00B95D01">
        <w:rPr>
          <w:rFonts w:hint="eastAsia"/>
          <w:sz w:val="24"/>
        </w:rPr>
        <w:t>/</w:t>
      </w:r>
      <w:r w:rsidRPr="00B95D01">
        <w:rPr>
          <w:rFonts w:hint="eastAsia"/>
          <w:sz w:val="24"/>
        </w:rPr>
        <w:t>儿童重症监护室等</w:t>
      </w:r>
    </w:p>
    <w:p w14:paraId="738E5D47" w14:textId="77777777" w:rsidR="001B3075" w:rsidRDefault="001B3075" w:rsidP="001B307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配置清单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344"/>
        <w:gridCol w:w="2932"/>
        <w:gridCol w:w="4020"/>
      </w:tblGrid>
      <w:tr w:rsidR="001B3075" w14:paraId="5FE92522" w14:textId="77777777" w:rsidTr="007A214C">
        <w:trPr>
          <w:jc w:val="center"/>
        </w:trPr>
        <w:tc>
          <w:tcPr>
            <w:tcW w:w="810" w:type="pct"/>
          </w:tcPr>
          <w:p w14:paraId="379D71B7" w14:textId="77777777" w:rsidR="001B3075" w:rsidRDefault="001B3075" w:rsidP="007A214C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67" w:type="pct"/>
          </w:tcPr>
          <w:p w14:paraId="2E205C50" w14:textId="77777777" w:rsidR="001B3075" w:rsidRDefault="001B3075" w:rsidP="007A214C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423" w:type="pct"/>
          </w:tcPr>
          <w:p w14:paraId="2A8232F2" w14:textId="77777777" w:rsidR="001B3075" w:rsidRDefault="001B3075" w:rsidP="007A214C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数量(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)</w:t>
            </w:r>
          </w:p>
        </w:tc>
      </w:tr>
      <w:tr w:rsidR="001B3075" w14:paraId="4401DDCA" w14:textId="77777777" w:rsidTr="007A214C">
        <w:trPr>
          <w:jc w:val="center"/>
        </w:trPr>
        <w:tc>
          <w:tcPr>
            <w:tcW w:w="810" w:type="pct"/>
            <w:vAlign w:val="center"/>
          </w:tcPr>
          <w:p w14:paraId="0E428489" w14:textId="77777777" w:rsidR="001B3075" w:rsidRDefault="001B3075" w:rsidP="007A2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7" w:type="pct"/>
            <w:vAlign w:val="center"/>
          </w:tcPr>
          <w:p w14:paraId="28E346ED" w14:textId="77777777" w:rsidR="001B3075" w:rsidRDefault="001B3075" w:rsidP="007A214C">
            <w:pPr>
              <w:jc w:val="center"/>
              <w:rPr>
                <w:sz w:val="24"/>
              </w:rPr>
            </w:pPr>
            <w:r w:rsidRPr="00B95D01">
              <w:rPr>
                <w:rFonts w:hint="eastAsia"/>
                <w:sz w:val="24"/>
              </w:rPr>
              <w:t>机器主机</w:t>
            </w:r>
          </w:p>
        </w:tc>
        <w:tc>
          <w:tcPr>
            <w:tcW w:w="2423" w:type="pct"/>
            <w:vAlign w:val="center"/>
          </w:tcPr>
          <w:p w14:paraId="3224ACB1" w14:textId="77777777" w:rsidR="001B3075" w:rsidRDefault="001B3075" w:rsidP="007A214C">
            <w:pPr>
              <w:jc w:val="center"/>
              <w:rPr>
                <w:sz w:val="24"/>
              </w:rPr>
            </w:pPr>
            <w:r w:rsidRPr="00B95D01">
              <w:rPr>
                <w:rFonts w:hint="eastAsia"/>
                <w:sz w:val="24"/>
              </w:rPr>
              <w:t>1</w:t>
            </w:r>
          </w:p>
        </w:tc>
      </w:tr>
      <w:tr w:rsidR="001B3075" w14:paraId="6DBE0634" w14:textId="77777777" w:rsidTr="007A214C">
        <w:trPr>
          <w:jc w:val="center"/>
        </w:trPr>
        <w:tc>
          <w:tcPr>
            <w:tcW w:w="810" w:type="pct"/>
            <w:vAlign w:val="center"/>
          </w:tcPr>
          <w:p w14:paraId="16A65FE8" w14:textId="77777777" w:rsidR="001B3075" w:rsidRDefault="001B3075" w:rsidP="007A2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67" w:type="pct"/>
            <w:vAlign w:val="center"/>
          </w:tcPr>
          <w:p w14:paraId="07BA12BD" w14:textId="77777777" w:rsidR="001B3075" w:rsidRDefault="001B3075" w:rsidP="007A214C">
            <w:pPr>
              <w:jc w:val="center"/>
              <w:rPr>
                <w:sz w:val="24"/>
              </w:rPr>
            </w:pPr>
            <w:r w:rsidRPr="00B95D01">
              <w:rPr>
                <w:rFonts w:hint="eastAsia"/>
                <w:sz w:val="24"/>
              </w:rPr>
              <w:t>电源缆线</w:t>
            </w:r>
          </w:p>
        </w:tc>
        <w:tc>
          <w:tcPr>
            <w:tcW w:w="2423" w:type="pct"/>
            <w:vAlign w:val="center"/>
          </w:tcPr>
          <w:p w14:paraId="086D8CC5" w14:textId="77777777" w:rsidR="001B3075" w:rsidRDefault="001B3075" w:rsidP="007A214C">
            <w:pPr>
              <w:jc w:val="center"/>
              <w:rPr>
                <w:sz w:val="24"/>
              </w:rPr>
            </w:pPr>
            <w:r w:rsidRPr="00B95D01">
              <w:rPr>
                <w:rFonts w:hint="eastAsia"/>
                <w:sz w:val="24"/>
              </w:rPr>
              <w:t>1</w:t>
            </w:r>
          </w:p>
        </w:tc>
      </w:tr>
      <w:tr w:rsidR="001B3075" w14:paraId="417456C4" w14:textId="77777777" w:rsidTr="007A214C">
        <w:trPr>
          <w:jc w:val="center"/>
        </w:trPr>
        <w:tc>
          <w:tcPr>
            <w:tcW w:w="810" w:type="pct"/>
            <w:vAlign w:val="center"/>
          </w:tcPr>
          <w:p w14:paraId="2E00F247" w14:textId="77777777" w:rsidR="001B3075" w:rsidRDefault="001B3075" w:rsidP="007A2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67" w:type="pct"/>
            <w:vAlign w:val="center"/>
          </w:tcPr>
          <w:p w14:paraId="755B4B28" w14:textId="77777777" w:rsidR="001B3075" w:rsidRDefault="001B3075" w:rsidP="007A214C">
            <w:pPr>
              <w:jc w:val="center"/>
              <w:rPr>
                <w:sz w:val="24"/>
              </w:rPr>
            </w:pPr>
            <w:r w:rsidRPr="00B95D01">
              <w:rPr>
                <w:rFonts w:hint="eastAsia"/>
                <w:sz w:val="24"/>
              </w:rPr>
              <w:t>可重复使用电缆</w:t>
            </w:r>
          </w:p>
        </w:tc>
        <w:tc>
          <w:tcPr>
            <w:tcW w:w="2423" w:type="pct"/>
            <w:vAlign w:val="center"/>
          </w:tcPr>
          <w:p w14:paraId="4A5F34AB" w14:textId="77777777" w:rsidR="001B3075" w:rsidRDefault="001B3075" w:rsidP="007A214C">
            <w:pPr>
              <w:jc w:val="center"/>
              <w:rPr>
                <w:sz w:val="24"/>
              </w:rPr>
            </w:pPr>
            <w:r w:rsidRPr="00B95D01">
              <w:rPr>
                <w:rFonts w:hint="eastAsia"/>
                <w:sz w:val="24"/>
              </w:rPr>
              <w:t>2</w:t>
            </w:r>
          </w:p>
        </w:tc>
      </w:tr>
    </w:tbl>
    <w:p w14:paraId="27318475" w14:textId="77777777" w:rsidR="001B3075" w:rsidRDefault="001B3075" w:rsidP="001B307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重要及一般技术参数：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8"/>
        <w:gridCol w:w="7048"/>
      </w:tblGrid>
      <w:tr w:rsidR="001B3075" w14:paraId="2F923B1D" w14:textId="77777777" w:rsidTr="007A214C">
        <w:tc>
          <w:tcPr>
            <w:tcW w:w="1271" w:type="dxa"/>
          </w:tcPr>
          <w:p w14:paraId="31B33B85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58" w:type="dxa"/>
          </w:tcPr>
          <w:p w14:paraId="43FF2DF0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需求描述</w:t>
            </w:r>
          </w:p>
        </w:tc>
      </w:tr>
      <w:tr w:rsidR="001B3075" w14:paraId="5C99F3F7" w14:textId="77777777" w:rsidTr="007A214C">
        <w:tc>
          <w:tcPr>
            <w:tcW w:w="1271" w:type="dxa"/>
          </w:tcPr>
          <w:p w14:paraId="17F282BB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58" w:type="dxa"/>
          </w:tcPr>
          <w:p w14:paraId="4D8E0671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重要参数</w:t>
            </w:r>
          </w:p>
        </w:tc>
      </w:tr>
      <w:tr w:rsidR="001B3075" w14:paraId="1B5CF626" w14:textId="77777777" w:rsidTr="007A214C">
        <w:tc>
          <w:tcPr>
            <w:tcW w:w="1271" w:type="dxa"/>
          </w:tcPr>
          <w:p w14:paraId="19313F8C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C6CCD">
              <w:rPr>
                <w:rFonts w:hint="eastAsia"/>
                <w:sz w:val="24"/>
              </w:rPr>
              <w:t>▲</w:t>
            </w:r>
            <w:r>
              <w:rPr>
                <w:rFonts w:hint="eastAsia"/>
              </w:rPr>
              <w:t>1.1</w:t>
            </w:r>
          </w:p>
        </w:tc>
        <w:tc>
          <w:tcPr>
            <w:tcW w:w="7258" w:type="dxa"/>
          </w:tcPr>
          <w:p w14:paraId="115F9828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准确度：对于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静脉球氧饱和度平均值相关系数≥</w:t>
            </w:r>
            <w:r>
              <w:rPr>
                <w:rFonts w:ascii="宋体" w:hAnsi="宋体" w:cs="宋体"/>
                <w:szCs w:val="21"/>
              </w:rPr>
              <w:t>90％</w:t>
            </w:r>
          </w:p>
        </w:tc>
      </w:tr>
      <w:tr w:rsidR="001B3075" w14:paraId="03C01E7E" w14:textId="77777777" w:rsidTr="007A214C">
        <w:tc>
          <w:tcPr>
            <w:tcW w:w="1271" w:type="dxa"/>
          </w:tcPr>
          <w:p w14:paraId="585BCB72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C6CCD">
              <w:rPr>
                <w:rFonts w:hint="eastAsia"/>
                <w:sz w:val="24"/>
              </w:rPr>
              <w:t>▲</w:t>
            </w:r>
            <w:r>
              <w:rPr>
                <w:rFonts w:hint="eastAsia"/>
              </w:rPr>
              <w:t>1.2</w:t>
            </w:r>
          </w:p>
        </w:tc>
        <w:tc>
          <w:tcPr>
            <w:tcW w:w="7258" w:type="dxa"/>
          </w:tcPr>
          <w:p w14:paraId="5498C4BB" w14:textId="77777777" w:rsidR="001B3075" w:rsidRDefault="001B3075" w:rsidP="007A214C">
            <w:pPr>
              <w:pStyle w:val="p15"/>
              <w:ind w:firstLine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宋体" w:hAnsi="宋体" w:cs="宋体" w:hint="eastAsia"/>
                <w:szCs w:val="21"/>
              </w:rPr>
              <w:t>精度：±</w:t>
            </w:r>
            <w:r>
              <w:rPr>
                <w:rFonts w:ascii="宋体" w:hAnsi="宋体" w:cs="宋体"/>
                <w:szCs w:val="21"/>
              </w:rPr>
              <w:t>1%或更优</w:t>
            </w:r>
          </w:p>
        </w:tc>
      </w:tr>
      <w:tr w:rsidR="001B3075" w:rsidRPr="00B368CE" w14:paraId="64331B76" w14:textId="77777777" w:rsidTr="007A214C">
        <w:tc>
          <w:tcPr>
            <w:tcW w:w="1271" w:type="dxa"/>
          </w:tcPr>
          <w:p w14:paraId="7C5E721B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C6CCD">
              <w:rPr>
                <w:rFonts w:hint="eastAsia"/>
                <w:sz w:val="24"/>
              </w:rPr>
              <w:t>▲</w:t>
            </w:r>
            <w:r>
              <w:rPr>
                <w:rFonts w:hint="eastAsia"/>
              </w:rPr>
              <w:t>1.3</w:t>
            </w:r>
          </w:p>
        </w:tc>
        <w:tc>
          <w:tcPr>
            <w:tcW w:w="7258" w:type="dxa"/>
          </w:tcPr>
          <w:p w14:paraId="4E4C67B3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AUC（曲线下阈值计算）：基线被设置后在检测中会自动实时进行计算，计算值以（％＊min）的形式显示在屏幕上</w:t>
            </w:r>
          </w:p>
        </w:tc>
      </w:tr>
      <w:tr w:rsidR="001B3075" w14:paraId="681B2CAB" w14:textId="77777777" w:rsidTr="007A214C">
        <w:trPr>
          <w:trHeight w:val="309"/>
        </w:trPr>
        <w:tc>
          <w:tcPr>
            <w:tcW w:w="1271" w:type="dxa"/>
          </w:tcPr>
          <w:p w14:paraId="17B16B1E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C6CCD">
              <w:rPr>
                <w:rFonts w:hint="eastAsia"/>
                <w:sz w:val="24"/>
              </w:rPr>
              <w:t>▲</w:t>
            </w:r>
            <w:r>
              <w:rPr>
                <w:rFonts w:hint="eastAsia"/>
              </w:rPr>
              <w:t>1.4</w:t>
            </w:r>
          </w:p>
        </w:tc>
        <w:tc>
          <w:tcPr>
            <w:tcW w:w="7258" w:type="dxa"/>
          </w:tcPr>
          <w:p w14:paraId="0C670AEF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趋势线平均值：显示过去</w:t>
            </w:r>
            <w:r>
              <w:rPr>
                <w:rFonts w:ascii="宋体" w:hAnsi="宋体" w:cs="宋体"/>
                <w:szCs w:val="21"/>
              </w:rPr>
              <w:t>60分钟内氧饱和度变化的移动平均值，即过去一个小时内每个监测通道上所记录到</w:t>
            </w:r>
            <w:proofErr w:type="gramStart"/>
            <w:r>
              <w:rPr>
                <w:rFonts w:ascii="宋体" w:hAnsi="宋体" w:cs="宋体"/>
                <w:szCs w:val="21"/>
              </w:rPr>
              <w:t>的非零值</w:t>
            </w:r>
            <w:proofErr w:type="gramEnd"/>
            <w:r>
              <w:rPr>
                <w:rFonts w:ascii="宋体" w:hAnsi="宋体" w:cs="宋体"/>
                <w:szCs w:val="21"/>
              </w:rPr>
              <w:t>的平均</w:t>
            </w:r>
          </w:p>
        </w:tc>
      </w:tr>
      <w:tr w:rsidR="001B3075" w14:paraId="5A6EC47D" w14:textId="77777777" w:rsidTr="007A214C">
        <w:tc>
          <w:tcPr>
            <w:tcW w:w="1271" w:type="dxa"/>
          </w:tcPr>
          <w:p w14:paraId="758D7EA6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C6CCD">
              <w:rPr>
                <w:rFonts w:hint="eastAsia"/>
                <w:sz w:val="24"/>
              </w:rPr>
              <w:t>▲</w:t>
            </w:r>
            <w:r>
              <w:rPr>
                <w:rFonts w:hint="eastAsia"/>
              </w:rPr>
              <w:t>1.5</w:t>
            </w:r>
          </w:p>
        </w:tc>
        <w:tc>
          <w:tcPr>
            <w:tcW w:w="7258" w:type="dxa"/>
          </w:tcPr>
          <w:p w14:paraId="5040A109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数据分析：具备原厂数据分析软件，便于进行数据管理和临床研究</w:t>
            </w:r>
          </w:p>
        </w:tc>
      </w:tr>
      <w:tr w:rsidR="001B3075" w14:paraId="0C15C34E" w14:textId="77777777" w:rsidTr="007A214C">
        <w:tc>
          <w:tcPr>
            <w:tcW w:w="1271" w:type="dxa"/>
          </w:tcPr>
          <w:p w14:paraId="6674D0AA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58" w:type="dxa"/>
          </w:tcPr>
          <w:p w14:paraId="2A76011F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一般参数</w:t>
            </w:r>
          </w:p>
        </w:tc>
      </w:tr>
      <w:tr w:rsidR="001B3075" w14:paraId="045124FF" w14:textId="77777777" w:rsidTr="007A214C">
        <w:tc>
          <w:tcPr>
            <w:tcW w:w="1271" w:type="dxa"/>
          </w:tcPr>
          <w:p w14:paraId="39F22DED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C6CCD">
              <w:rPr>
                <w:rFonts w:hint="eastAsia"/>
                <w:sz w:val="24"/>
              </w:rPr>
              <w:t>★</w:t>
            </w:r>
            <w:r>
              <w:rPr>
                <w:rFonts w:hint="eastAsia"/>
              </w:rPr>
              <w:t>2.1</w:t>
            </w:r>
          </w:p>
        </w:tc>
        <w:tc>
          <w:tcPr>
            <w:tcW w:w="7258" w:type="dxa"/>
          </w:tcPr>
          <w:p w14:paraId="1AD8A57B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主机屏幕≥</w:t>
            </w:r>
            <w:r>
              <w:rPr>
                <w:rFonts w:ascii="宋体" w:hAnsi="宋体" w:cs="宋体"/>
                <w:szCs w:val="21"/>
              </w:rPr>
              <w:t>10寸</w:t>
            </w:r>
          </w:p>
        </w:tc>
      </w:tr>
      <w:tr w:rsidR="001B3075" w14:paraId="0A7833AA" w14:textId="77777777" w:rsidTr="007A214C">
        <w:tc>
          <w:tcPr>
            <w:tcW w:w="1271" w:type="dxa"/>
          </w:tcPr>
          <w:p w14:paraId="3804FECA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★</w:t>
            </w:r>
            <w:r>
              <w:rPr>
                <w:rFonts w:hint="eastAsia"/>
              </w:rPr>
              <w:t>2.2</w:t>
            </w:r>
          </w:p>
        </w:tc>
        <w:tc>
          <w:tcPr>
            <w:tcW w:w="7258" w:type="dxa"/>
          </w:tcPr>
          <w:p w14:paraId="32AF4F0B" w14:textId="77777777" w:rsidR="001B3075" w:rsidRDefault="001B3075" w:rsidP="007A214C">
            <w:pPr>
              <w:pStyle w:val="p15"/>
              <w:ind w:firstLine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宋体" w:hAnsi="宋体" w:cs="宋体" w:hint="eastAsia"/>
                <w:szCs w:val="21"/>
              </w:rPr>
              <w:t>区域氧饱和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度显示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范围至少满足：</w:t>
            </w:r>
            <w:r>
              <w:rPr>
                <w:rFonts w:ascii="宋体" w:hAnsi="宋体" w:cs="宋体"/>
                <w:szCs w:val="21"/>
              </w:rPr>
              <w:t>15-95%</w:t>
            </w:r>
          </w:p>
        </w:tc>
      </w:tr>
      <w:tr w:rsidR="001B3075" w14:paraId="04E6DC04" w14:textId="77777777" w:rsidTr="007A214C">
        <w:tc>
          <w:tcPr>
            <w:tcW w:w="1271" w:type="dxa"/>
          </w:tcPr>
          <w:p w14:paraId="4062ABFE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C6CCD">
              <w:rPr>
                <w:rFonts w:hint="eastAsia"/>
                <w:sz w:val="24"/>
              </w:rPr>
              <w:t>★</w:t>
            </w:r>
            <w:r>
              <w:rPr>
                <w:rFonts w:hint="eastAsia"/>
              </w:rPr>
              <w:t>2.3</w:t>
            </w:r>
          </w:p>
        </w:tc>
        <w:tc>
          <w:tcPr>
            <w:tcW w:w="7258" w:type="dxa"/>
          </w:tcPr>
          <w:p w14:paraId="246D01B2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监测部位至少满足：脑部</w:t>
            </w:r>
            <w:r>
              <w:rPr>
                <w:rFonts w:ascii="宋体" w:hAnsi="宋体" w:cs="宋体"/>
                <w:szCs w:val="21"/>
              </w:rPr>
              <w:t>rSO2、躯体特定位置（肾部、肠、或特定位置）,通过专用传感器进行检测，能满足不同手术的需要。需至少适用于体重≥2.5kg 的</w:t>
            </w:r>
            <w:r>
              <w:rPr>
                <w:rFonts w:ascii="宋体" w:hAnsi="宋体" w:cs="宋体"/>
                <w:szCs w:val="21"/>
              </w:rPr>
              <w:lastRenderedPageBreak/>
              <w:t>新生儿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儿童</w:t>
            </w:r>
            <w:r>
              <w:rPr>
                <w:rFonts w:ascii="宋体" w:hAnsi="宋体" w:cs="宋体" w:hint="eastAsia"/>
                <w:szCs w:val="21"/>
              </w:rPr>
              <w:t>以及</w:t>
            </w:r>
            <w:r>
              <w:rPr>
                <w:rFonts w:ascii="宋体" w:hAnsi="宋体" w:cs="宋体"/>
                <w:szCs w:val="21"/>
              </w:rPr>
              <w:t>成</w:t>
            </w: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</w:tr>
      <w:tr w:rsidR="001B3075" w14:paraId="15F020D9" w14:textId="77777777" w:rsidTr="007A214C">
        <w:tc>
          <w:tcPr>
            <w:tcW w:w="1271" w:type="dxa"/>
          </w:tcPr>
          <w:p w14:paraId="27932A78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2.4</w:t>
            </w:r>
          </w:p>
        </w:tc>
        <w:tc>
          <w:tcPr>
            <w:tcW w:w="7258" w:type="dxa"/>
          </w:tcPr>
          <w:p w14:paraId="53D10D17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可至少自定义设置：患者</w:t>
            </w:r>
            <w:r>
              <w:rPr>
                <w:rFonts w:ascii="宋体" w:hAnsi="宋体" w:cs="宋体"/>
                <w:szCs w:val="21"/>
              </w:rPr>
              <w:t>ID、姓名、年龄、体重、测量部位</w:t>
            </w:r>
          </w:p>
        </w:tc>
      </w:tr>
      <w:tr w:rsidR="001B3075" w14:paraId="29220066" w14:textId="77777777" w:rsidTr="007A214C">
        <w:tc>
          <w:tcPr>
            <w:tcW w:w="1271" w:type="dxa"/>
          </w:tcPr>
          <w:p w14:paraId="3828D11E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7258" w:type="dxa"/>
          </w:tcPr>
          <w:p w14:paraId="10EB2CCA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数据设置至少满足：时间、语言、报警音量与限值、数据通道名称、扫描时间、数据储存与读取、信号通道设置</w:t>
            </w:r>
          </w:p>
        </w:tc>
      </w:tr>
      <w:tr w:rsidR="001B3075" w14:paraId="485F231F" w14:textId="77777777" w:rsidTr="007A214C">
        <w:tc>
          <w:tcPr>
            <w:tcW w:w="1271" w:type="dxa"/>
          </w:tcPr>
          <w:p w14:paraId="187619AE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C6CCD">
              <w:rPr>
                <w:rFonts w:hint="eastAsia"/>
                <w:sz w:val="24"/>
              </w:rPr>
              <w:t>★</w:t>
            </w:r>
            <w:r>
              <w:rPr>
                <w:rFonts w:hint="eastAsia"/>
              </w:rPr>
              <w:t>2.6</w:t>
            </w:r>
          </w:p>
        </w:tc>
        <w:tc>
          <w:tcPr>
            <w:tcW w:w="7258" w:type="dxa"/>
          </w:tcPr>
          <w:p w14:paraId="05C3ECC6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显示参数至少满足：</w:t>
            </w:r>
            <w:r>
              <w:rPr>
                <w:rFonts w:ascii="宋体" w:hAnsi="宋体" w:cs="宋体"/>
                <w:szCs w:val="21"/>
              </w:rPr>
              <w:t>rSO2</w:t>
            </w:r>
            <w:r>
              <w:rPr>
                <w:rFonts w:ascii="宋体" w:hAnsi="宋体" w:cs="宋体" w:hint="eastAsia"/>
                <w:szCs w:val="21"/>
              </w:rPr>
              <w:t>（区域氧饱和度）</w:t>
            </w:r>
            <w:r>
              <w:rPr>
                <w:rFonts w:ascii="宋体" w:hAnsi="宋体" w:cs="宋体"/>
                <w:szCs w:val="21"/>
              </w:rPr>
              <w:t xml:space="preserve"> 、基线值、AUC（曲线下阈值计算）、SSI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信号强度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指示、时间标志线和数字代码等</w:t>
            </w:r>
          </w:p>
        </w:tc>
      </w:tr>
      <w:tr w:rsidR="001B3075" w14:paraId="57DE4984" w14:textId="77777777" w:rsidTr="007A214C">
        <w:tc>
          <w:tcPr>
            <w:tcW w:w="1271" w:type="dxa"/>
          </w:tcPr>
          <w:p w14:paraId="04D34923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2.7</w:t>
            </w:r>
          </w:p>
        </w:tc>
        <w:tc>
          <w:tcPr>
            <w:tcW w:w="7258" w:type="dxa"/>
          </w:tcPr>
          <w:p w14:paraId="38A97445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通道数：可实时监测至少两通道局部氧饱和度信号</w:t>
            </w:r>
            <w:r>
              <w:rPr>
                <w:rFonts w:ascii="宋体" w:hAnsi="宋体" w:cs="宋体"/>
                <w:szCs w:val="21"/>
              </w:rPr>
              <w:t>，可同屏显示不少于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个部位的rSO2读数以及趋势变化</w:t>
            </w:r>
          </w:p>
        </w:tc>
      </w:tr>
      <w:tr w:rsidR="001B3075" w14:paraId="25C28550" w14:textId="77777777" w:rsidTr="007A214C">
        <w:tc>
          <w:tcPr>
            <w:tcW w:w="1271" w:type="dxa"/>
          </w:tcPr>
          <w:p w14:paraId="05B72D9D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C6CCD">
              <w:rPr>
                <w:rFonts w:hint="eastAsia"/>
                <w:sz w:val="24"/>
              </w:rPr>
              <w:t>★</w:t>
            </w:r>
            <w:r>
              <w:rPr>
                <w:rFonts w:hint="eastAsia"/>
              </w:rPr>
              <w:t>2.8</w:t>
            </w:r>
          </w:p>
        </w:tc>
        <w:tc>
          <w:tcPr>
            <w:tcW w:w="7258" w:type="dxa"/>
          </w:tcPr>
          <w:p w14:paraId="5F5D9FA6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警报范围：范围至少满足</w:t>
            </w:r>
            <w:r>
              <w:rPr>
                <w:rFonts w:ascii="宋体" w:hAnsi="宋体" w:cs="宋体"/>
                <w:szCs w:val="21"/>
              </w:rPr>
              <w:t>20％-90%之间</w:t>
            </w:r>
          </w:p>
        </w:tc>
      </w:tr>
      <w:tr w:rsidR="001B3075" w14:paraId="4DBBBB6C" w14:textId="77777777" w:rsidTr="007A214C">
        <w:tc>
          <w:tcPr>
            <w:tcW w:w="1271" w:type="dxa"/>
          </w:tcPr>
          <w:p w14:paraId="32811805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2.9</w:t>
            </w:r>
          </w:p>
        </w:tc>
        <w:tc>
          <w:tcPr>
            <w:tcW w:w="7258" w:type="dxa"/>
          </w:tcPr>
          <w:p w14:paraId="1D833602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刷新频率≤5秒/次</w:t>
            </w:r>
          </w:p>
        </w:tc>
      </w:tr>
      <w:tr w:rsidR="001B3075" w14:paraId="498E21B2" w14:textId="77777777" w:rsidTr="007A214C">
        <w:tc>
          <w:tcPr>
            <w:tcW w:w="1271" w:type="dxa"/>
          </w:tcPr>
          <w:p w14:paraId="36121020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2.10</w:t>
            </w:r>
          </w:p>
        </w:tc>
        <w:tc>
          <w:tcPr>
            <w:tcW w:w="7258" w:type="dxa"/>
          </w:tcPr>
          <w:p w14:paraId="6E01790F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扫描时间（时间轴显示）：至少满足</w:t>
            </w:r>
            <w:r>
              <w:rPr>
                <w:rFonts w:ascii="宋体" w:hAnsi="宋体" w:cs="宋体"/>
                <w:szCs w:val="21"/>
              </w:rPr>
              <w:t>1，2，4，8，12，24小时可选</w:t>
            </w:r>
          </w:p>
        </w:tc>
      </w:tr>
      <w:tr w:rsidR="001B3075" w14:paraId="32DD4B7F" w14:textId="77777777" w:rsidTr="007A214C">
        <w:tc>
          <w:tcPr>
            <w:tcW w:w="1271" w:type="dxa"/>
          </w:tcPr>
          <w:p w14:paraId="6CAF7D35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2.11</w:t>
            </w:r>
          </w:p>
        </w:tc>
        <w:tc>
          <w:tcPr>
            <w:tcW w:w="7258" w:type="dxa"/>
          </w:tcPr>
          <w:p w14:paraId="23634867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诱导前基准线设定：可在任意时间对患者在屏幕上标记一个基准线值，通常设置在诱导开始前</w:t>
            </w:r>
          </w:p>
        </w:tc>
      </w:tr>
      <w:tr w:rsidR="001B3075" w14:paraId="48241BC5" w14:textId="77777777" w:rsidTr="007A214C">
        <w:tc>
          <w:tcPr>
            <w:tcW w:w="1271" w:type="dxa"/>
          </w:tcPr>
          <w:p w14:paraId="6EA603D3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2.12</w:t>
            </w:r>
          </w:p>
        </w:tc>
        <w:tc>
          <w:tcPr>
            <w:tcW w:w="7258" w:type="dxa"/>
          </w:tcPr>
          <w:p w14:paraId="71EDBACC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事件标记：任意时间都可进行标记，事件按照应用场景至少分为手术室</w:t>
            </w:r>
            <w:r>
              <w:rPr>
                <w:rFonts w:ascii="宋体" w:hAnsi="宋体" w:cs="宋体"/>
                <w:szCs w:val="21"/>
              </w:rPr>
              <w:t>, ICU, 血管，NICU（新生儿重症监护病房）4个类别，每个类别至少有40种可选项。标记的事件代码将出现在趋势表格屏幕中的标志事件列，数字输出或USB输出的数据中。</w:t>
            </w:r>
          </w:p>
        </w:tc>
      </w:tr>
      <w:tr w:rsidR="001B3075" w14:paraId="1F7B23F1" w14:textId="77777777" w:rsidTr="007A214C">
        <w:tc>
          <w:tcPr>
            <w:tcW w:w="1271" w:type="dxa"/>
          </w:tcPr>
          <w:p w14:paraId="2C4A318E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2.13</w:t>
            </w:r>
          </w:p>
        </w:tc>
        <w:tc>
          <w:tcPr>
            <w:tcW w:w="7258" w:type="dxa"/>
          </w:tcPr>
          <w:p w14:paraId="355BD806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数据存储和输出：可以通过</w:t>
            </w:r>
            <w:r>
              <w:rPr>
                <w:rFonts w:ascii="宋体" w:hAnsi="宋体" w:cs="宋体"/>
                <w:szCs w:val="21"/>
              </w:rPr>
              <w:t>USB接口将数据导出并进行分析</w:t>
            </w:r>
          </w:p>
        </w:tc>
      </w:tr>
      <w:tr w:rsidR="001B3075" w14:paraId="2B94455C" w14:textId="77777777" w:rsidTr="007A214C">
        <w:tc>
          <w:tcPr>
            <w:tcW w:w="1271" w:type="dxa"/>
          </w:tcPr>
          <w:p w14:paraId="521E8C26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2.14</w:t>
            </w:r>
          </w:p>
        </w:tc>
        <w:tc>
          <w:tcPr>
            <w:tcW w:w="7258" w:type="dxa"/>
          </w:tcPr>
          <w:p w14:paraId="78F35F19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视频输出端口：可连接</w:t>
            </w:r>
            <w:r>
              <w:rPr>
                <w:rFonts w:ascii="宋体" w:hAnsi="宋体" w:cs="宋体"/>
                <w:szCs w:val="21"/>
              </w:rPr>
              <w:t>VGA端口，使数据显示在VGA显示器上</w:t>
            </w:r>
          </w:p>
        </w:tc>
      </w:tr>
      <w:tr w:rsidR="001B3075" w14:paraId="193F677E" w14:textId="77777777" w:rsidTr="007A214C">
        <w:tc>
          <w:tcPr>
            <w:tcW w:w="1271" w:type="dxa"/>
          </w:tcPr>
          <w:p w14:paraId="723596E3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2.15</w:t>
            </w:r>
          </w:p>
        </w:tc>
        <w:tc>
          <w:tcPr>
            <w:tcW w:w="7258" w:type="dxa"/>
          </w:tcPr>
          <w:p w14:paraId="0CEA72B6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内置电池：具备内置锂电池，可作为停电和患者转运时的备份</w:t>
            </w:r>
          </w:p>
        </w:tc>
      </w:tr>
      <w:tr w:rsidR="001B3075" w14:paraId="3C01381D" w14:textId="77777777" w:rsidTr="007A214C">
        <w:tc>
          <w:tcPr>
            <w:tcW w:w="1271" w:type="dxa"/>
          </w:tcPr>
          <w:p w14:paraId="3072092B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2.16</w:t>
            </w:r>
          </w:p>
        </w:tc>
        <w:tc>
          <w:tcPr>
            <w:tcW w:w="7258" w:type="dxa"/>
          </w:tcPr>
          <w:p w14:paraId="21D67989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环境要求至少满足：工作温度＋</w:t>
            </w:r>
            <w:r>
              <w:rPr>
                <w:rFonts w:ascii="宋体" w:hAnsi="宋体" w:cs="宋体"/>
                <w:szCs w:val="21"/>
              </w:rPr>
              <w:t>16℃～32℃；存放温度－20℃～45℃；湿度20%～80%，非冷凝状态</w:t>
            </w:r>
          </w:p>
        </w:tc>
      </w:tr>
      <w:tr w:rsidR="001B3075" w14:paraId="021E4A20" w14:textId="77777777" w:rsidTr="007A214C">
        <w:trPr>
          <w:trHeight w:val="750"/>
        </w:trPr>
        <w:tc>
          <w:tcPr>
            <w:tcW w:w="1271" w:type="dxa"/>
          </w:tcPr>
          <w:p w14:paraId="15D284FB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2.17</w:t>
            </w:r>
          </w:p>
        </w:tc>
        <w:tc>
          <w:tcPr>
            <w:tcW w:w="7258" w:type="dxa"/>
          </w:tcPr>
          <w:p w14:paraId="48445FDC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适配传感器：成人传感器、儿童传感器、新生儿传感器</w:t>
            </w:r>
          </w:p>
        </w:tc>
      </w:tr>
      <w:tr w:rsidR="001B3075" w14:paraId="3F61D59F" w14:textId="77777777" w:rsidTr="007A214C">
        <w:trPr>
          <w:trHeight w:val="750"/>
        </w:trPr>
        <w:tc>
          <w:tcPr>
            <w:tcW w:w="1271" w:type="dxa"/>
          </w:tcPr>
          <w:p w14:paraId="5F0E60E0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2.18</w:t>
            </w:r>
          </w:p>
        </w:tc>
        <w:tc>
          <w:tcPr>
            <w:tcW w:w="7258" w:type="dxa"/>
          </w:tcPr>
          <w:p w14:paraId="45A75482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传感器</w:t>
            </w:r>
            <w:r>
              <w:rPr>
                <w:rFonts w:ascii="宋体" w:hAnsi="宋体" w:hint="eastAsia"/>
                <w:szCs w:val="21"/>
              </w:rPr>
              <w:t>光源：L</w:t>
            </w:r>
            <w:r>
              <w:rPr>
                <w:rFonts w:ascii="宋体" w:hAnsi="宋体"/>
                <w:szCs w:val="21"/>
              </w:rPr>
              <w:t>ED</w:t>
            </w:r>
            <w:r>
              <w:rPr>
                <w:rFonts w:ascii="宋体" w:hAnsi="宋体" w:hint="eastAsia"/>
                <w:szCs w:val="21"/>
              </w:rPr>
              <w:t>光源</w:t>
            </w:r>
          </w:p>
        </w:tc>
      </w:tr>
      <w:tr w:rsidR="001B3075" w14:paraId="21F8579B" w14:textId="77777777" w:rsidTr="007A214C">
        <w:trPr>
          <w:trHeight w:val="750"/>
        </w:trPr>
        <w:tc>
          <w:tcPr>
            <w:tcW w:w="1271" w:type="dxa"/>
          </w:tcPr>
          <w:p w14:paraId="274CF8CC" w14:textId="77777777" w:rsidR="001B3075" w:rsidRDefault="001B3075" w:rsidP="007A214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</w:rPr>
              <w:t>2.19</w:t>
            </w:r>
          </w:p>
        </w:tc>
        <w:tc>
          <w:tcPr>
            <w:tcW w:w="7258" w:type="dxa"/>
          </w:tcPr>
          <w:p w14:paraId="4EF18140" w14:textId="77777777" w:rsidR="001B3075" w:rsidRDefault="001B3075" w:rsidP="007A214C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设备寿命：≥</w:t>
            </w:r>
            <w:r>
              <w:rPr>
                <w:rFonts w:ascii="宋体" w:hAnsi="宋体" w:cs="宋体"/>
                <w:szCs w:val="21"/>
              </w:rPr>
              <w:t>10年</w:t>
            </w:r>
          </w:p>
        </w:tc>
      </w:tr>
    </w:tbl>
    <w:p w14:paraId="4F45A99A" w14:textId="77777777" w:rsidR="001B3075" w:rsidRDefault="001B3075" w:rsidP="001B3075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14:paraId="3E88600C" w14:textId="77777777" w:rsidR="001B3075" w:rsidRDefault="001B3075" w:rsidP="001B3075">
      <w:pPr>
        <w:spacing w:line="360" w:lineRule="auto"/>
        <w:jc w:val="left"/>
        <w:rPr>
          <w:rFonts w:ascii="宋体" w:hAnsi="宋体" w:hint="eastAsia"/>
          <w:bCs/>
          <w:kern w:val="44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五、项目售后服务要求</w:t>
      </w:r>
    </w:p>
    <w:p w14:paraId="10D983CE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lastRenderedPageBreak/>
        <w:t>1.供货价为最终用户价，所有运费、保险均由投标方承担；</w:t>
      </w:r>
    </w:p>
    <w:p w14:paraId="03A22857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 w14:paraId="7EF25569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3.所有设备均由投标方安排专业工程师进行安装调试，货物送至2个工作日内安装完成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31C3AC1C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4.验收方案：根据合同的配置标准现场验收。</w:t>
      </w:r>
    </w:p>
    <w:p w14:paraId="3AAE7787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5.保证对所售设备提供专业的7*24小时原厂技术服务和技术支持，2小时内响应，24小时内到达现场,2小时内进行修复。</w:t>
      </w:r>
    </w:p>
    <w:p w14:paraId="522C4936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6.供应商派原厂专业技术人员在项目现场对使用人员进行培训或指导，在使用一段时间后可根据使用人员的要求另行安排培训计划；</w:t>
      </w:r>
    </w:p>
    <w:p w14:paraId="08018E4A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hint="eastAsia"/>
          <w:bCs/>
          <w:sz w:val="24"/>
          <w:szCs w:val="24"/>
        </w:rPr>
        <w:t>★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7.设备保修期≥原厂整</w:t>
      </w:r>
      <w:r w:rsidRPr="004263CF">
        <w:rPr>
          <w:rFonts w:ascii="宋体" w:hAnsi="宋体" w:cs="宋体" w:hint="eastAsia"/>
          <w:color w:val="FF0000"/>
          <w:kern w:val="0"/>
          <w:sz w:val="24"/>
          <w:szCs w:val="24"/>
          <w:lang w:bidi="ar"/>
        </w:rPr>
        <w:t>机3年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；</w:t>
      </w:r>
    </w:p>
    <w:p w14:paraId="3EBC4F0D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8.提供售后服务承诺函，保修期内免费更换零配件及免收工时费；保修期内免费更换零配件及免收工时费，保修期内每年对设备至少进行2次巡检与保养。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</w:p>
    <w:p w14:paraId="593178F7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9.提供终身软件升级、安装调试服务；</w:t>
      </w:r>
    </w:p>
    <w:p w14:paraId="59FA945D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10.提供原厂技术援助：如提供操作手册，每年技术回访；</w:t>
      </w:r>
    </w:p>
    <w:p w14:paraId="7D1A9E8E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11.投标文件中分别提供随机易损件和易耗件清单（计入投标总价），和</w:t>
      </w:r>
      <w:proofErr w:type="gramStart"/>
      <w:r>
        <w:rPr>
          <w:rFonts w:ascii="宋体" w:hAnsi="宋体" w:cs="宋体" w:hint="eastAsia"/>
          <w:kern w:val="0"/>
          <w:sz w:val="24"/>
          <w:szCs w:val="24"/>
          <w:lang w:bidi="ar"/>
        </w:rPr>
        <w:t>质保期</w:t>
      </w:r>
      <w:proofErr w:type="gramEnd"/>
      <w:r>
        <w:rPr>
          <w:rFonts w:ascii="宋体" w:hAnsi="宋体" w:cs="宋体" w:hint="eastAsia"/>
          <w:kern w:val="0"/>
          <w:sz w:val="24"/>
          <w:szCs w:val="24"/>
          <w:lang w:bidi="ar"/>
        </w:rPr>
        <w:t>结束后的备品备件、易损件和易耗件清单一览表（不计入投标总价）。</w:t>
      </w:r>
    </w:p>
    <w:p w14:paraId="0141A793" w14:textId="77777777" w:rsidR="001B3075" w:rsidRDefault="001B3075" w:rsidP="001B3075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12.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备品备件供货价格：不得超过市场价格的80%。投标时需填写上述价格，出质保期后，上述产品供货价格以双方最终认定价格为准，且采购人有权更换供货方。</w:t>
      </w:r>
    </w:p>
    <w:p w14:paraId="4EC65ACA" w14:textId="77777777" w:rsidR="001B3075" w:rsidRDefault="001B3075" w:rsidP="001B3075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 xml:space="preserve">13.质保期后，维保费用以双方最终认定价格为准，原则上不超过设备总价的8%。 </w:t>
      </w:r>
    </w:p>
    <w:p w14:paraId="109B07E1" w14:textId="77777777" w:rsidR="005622DE" w:rsidRPr="001B3075" w:rsidRDefault="005622DE">
      <w:pPr>
        <w:rPr>
          <w:rFonts w:hint="eastAsia"/>
        </w:rPr>
      </w:pPr>
    </w:p>
    <w:sectPr w:rsidR="005622DE" w:rsidRPr="001B3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ACCF" w14:textId="77777777" w:rsidR="00132F57" w:rsidRDefault="00132F57" w:rsidP="001B3075">
      <w:pPr>
        <w:rPr>
          <w:rFonts w:hint="eastAsia"/>
        </w:rPr>
      </w:pPr>
      <w:r>
        <w:separator/>
      </w:r>
    </w:p>
  </w:endnote>
  <w:endnote w:type="continuationSeparator" w:id="0">
    <w:p w14:paraId="00537B52" w14:textId="77777777" w:rsidR="00132F57" w:rsidRDefault="00132F57" w:rsidP="001B30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6C8C" w14:textId="77777777" w:rsidR="00132F57" w:rsidRDefault="00132F57" w:rsidP="001B3075">
      <w:pPr>
        <w:rPr>
          <w:rFonts w:hint="eastAsia"/>
        </w:rPr>
      </w:pPr>
      <w:r>
        <w:separator/>
      </w:r>
    </w:p>
  </w:footnote>
  <w:footnote w:type="continuationSeparator" w:id="0">
    <w:p w14:paraId="4DF21CA5" w14:textId="77777777" w:rsidR="00132F57" w:rsidRDefault="00132F57" w:rsidP="001B30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225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1C"/>
    <w:rsid w:val="00132F57"/>
    <w:rsid w:val="00167E05"/>
    <w:rsid w:val="001B3075"/>
    <w:rsid w:val="003A7035"/>
    <w:rsid w:val="005622DE"/>
    <w:rsid w:val="0089151C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60010B-F690-4926-8D7B-4BD4B4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0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075"/>
    <w:rPr>
      <w:sz w:val="18"/>
      <w:szCs w:val="18"/>
    </w:rPr>
  </w:style>
  <w:style w:type="table" w:styleId="a7">
    <w:name w:val="Table Grid"/>
    <w:basedOn w:val="a1"/>
    <w:uiPriority w:val="39"/>
    <w:qFormat/>
    <w:rsid w:val="001B30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qFormat/>
    <w:rsid w:val="001B3075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B30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2024-10-21T08:49:00Z</dcterms:created>
  <dcterms:modified xsi:type="dcterms:W3CDTF">2024-10-21T08:49:00Z</dcterms:modified>
</cp:coreProperties>
</file>