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80"/>
        <w:gridCol w:w="1255"/>
        <w:gridCol w:w="2551"/>
        <w:gridCol w:w="1984"/>
      </w:tblGrid>
      <w:tr w14:paraId="1CCB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75" w:type="dxa"/>
            <w:vAlign w:val="center"/>
          </w:tcPr>
          <w:p w14:paraId="06107958">
            <w:pPr>
              <w:spacing w:line="360" w:lineRule="auto"/>
              <w:jc w:val="center"/>
              <w:rPr>
                <w:rStyle w:val="7"/>
                <w:szCs w:val="21"/>
              </w:rPr>
            </w:pPr>
            <w:r>
              <w:rPr>
                <w:rStyle w:val="7"/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410BCBDB">
            <w:pPr>
              <w:spacing w:line="360" w:lineRule="auto"/>
              <w:jc w:val="center"/>
              <w:rPr>
                <w:rStyle w:val="7"/>
                <w:szCs w:val="21"/>
              </w:rPr>
            </w:pPr>
            <w:r>
              <w:rPr>
                <w:rStyle w:val="7"/>
                <w:rFonts w:hint="eastAsia"/>
                <w:szCs w:val="21"/>
              </w:rPr>
              <w:t>内容</w:t>
            </w:r>
          </w:p>
        </w:tc>
        <w:tc>
          <w:tcPr>
            <w:tcW w:w="880" w:type="dxa"/>
            <w:vAlign w:val="center"/>
          </w:tcPr>
          <w:p w14:paraId="7C9874C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1255" w:type="dxa"/>
            <w:vAlign w:val="center"/>
          </w:tcPr>
          <w:p w14:paraId="3CD6DA81">
            <w:pPr>
              <w:spacing w:line="360" w:lineRule="auto"/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最高限价</w:t>
            </w:r>
          </w:p>
        </w:tc>
        <w:tc>
          <w:tcPr>
            <w:tcW w:w="2551" w:type="dxa"/>
            <w:vAlign w:val="center"/>
          </w:tcPr>
          <w:p w14:paraId="7FC62AB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交付时间</w:t>
            </w:r>
          </w:p>
        </w:tc>
        <w:tc>
          <w:tcPr>
            <w:tcW w:w="1984" w:type="dxa"/>
            <w:vAlign w:val="center"/>
          </w:tcPr>
          <w:p w14:paraId="7062E3D6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设备交付地点</w:t>
            </w:r>
          </w:p>
        </w:tc>
      </w:tr>
      <w:tr w14:paraId="1F7B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675" w:type="dxa"/>
            <w:vAlign w:val="center"/>
          </w:tcPr>
          <w:p w14:paraId="42F07019">
            <w:pPr>
              <w:spacing w:line="360" w:lineRule="auto"/>
              <w:jc w:val="center"/>
              <w:rPr>
                <w:rStyle w:val="7"/>
                <w:szCs w:val="21"/>
              </w:rPr>
            </w:pPr>
            <w:r>
              <w:rPr>
                <w:rStyle w:val="7"/>
                <w:rFonts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1D094B65">
            <w:pPr>
              <w:spacing w:line="360" w:lineRule="auto"/>
              <w:jc w:val="center"/>
              <w:rPr>
                <w:rStyle w:val="7"/>
                <w:szCs w:val="21"/>
              </w:rPr>
            </w:pPr>
            <w:bookmarkStart w:id="7" w:name="_GoBack"/>
            <w:r>
              <w:rPr>
                <w:rStyle w:val="7"/>
                <w:rFonts w:hint="eastAsia"/>
                <w:bCs/>
                <w:szCs w:val="21"/>
              </w:rPr>
              <w:t>染色封片一体化工作站</w:t>
            </w:r>
            <w:bookmarkEnd w:id="7"/>
          </w:p>
        </w:tc>
        <w:tc>
          <w:tcPr>
            <w:tcW w:w="880" w:type="dxa"/>
            <w:vAlign w:val="center"/>
          </w:tcPr>
          <w:p w14:paraId="089E3324">
            <w:pPr>
              <w:spacing w:line="360" w:lineRule="auto"/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1套</w:t>
            </w:r>
          </w:p>
        </w:tc>
        <w:tc>
          <w:tcPr>
            <w:tcW w:w="1255" w:type="dxa"/>
            <w:vAlign w:val="center"/>
          </w:tcPr>
          <w:p w14:paraId="47639EA6">
            <w:pPr>
              <w:spacing w:line="360" w:lineRule="auto"/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90万元</w:t>
            </w:r>
          </w:p>
        </w:tc>
        <w:tc>
          <w:tcPr>
            <w:tcW w:w="2551" w:type="dxa"/>
            <w:vAlign w:val="center"/>
          </w:tcPr>
          <w:p w14:paraId="381CB090">
            <w:pPr>
              <w:spacing w:line="360" w:lineRule="auto"/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  <w:bCs/>
                <w:szCs w:val="21"/>
              </w:rPr>
              <w:t>中标单位应在合同生效的30天内，向招标人交付设备。</w:t>
            </w:r>
          </w:p>
        </w:tc>
        <w:tc>
          <w:tcPr>
            <w:tcW w:w="1984" w:type="dxa"/>
            <w:vAlign w:val="center"/>
          </w:tcPr>
          <w:p w14:paraId="3FAE5EE7">
            <w:pPr>
              <w:spacing w:line="360" w:lineRule="auto"/>
              <w:jc w:val="center"/>
              <w:rPr>
                <w:rStyle w:val="7"/>
                <w:szCs w:val="21"/>
              </w:rPr>
            </w:pPr>
            <w:r>
              <w:rPr>
                <w:rStyle w:val="7"/>
                <w:rFonts w:hint="eastAsia"/>
                <w:szCs w:val="21"/>
              </w:rPr>
              <w:t>新华医院奉贤院区</w:t>
            </w:r>
          </w:p>
        </w:tc>
      </w:tr>
    </w:tbl>
    <w:p w14:paraId="0A74D767">
      <w:pPr>
        <w:pStyle w:val="8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bookmarkStart w:id="0" w:name="PO_PURCHASE_REQUIREMENT_FILE28186_2"/>
      <w:bookmarkStart w:id="1" w:name="PO_PURCHASE_REQUIREMENT_FILE36649_2"/>
      <w:r>
        <w:rPr>
          <w:rFonts w:hint="eastAsia" w:ascii="宋体" w:hAnsi="宋体" w:cs="宋体"/>
          <w:b/>
          <w:kern w:val="0"/>
          <w:sz w:val="24"/>
          <w:szCs w:val="24"/>
        </w:rPr>
        <w:t>主要功能及工作原理：</w:t>
      </w:r>
    </w:p>
    <w:p w14:paraId="6C2F20A9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等线"/>
          <w:sz w:val="24"/>
          <w:szCs w:val="24"/>
        </w:rPr>
        <w:t>用于病理分析前细胞、体液和血液组分的染色；与盖玻片配合使用，用于病理分析前样本封片处理。</w:t>
      </w:r>
    </w:p>
    <w:p w14:paraId="08177CC3">
      <w:pPr>
        <w:pStyle w:val="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应用场景：</w:t>
      </w:r>
    </w:p>
    <w:p w14:paraId="1B92F553">
      <w:pPr>
        <w:spacing w:line="360" w:lineRule="auto"/>
        <w:ind w:firstLine="480" w:firstLineChars="200"/>
        <w:rPr>
          <w:rFonts w:hint="eastAsia" w:ascii="宋体" w:hAnsi="宋体" w:cs="等线"/>
          <w:sz w:val="24"/>
          <w:szCs w:val="24"/>
        </w:rPr>
      </w:pPr>
      <w:bookmarkStart w:id="2" w:name="_Hlk176197522"/>
      <w:r>
        <w:rPr>
          <w:rFonts w:hint="eastAsia" w:ascii="宋体" w:hAnsi="宋体" w:cs="等线"/>
          <w:sz w:val="24"/>
          <w:szCs w:val="24"/>
        </w:rPr>
        <w:t>临床诊断。</w:t>
      </w:r>
    </w:p>
    <w:p w14:paraId="53183ECB">
      <w:pPr>
        <w:pStyle w:val="8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bookmarkStart w:id="3" w:name="_Toc70385203"/>
      <w:bookmarkStart w:id="4" w:name="_Toc72184668"/>
      <w:r>
        <w:rPr>
          <w:rFonts w:hint="eastAsia" w:ascii="宋体" w:hAnsi="宋体" w:cs="宋体"/>
          <w:b/>
          <w:kern w:val="0"/>
          <w:sz w:val="24"/>
          <w:szCs w:val="24"/>
        </w:rPr>
        <w:t>配置清单</w:t>
      </w:r>
    </w:p>
    <w:tbl>
      <w:tblPr>
        <w:tblStyle w:val="4"/>
        <w:tblW w:w="6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321"/>
        <w:gridCol w:w="2210"/>
      </w:tblGrid>
      <w:tr w14:paraId="3423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shd w:val="clear" w:color="auto" w:fill="F1F1F1" w:themeFill="background1" w:themeFillShade="F2"/>
          </w:tcPr>
          <w:p w14:paraId="4C5DE5DC">
            <w:pPr>
              <w:ind w:firstLine="40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3321" w:type="dxa"/>
            <w:shd w:val="clear" w:color="auto" w:fill="F1F1F1" w:themeFill="background1" w:themeFillShade="F2"/>
          </w:tcPr>
          <w:p w14:paraId="4948192A">
            <w:pPr>
              <w:ind w:firstLine="40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0" w:type="dxa"/>
            <w:shd w:val="clear" w:color="auto" w:fill="F1F1F1" w:themeFill="background1" w:themeFillShade="F2"/>
          </w:tcPr>
          <w:p w14:paraId="6DFA3DD7">
            <w:pPr>
              <w:ind w:firstLine="40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</w:tr>
      <w:tr w14:paraId="6AA5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69" w:type="dxa"/>
          </w:tcPr>
          <w:p w14:paraId="4B984E09">
            <w:pPr>
              <w:ind w:firstLine="42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21" w:type="dxa"/>
          </w:tcPr>
          <w:p w14:paraId="2CF6903A">
            <w:pPr>
              <w:ind w:firstLine="42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染色机主机</w:t>
            </w:r>
          </w:p>
        </w:tc>
        <w:tc>
          <w:tcPr>
            <w:tcW w:w="2210" w:type="dxa"/>
          </w:tcPr>
          <w:p w14:paraId="0A07DC90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178C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5D818C69">
            <w:pPr>
              <w:ind w:firstLine="42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321" w:type="dxa"/>
          </w:tcPr>
          <w:p w14:paraId="4DF46E9C">
            <w:pPr>
              <w:ind w:firstLine="42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封片机主机</w:t>
            </w:r>
          </w:p>
        </w:tc>
        <w:tc>
          <w:tcPr>
            <w:tcW w:w="2210" w:type="dxa"/>
          </w:tcPr>
          <w:p w14:paraId="3544480A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4A95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034A3C67">
            <w:pPr>
              <w:ind w:firstLine="42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321" w:type="dxa"/>
          </w:tcPr>
          <w:p w14:paraId="51FBE5D4">
            <w:pPr>
              <w:ind w:firstLine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染色封片连接站</w:t>
            </w:r>
          </w:p>
        </w:tc>
        <w:tc>
          <w:tcPr>
            <w:tcW w:w="2210" w:type="dxa"/>
          </w:tcPr>
          <w:p w14:paraId="47ACC884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bookmarkEnd w:id="2"/>
      <w:bookmarkEnd w:id="3"/>
      <w:bookmarkEnd w:id="4"/>
    </w:tbl>
    <w:p w14:paraId="6D3B8C01">
      <w:pPr>
        <w:pStyle w:val="8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</w:pPr>
      <w:r>
        <w:rPr>
          <w:rFonts w:hint="eastAsia" w:ascii="宋体" w:hAnsi="宋体" w:cs="宋体"/>
          <w:b/>
          <w:kern w:val="0"/>
          <w:sz w:val="24"/>
          <w:szCs w:val="24"/>
        </w:rPr>
        <w:t>重要及一般技术参数：</w:t>
      </w:r>
    </w:p>
    <w:bookmarkEnd w:id="0"/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5E6F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AB4F0A6">
            <w:pPr>
              <w:jc w:val="center"/>
              <w:rPr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序号</w:t>
            </w:r>
          </w:p>
        </w:tc>
        <w:tc>
          <w:tcPr>
            <w:tcW w:w="7167" w:type="dxa"/>
          </w:tcPr>
          <w:p w14:paraId="1A80E8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</w:tr>
      <w:tr w14:paraId="7999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B9142E4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1.</w:t>
            </w:r>
          </w:p>
        </w:tc>
        <w:tc>
          <w:tcPr>
            <w:tcW w:w="7167" w:type="dxa"/>
          </w:tcPr>
          <w:p w14:paraId="0EC012AD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能进行非滴染式的H&amp;E染色、特殊染色与细胞学染色；</w:t>
            </w:r>
          </w:p>
        </w:tc>
      </w:tr>
      <w:tr w14:paraId="0DC9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5A2F0B0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2.</w:t>
            </w:r>
          </w:p>
        </w:tc>
        <w:tc>
          <w:tcPr>
            <w:tcW w:w="7167" w:type="dxa"/>
          </w:tcPr>
          <w:p w14:paraId="56F84702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从烤片、染色到玻璃封片、干片，一次性完成，无需人工干预；</w:t>
            </w:r>
          </w:p>
        </w:tc>
      </w:tr>
      <w:tr w14:paraId="548B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3D097D9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3.</w:t>
            </w:r>
          </w:p>
        </w:tc>
        <w:tc>
          <w:tcPr>
            <w:tcW w:w="7167" w:type="dxa"/>
          </w:tcPr>
          <w:p w14:paraId="245E6668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染色速度≥330张/小时，封片速度≥570张/小时（含干片）和≥660张/小时（不含干片）；</w:t>
            </w:r>
          </w:p>
        </w:tc>
      </w:tr>
      <w:tr w14:paraId="5B0B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</w:tcPr>
          <w:p w14:paraId="01ECC1A7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4.</w:t>
            </w:r>
            <w:r>
              <w:rPr>
                <w:rFonts w:cs="Segoe UI Symbol" w:asciiTheme="minorHAnsi" w:hAnsiTheme="minorHAnsi"/>
                <w:szCs w:val="21"/>
                <w:highlight w:val="none"/>
              </w:rPr>
              <w:t>★</w:t>
            </w:r>
          </w:p>
        </w:tc>
        <w:tc>
          <w:tcPr>
            <w:tcW w:w="7167" w:type="dxa"/>
          </w:tcPr>
          <w:p w14:paraId="72CDC502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染色封片均可双机械臂同时运行；</w:t>
            </w:r>
          </w:p>
        </w:tc>
      </w:tr>
      <w:tr w14:paraId="03BC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053C776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5.</w:t>
            </w:r>
          </w:p>
        </w:tc>
        <w:tc>
          <w:tcPr>
            <w:tcW w:w="7167" w:type="dxa"/>
          </w:tcPr>
          <w:p w14:paraId="5917DE6B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具备RFID射频识别技术，实时监测试剂效期、批次和消耗；</w:t>
            </w:r>
          </w:p>
        </w:tc>
      </w:tr>
      <w:tr w14:paraId="7686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73C4D17">
            <w:pPr>
              <w:pStyle w:val="2"/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6.</w:t>
            </w:r>
            <w:r>
              <w:rPr>
                <w:rFonts w:hint="eastAsia"/>
                <w:highlight w:val="none"/>
              </w:rPr>
              <w:t>▲</w:t>
            </w:r>
          </w:p>
        </w:tc>
        <w:tc>
          <w:tcPr>
            <w:tcW w:w="7167" w:type="dxa"/>
          </w:tcPr>
          <w:p w14:paraId="5F6666E9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带有切片计数功能试剂管理系统；</w:t>
            </w:r>
          </w:p>
        </w:tc>
      </w:tr>
      <w:tr w14:paraId="41F0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04DCDCD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7.</w:t>
            </w:r>
            <w:r>
              <w:rPr>
                <w:rFonts w:cs="Segoe UI Symbol" w:asciiTheme="minorHAnsi" w:hAnsiTheme="minorHAnsi"/>
                <w:szCs w:val="21"/>
                <w:highlight w:val="none"/>
              </w:rPr>
              <w:t>★</w:t>
            </w:r>
          </w:p>
        </w:tc>
        <w:tc>
          <w:tcPr>
            <w:tcW w:w="7167" w:type="dxa"/>
          </w:tcPr>
          <w:p w14:paraId="33DD0AB7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染色架内置芯片，自动识别不同玻片架，自动启动相应染色程序；</w:t>
            </w:r>
          </w:p>
        </w:tc>
      </w:tr>
      <w:tr w14:paraId="4451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E392F8F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8.</w:t>
            </w:r>
          </w:p>
        </w:tc>
        <w:tc>
          <w:tcPr>
            <w:tcW w:w="7167" w:type="dxa"/>
          </w:tcPr>
          <w:p w14:paraId="02E2728B">
            <w:pPr>
              <w:rPr>
                <w:szCs w:val="21"/>
                <w:highlight w:val="none"/>
              </w:rPr>
            </w:pP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程序数≥50个，每个程序可有≥40步；</w:t>
            </w:r>
            <w:r>
              <w:rPr>
                <w:rFonts w:cs="Calibri" w:asciiTheme="minorHAnsi" w:hAnsiTheme="minorHAnsi"/>
                <w:szCs w:val="21"/>
                <w:highlight w:val="none"/>
              </w:rPr>
              <w:t>总站点</w:t>
            </w: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≥</w:t>
            </w:r>
            <w:r>
              <w:rPr>
                <w:rFonts w:cs="Calibri" w:asciiTheme="minorHAnsi" w:hAnsiTheme="minorHAnsi"/>
                <w:szCs w:val="21"/>
                <w:highlight w:val="none"/>
              </w:rPr>
              <w:t>5</w:t>
            </w:r>
            <w:r>
              <w:rPr>
                <w:rFonts w:hint="eastAsia" w:cs="Calibri" w:asciiTheme="minorHAnsi" w:hAnsiTheme="minorHAnsi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cs="Calibri" w:asciiTheme="minorHAnsi" w:hAnsiTheme="minorHAnsi"/>
                <w:szCs w:val="21"/>
                <w:highlight w:val="none"/>
              </w:rPr>
              <w:t>个，染色站点</w:t>
            </w:r>
            <w:r>
              <w:rPr>
                <w:rFonts w:cs="Calibri" w:asciiTheme="minorHAnsi" w:hAnsiTheme="minorHAnsi"/>
                <w:bCs/>
                <w:szCs w:val="21"/>
                <w:highlight w:val="none"/>
              </w:rPr>
              <w:t>≥</w:t>
            </w:r>
            <w:r>
              <w:rPr>
                <w:rFonts w:cs="Calibri" w:asciiTheme="minorHAnsi" w:hAnsiTheme="minorHAnsi"/>
                <w:szCs w:val="21"/>
                <w:highlight w:val="none"/>
              </w:rPr>
              <w:t>3</w:t>
            </w:r>
            <w:r>
              <w:rPr>
                <w:rFonts w:hint="eastAsia" w:cs="Calibri" w:asciiTheme="minorHAnsi" w:hAnsiTheme="minorHAnsi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cs="Calibri" w:asciiTheme="minorHAnsi" w:hAnsiTheme="minorHAnsi"/>
                <w:szCs w:val="21"/>
                <w:highlight w:val="none"/>
              </w:rPr>
              <w:t>个；</w:t>
            </w:r>
          </w:p>
        </w:tc>
      </w:tr>
      <w:tr w14:paraId="7484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27C16D1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9.</w:t>
            </w:r>
          </w:p>
        </w:tc>
        <w:tc>
          <w:tcPr>
            <w:tcW w:w="7167" w:type="dxa"/>
          </w:tcPr>
          <w:p w14:paraId="1D8438D4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同时处理≥18个染色架（≥30张/架），可在任意时刻运行任意程序；</w:t>
            </w:r>
          </w:p>
        </w:tc>
      </w:tr>
      <w:tr w14:paraId="14D7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7F42FCA">
            <w:pPr>
              <w:pStyle w:val="2"/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10.</w:t>
            </w:r>
            <w:r>
              <w:rPr>
                <w:rFonts w:hint="eastAsia"/>
              </w:rPr>
              <w:t>▲</w:t>
            </w:r>
          </w:p>
        </w:tc>
        <w:tc>
          <w:tcPr>
            <w:tcW w:w="7167" w:type="dxa"/>
          </w:tcPr>
          <w:p w14:paraId="5DDA2555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具备全部试剂站点同时自动振荡功能；</w:t>
            </w:r>
          </w:p>
        </w:tc>
      </w:tr>
      <w:tr w14:paraId="513B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B71EB70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11.</w:t>
            </w:r>
          </w:p>
        </w:tc>
        <w:tc>
          <w:tcPr>
            <w:tcW w:w="7167" w:type="dxa"/>
          </w:tcPr>
          <w:p w14:paraId="7C61DBD6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上下载站点均容纳≥5个染色架；</w:t>
            </w:r>
          </w:p>
        </w:tc>
      </w:tr>
      <w:tr w14:paraId="1F94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4475BF0">
            <w:pPr>
              <w:pStyle w:val="2"/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12.</w:t>
            </w:r>
            <w:r>
              <w:rPr>
                <w:rFonts w:hint="eastAsia"/>
              </w:rPr>
              <w:t>▲</w:t>
            </w:r>
          </w:p>
        </w:tc>
        <w:tc>
          <w:tcPr>
            <w:tcW w:w="7167" w:type="dxa"/>
          </w:tcPr>
          <w:p w14:paraId="709F051D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可自动进行染缸布局，自动扫描液面高度，程序兼容性检测功能；</w:t>
            </w:r>
          </w:p>
        </w:tc>
      </w:tr>
      <w:tr w14:paraId="706B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05D1D11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13.</w:t>
            </w:r>
          </w:p>
        </w:tc>
        <w:tc>
          <w:tcPr>
            <w:tcW w:w="7167" w:type="dxa"/>
          </w:tcPr>
          <w:p w14:paraId="5F30DBC2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全中文彩色触摸屏，染色过程实时图像化显示；</w:t>
            </w:r>
          </w:p>
        </w:tc>
      </w:tr>
      <w:tr w14:paraId="2279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701DD1D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14.</w:t>
            </w:r>
          </w:p>
        </w:tc>
        <w:tc>
          <w:tcPr>
            <w:tcW w:w="7167" w:type="dxa"/>
          </w:tcPr>
          <w:p w14:paraId="4D8C8291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内置烤箱容纳≥6个染色架（≥180张玻片），可进行自动烤片；</w:t>
            </w:r>
          </w:p>
        </w:tc>
      </w:tr>
      <w:tr w14:paraId="0DF9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73F00C1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15.</w:t>
            </w:r>
          </w:p>
        </w:tc>
        <w:tc>
          <w:tcPr>
            <w:tcW w:w="7167" w:type="dxa"/>
          </w:tcPr>
          <w:p w14:paraId="070CB7F2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内置电池提供短暂供电和数据保护，来电时自动启动断电前程序；</w:t>
            </w:r>
          </w:p>
        </w:tc>
      </w:tr>
      <w:tr w14:paraId="4669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49DC3E6">
            <w:pPr>
              <w:pStyle w:val="2"/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16</w:t>
            </w:r>
            <w:r>
              <w:rPr>
                <w:rFonts w:hint="eastAsia"/>
              </w:rPr>
              <w:t>▲</w:t>
            </w:r>
          </w:p>
        </w:tc>
        <w:tc>
          <w:tcPr>
            <w:tcW w:w="7167" w:type="dxa"/>
          </w:tcPr>
          <w:p w14:paraId="23712373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有破损盖玻片自检功能；</w:t>
            </w:r>
          </w:p>
        </w:tc>
      </w:tr>
      <w:tr w14:paraId="3325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61146AF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</w:t>
            </w:r>
            <w:r>
              <w:rPr>
                <w:rFonts w:hint="eastAsia" w:cs="Calibri" w:asciiTheme="minorHAnsi" w:hAnsiTheme="minorHAnsi"/>
                <w:bCs/>
                <w:szCs w:val="21"/>
                <w:lang w:val="en-US" w:eastAsia="zh-CN"/>
              </w:rPr>
              <w:t>7</w:t>
            </w:r>
            <w:r>
              <w:rPr>
                <w:rFonts w:cs="Calibri" w:asciiTheme="minorHAnsi" w:hAnsiTheme="minorHAnsi"/>
                <w:bCs/>
                <w:szCs w:val="21"/>
              </w:rPr>
              <w:t>.</w:t>
            </w:r>
          </w:p>
        </w:tc>
        <w:tc>
          <w:tcPr>
            <w:tcW w:w="7167" w:type="dxa"/>
          </w:tcPr>
          <w:p w14:paraId="4FD17FEA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USB接口，可下载1个月内实验数据；</w:t>
            </w:r>
          </w:p>
        </w:tc>
      </w:tr>
      <w:tr w14:paraId="631F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top"/>
          </w:tcPr>
          <w:p w14:paraId="3074254A">
            <w:pPr>
              <w:rPr>
                <w:rFonts w:cs="Arial"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18.</w:t>
            </w:r>
          </w:p>
        </w:tc>
        <w:tc>
          <w:tcPr>
            <w:tcW w:w="7167" w:type="dxa"/>
          </w:tcPr>
          <w:p w14:paraId="72C74E9D">
            <w:pPr>
              <w:rPr>
                <w:rFonts w:cs="Calibri"/>
                <w:bCs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自动进行H&amp;E封片的同时可进行其他样品的封片（如免疫组化切片）；</w:t>
            </w:r>
          </w:p>
        </w:tc>
      </w:tr>
      <w:tr w14:paraId="4D1C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top"/>
          </w:tcPr>
          <w:p w14:paraId="55696215">
            <w:pPr>
              <w:rPr>
                <w:rFonts w:cs="Arial"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19.</w:t>
            </w:r>
          </w:p>
        </w:tc>
        <w:tc>
          <w:tcPr>
            <w:tcW w:w="7167" w:type="dxa"/>
          </w:tcPr>
          <w:p w14:paraId="46E4A861">
            <w:pPr>
              <w:rPr>
                <w:rFonts w:cs="Calibri"/>
                <w:bCs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适用于干性和湿性封片；</w:t>
            </w:r>
          </w:p>
        </w:tc>
      </w:tr>
      <w:tr w14:paraId="4CBC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top"/>
          </w:tcPr>
          <w:p w14:paraId="55E2F455">
            <w:pPr>
              <w:rPr>
                <w:rFonts w:cs="Arial"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20.</w:t>
            </w:r>
          </w:p>
        </w:tc>
        <w:tc>
          <w:tcPr>
            <w:tcW w:w="7167" w:type="dxa"/>
          </w:tcPr>
          <w:p w14:paraId="7EC4534A">
            <w:pPr>
              <w:rPr>
                <w:rFonts w:cs="Calibri"/>
                <w:bCs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染色单元和封片单元可独立使用；</w:t>
            </w:r>
          </w:p>
        </w:tc>
      </w:tr>
      <w:tr w14:paraId="5FC9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top"/>
          </w:tcPr>
          <w:p w14:paraId="6EC02BA1">
            <w:pPr>
              <w:rPr>
                <w:rFonts w:cs="Arial"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21.</w:t>
            </w:r>
          </w:p>
        </w:tc>
        <w:tc>
          <w:tcPr>
            <w:tcW w:w="7167" w:type="dxa"/>
          </w:tcPr>
          <w:p w14:paraId="5D56A371">
            <w:pPr>
              <w:rPr>
                <w:rFonts w:cs="Calibri"/>
                <w:bCs/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具备双重废气过滤排放系统；</w:t>
            </w:r>
          </w:p>
        </w:tc>
      </w:tr>
    </w:tbl>
    <w:p w14:paraId="337A5EF6">
      <w:pPr>
        <w:pStyle w:val="8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  <w:rPr>
          <w:rFonts w:hint="eastAsia" w:ascii="宋体" w:hAnsi="宋体"/>
          <w:bCs/>
          <w:kern w:val="44"/>
          <w:sz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项目售后服务要求</w:t>
      </w:r>
    </w:p>
    <w:p w14:paraId="7899DC3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 供货价为最终用户价，包括但不限于设备采购费、系统集成费、人工费、税费等，所有运费、保险均由投标方承担；</w:t>
      </w:r>
    </w:p>
    <w:p w14:paraId="41A2AD9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18EAFBFC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</w:t>
      </w:r>
      <w:bookmarkStart w:id="5" w:name="_Hlk163654936"/>
      <w:bookmarkStart w:id="6" w:name="_Hlk163654047"/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</w:t>
      </w:r>
      <w:bookmarkEnd w:id="5"/>
      <w:bookmarkEnd w:id="6"/>
      <w:r>
        <w:rPr>
          <w:rFonts w:hint="eastAsia" w:ascii="宋体" w:hAnsi="宋体" w:cs="宋体"/>
          <w:color w:val="000000"/>
          <w:kern w:val="0"/>
          <w:sz w:val="24"/>
          <w:lang w:bidi="ar"/>
        </w:rPr>
        <w:t>所有设备均由投标方负责安装调试，货物送至2个工作日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。</w:t>
      </w:r>
    </w:p>
    <w:p w14:paraId="09D1C2E0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4.验收方案：根据合同的配置标准现场验收。</w:t>
      </w:r>
    </w:p>
    <w:p w14:paraId="4F2DB40F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5.保证对所售设备提供专业的7*24小时原厂技术服务和技术支持，10分钟技术响应，4小时内到达现场。</w:t>
      </w:r>
    </w:p>
    <w:p w14:paraId="2761957E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6.供应商派原厂专业技术人员在项目现场对使用人员进行培训或指导，培训人员不少于2人。在使用一段时间后可根据使用人员的要求另行安排培训计划。</w:t>
      </w:r>
    </w:p>
    <w:p w14:paraId="65B0C7C8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7.</w:t>
      </w:r>
      <w:r>
        <w:rPr>
          <w:rFonts w:hint="eastAsia"/>
        </w:rPr>
        <w:t xml:space="preserve"> ★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设备保修期≥原厂整机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年，提供原厂售后服务承诺函。</w:t>
      </w:r>
    </w:p>
    <w:p w14:paraId="49ED28A9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8.提供终身软件升级、安装调试服务。</w:t>
      </w:r>
    </w:p>
    <w:p w14:paraId="2A3DAF8A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9.提供原厂技术援助：每台设备均提供一套用户手册、中文使用说明书，每年技术回访。</w:t>
      </w:r>
    </w:p>
    <w:p w14:paraId="1B841A4D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10.投标文件中分别提供随机易损件和易耗件清单（计入投标总价），和质保期结束后的备品备件、易损件和易耗件清单一览表（不计入投标总价）。</w:t>
      </w:r>
    </w:p>
    <w:p w14:paraId="35F1B54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11.备品备件供货价格：不高于市场价。</w:t>
      </w:r>
    </w:p>
    <w:p w14:paraId="75764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70DA6"/>
    <w:multiLevelType w:val="multilevel"/>
    <w:tmpl w:val="60C70DA6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5C77"/>
    <w:rsid w:val="0AA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qFormat/>
    <w:uiPriority w:val="99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7">
    <w:name w:val="NormalCharacter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2024-11-01T13:57:00Z</dcterms:created>
  <dc:creator>杨俐君</dc:creator>
  <cp:lastModifiedBy>杨俐君</cp:lastModifiedBy>
  <dcterms:modified xsi:type="dcterms:W3CDTF">2024-11-01T14:09:42Z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3983BAC7859A4B1B95C1D1DB59BC4BB8_11</vt:lpwstr>
  </property>
</Properties>
</file>