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57AAE">
      <w:pPr>
        <w:adjustRightInd w:val="0"/>
        <w:snapToGrid w:val="0"/>
        <w:spacing w:line="360" w:lineRule="auto"/>
        <w:jc w:val="left"/>
        <w:rPr>
          <w:rFonts w:hint="eastAsia" w:ascii="宋体" w:hAnsi="宋体"/>
          <w:b/>
          <w:bCs/>
          <w:sz w:val="24"/>
        </w:rPr>
      </w:pPr>
      <w:r>
        <w:rPr>
          <w:rFonts w:hint="eastAsia" w:ascii="宋体" w:hAnsi="宋体"/>
          <w:b/>
          <w:bCs/>
          <w:sz w:val="24"/>
        </w:rPr>
        <w:t>一、项目概述</w:t>
      </w:r>
    </w:p>
    <w:p w14:paraId="2A76895B">
      <w:pPr>
        <w:adjustRightInd w:val="0"/>
        <w:snapToGrid w:val="0"/>
        <w:spacing w:line="360" w:lineRule="auto"/>
        <w:jc w:val="left"/>
        <w:rPr>
          <w:rFonts w:ascii="宋体" w:hAnsi="宋体"/>
          <w:sz w:val="24"/>
        </w:rPr>
      </w:pPr>
      <w:r>
        <w:rPr>
          <w:rFonts w:hint="eastAsia" w:ascii="宋体" w:hAnsi="宋体"/>
          <w:sz w:val="24"/>
        </w:rPr>
        <w:t>1、项目名称：</w:t>
      </w:r>
      <w:bookmarkStart w:id="0" w:name="_GoBack"/>
      <w:r>
        <w:rPr>
          <w:rFonts w:hint="eastAsia" w:ascii="宋体" w:hAnsi="宋体"/>
          <w:sz w:val="24"/>
        </w:rPr>
        <w:t>临床核酸质谱检测服务采购</w:t>
      </w:r>
    </w:p>
    <w:bookmarkEnd w:id="0"/>
    <w:p w14:paraId="0F28A951">
      <w:pPr>
        <w:adjustRightInd w:val="0"/>
        <w:snapToGrid w:val="0"/>
        <w:spacing w:line="360" w:lineRule="auto"/>
        <w:jc w:val="left"/>
        <w:rPr>
          <w:rFonts w:ascii="宋体" w:hAnsi="宋体"/>
          <w:sz w:val="24"/>
        </w:rPr>
      </w:pPr>
      <w:r>
        <w:rPr>
          <w:rFonts w:hint="eastAsia" w:ascii="宋体" w:hAnsi="宋体"/>
          <w:sz w:val="24"/>
        </w:rPr>
        <w:t>2、服务地点：招标人指定地点</w:t>
      </w:r>
    </w:p>
    <w:p w14:paraId="3244951C">
      <w:pPr>
        <w:adjustRightInd w:val="0"/>
        <w:snapToGrid w:val="0"/>
        <w:spacing w:line="360" w:lineRule="auto"/>
        <w:jc w:val="left"/>
        <w:rPr>
          <w:rFonts w:ascii="宋体" w:hAnsi="宋体"/>
          <w:color w:val="auto"/>
          <w:sz w:val="24"/>
        </w:rPr>
      </w:pPr>
      <w:r>
        <w:rPr>
          <w:rFonts w:hint="eastAsia" w:ascii="宋体" w:hAnsi="宋体"/>
          <w:sz w:val="24"/>
        </w:rPr>
        <w:t>3、服务期限：</w:t>
      </w:r>
      <w:r>
        <w:rPr>
          <w:rFonts w:hint="eastAsia" w:ascii="宋体" w:hAnsi="宋体"/>
          <w:color w:val="auto"/>
          <w:sz w:val="24"/>
        </w:rPr>
        <w:t>合同签订后两年</w:t>
      </w:r>
    </w:p>
    <w:p w14:paraId="3D848820">
      <w:pPr>
        <w:adjustRightInd w:val="0"/>
        <w:snapToGrid w:val="0"/>
        <w:spacing w:line="360" w:lineRule="auto"/>
        <w:jc w:val="left"/>
        <w:rPr>
          <w:rFonts w:ascii="宋体" w:hAnsi="宋体"/>
          <w:color w:val="auto"/>
          <w:sz w:val="24"/>
        </w:rPr>
      </w:pPr>
      <w:r>
        <w:rPr>
          <w:rFonts w:hint="eastAsia" w:ascii="宋体" w:hAnsi="宋体"/>
          <w:color w:val="auto"/>
          <w:sz w:val="24"/>
        </w:rPr>
        <w:t>4、付款方式：按照每季度实际检测数量进行结算</w:t>
      </w:r>
    </w:p>
    <w:p w14:paraId="614D5F59">
      <w:pPr>
        <w:adjustRightInd w:val="0"/>
        <w:snapToGrid w:val="0"/>
        <w:spacing w:line="360" w:lineRule="auto"/>
        <w:jc w:val="left"/>
        <w:rPr>
          <w:rFonts w:hint="eastAsia" w:ascii="宋体" w:hAnsi="宋体"/>
          <w:b/>
          <w:bCs/>
          <w:color w:val="auto"/>
          <w:sz w:val="24"/>
        </w:rPr>
      </w:pPr>
      <w:r>
        <w:rPr>
          <w:rFonts w:hint="eastAsia" w:ascii="宋体" w:hAnsi="宋体"/>
          <w:b/>
          <w:bCs/>
          <w:color w:val="auto"/>
          <w:sz w:val="24"/>
        </w:rPr>
        <w:t>二、服务需求</w:t>
      </w:r>
    </w:p>
    <w:p w14:paraId="7028BF84">
      <w:pPr>
        <w:pStyle w:val="3"/>
        <w:snapToGrid w:val="0"/>
        <w:spacing w:line="360" w:lineRule="auto"/>
        <w:rPr>
          <w:rFonts w:hint="eastAsia" w:hAnsi="宋体"/>
          <w:sz w:val="24"/>
          <w:szCs w:val="24"/>
        </w:rPr>
      </w:pPr>
      <w:r>
        <w:rPr>
          <w:rFonts w:hint="eastAsia" w:hAnsi="宋体"/>
          <w:sz w:val="24"/>
          <w:szCs w:val="24"/>
        </w:rPr>
        <w:t>1、投标人需定期提供相应资质供医院进行审查。投标人应明确检测样本的采集、运输、报告审核、检测结果反馈、权益分配、生物安全风险防范、人类遗传资源规范管理等方面的双方权责，并必须严格遵守相关法律法规。投标人不得二次委托。</w:t>
      </w:r>
    </w:p>
    <w:p w14:paraId="7B33E694">
      <w:pPr>
        <w:pStyle w:val="3"/>
        <w:snapToGrid w:val="0"/>
        <w:spacing w:line="360" w:lineRule="auto"/>
        <w:rPr>
          <w:rFonts w:hint="eastAsia" w:hAnsi="宋体"/>
          <w:sz w:val="24"/>
          <w:szCs w:val="24"/>
        </w:rPr>
      </w:pPr>
      <w:r>
        <w:rPr>
          <w:rFonts w:hint="eastAsia" w:hAnsi="宋体"/>
          <w:sz w:val="24"/>
          <w:szCs w:val="24"/>
        </w:rPr>
        <w:t>2、投标人需定期接受医院对资质、原始数据真实性、准确性、质量控制等考核，对过程中发现投标人构成存在的不合理行为要及时提出整改要求，情节严重的应终止委托协议。</w:t>
      </w:r>
    </w:p>
    <w:p w14:paraId="6F19453F">
      <w:pPr>
        <w:pStyle w:val="3"/>
        <w:snapToGrid w:val="0"/>
        <w:spacing w:line="360" w:lineRule="auto"/>
        <w:rPr>
          <w:rFonts w:hint="eastAsia" w:hAnsi="宋体"/>
          <w:sz w:val="24"/>
          <w:szCs w:val="24"/>
        </w:rPr>
      </w:pPr>
      <w:r>
        <w:rPr>
          <w:rFonts w:hint="eastAsia" w:hAnsi="宋体"/>
          <w:sz w:val="24"/>
          <w:szCs w:val="24"/>
        </w:rPr>
        <w:t>3、投标人应每半年向医院提供质控管理证明材料，具体内容包括但不限于：检测人员资质、室内质控记录室间质评成绩、实验室间比对记录及比对结论、设备校准、关键试剂耗材的使用记录（含新批号试剂质检记录）等。投标人对各检测项目的样本运送前预处理应严格把控。</w:t>
      </w:r>
    </w:p>
    <w:p w14:paraId="6625E2DA">
      <w:pPr>
        <w:pStyle w:val="3"/>
        <w:snapToGrid w:val="0"/>
        <w:spacing w:line="360" w:lineRule="auto"/>
        <w:rPr>
          <w:rFonts w:hint="eastAsia" w:hAnsi="宋体"/>
          <w:sz w:val="24"/>
          <w:szCs w:val="24"/>
        </w:rPr>
      </w:pPr>
      <w:r>
        <w:rPr>
          <w:rFonts w:hint="eastAsia" w:hAnsi="宋体"/>
          <w:sz w:val="24"/>
          <w:szCs w:val="24"/>
        </w:rPr>
        <w:t>4、投标人应建立、完善样本外送患者诊疗信息保护、员工授权管理、安全风险评估和应急、信息系统安全事故责任管理、追溯等工作机制，确保患者诊疗信息管理全流程的安全性、真实性、连续性、完整性、稳定性、时效性、溯源性；投标人应根据相关要求归集并妥善保管样本外送临床检测相关数据信息；如涉及人体样本时，应在医疗机构登记备查。投标人使用患者诊疗信息应遵循合法、依规、正当、必要的原则，不得出售或擅自向他人或其他机构提供患者诊疗信息。</w:t>
      </w:r>
    </w:p>
    <w:p w14:paraId="61D4DF0B">
      <w:pPr>
        <w:pStyle w:val="3"/>
        <w:snapToGrid w:val="0"/>
        <w:spacing w:line="360" w:lineRule="auto"/>
        <w:rPr>
          <w:rFonts w:hint="eastAsia" w:hAnsi="宋体"/>
          <w:sz w:val="24"/>
          <w:szCs w:val="24"/>
        </w:rPr>
      </w:pPr>
      <w:r>
        <w:rPr>
          <w:rFonts w:hint="eastAsia" w:hAnsi="宋体"/>
          <w:sz w:val="24"/>
          <w:szCs w:val="24"/>
        </w:rPr>
        <w:t>5、投标人对在服务有效期内从院方知悉的关于院方的经营信息、检验技术信息、患者信息等一切非公开的保密信息负有终身保密义务。未经院方书面同意，不得将上述信息泄露给任何第三方。</w:t>
      </w:r>
    </w:p>
    <w:p w14:paraId="06B9AA74">
      <w:pPr>
        <w:pStyle w:val="3"/>
        <w:snapToGrid w:val="0"/>
        <w:spacing w:line="360" w:lineRule="auto"/>
        <w:rPr>
          <w:rFonts w:hint="eastAsia" w:hAnsi="宋体"/>
          <w:sz w:val="24"/>
          <w:szCs w:val="24"/>
        </w:rPr>
      </w:pPr>
      <w:r>
        <w:rPr>
          <w:rFonts w:hint="eastAsia" w:hAnsi="宋体"/>
          <w:sz w:val="24"/>
          <w:szCs w:val="24"/>
        </w:rPr>
        <w:t>6、外送样本临床检测结果传递过程中，投标人应采取措施保护患者个人隐私，不得泄露患者信息、检测结果及相关基因数据和健康信息，在发生或者可能发生患者诊疗信息泄露、毁损、丢失的情况时，应立即采取补救措施，按照规定向有关部门报告。</w:t>
      </w:r>
    </w:p>
    <w:p w14:paraId="4A2B1A28">
      <w:pPr>
        <w:pStyle w:val="3"/>
        <w:snapToGrid w:val="0"/>
        <w:spacing w:line="360" w:lineRule="auto"/>
        <w:rPr>
          <w:rFonts w:hint="eastAsia" w:hAnsi="宋体"/>
          <w:sz w:val="24"/>
          <w:szCs w:val="24"/>
        </w:rPr>
      </w:pPr>
      <w:r>
        <w:rPr>
          <w:rFonts w:hint="eastAsia" w:hAnsi="宋体"/>
          <w:sz w:val="24"/>
          <w:szCs w:val="24"/>
        </w:rPr>
        <w:t>7、投标人开展委托检验，不得有以下行</w:t>
      </w:r>
      <w:r>
        <w:rPr>
          <w:rFonts w:hint="eastAsia" w:hAnsi="宋体"/>
          <w:b w:val="0"/>
          <w:bCs w:val="0"/>
          <w:color w:val="auto"/>
          <w:sz w:val="24"/>
          <w:szCs w:val="24"/>
        </w:rPr>
        <w:t>为（要求提供承诺函）：</w:t>
      </w:r>
    </w:p>
    <w:p w14:paraId="16A56871">
      <w:pPr>
        <w:pStyle w:val="3"/>
        <w:snapToGrid w:val="0"/>
        <w:spacing w:line="360" w:lineRule="auto"/>
        <w:rPr>
          <w:rFonts w:hint="eastAsia" w:hAnsi="宋体"/>
          <w:sz w:val="24"/>
          <w:szCs w:val="24"/>
        </w:rPr>
      </w:pPr>
      <w:r>
        <w:rPr>
          <w:rFonts w:hint="eastAsia" w:hAnsi="宋体"/>
          <w:sz w:val="24"/>
          <w:szCs w:val="24"/>
        </w:rPr>
        <w:t>7.1、超资质认定范围开展委托检验工作，超资质认定范围使用资质认定标识；</w:t>
      </w:r>
    </w:p>
    <w:p w14:paraId="770AAFCA">
      <w:pPr>
        <w:pStyle w:val="3"/>
        <w:snapToGrid w:val="0"/>
        <w:spacing w:line="360" w:lineRule="auto"/>
        <w:rPr>
          <w:rFonts w:hint="eastAsia" w:hAnsi="宋体"/>
          <w:sz w:val="24"/>
          <w:szCs w:val="24"/>
        </w:rPr>
      </w:pPr>
      <w:r>
        <w:rPr>
          <w:rFonts w:hint="eastAsia" w:hAnsi="宋体"/>
          <w:sz w:val="24"/>
          <w:szCs w:val="24"/>
        </w:rPr>
        <w:t>7.2、伪造数据，出具虚假检验结果；</w:t>
      </w:r>
    </w:p>
    <w:p w14:paraId="382C6D6C">
      <w:pPr>
        <w:pStyle w:val="3"/>
        <w:snapToGrid w:val="0"/>
        <w:spacing w:line="360" w:lineRule="auto"/>
        <w:rPr>
          <w:rFonts w:hint="eastAsia" w:hAnsi="宋体"/>
          <w:sz w:val="24"/>
          <w:szCs w:val="24"/>
        </w:rPr>
      </w:pPr>
      <w:r>
        <w:rPr>
          <w:rFonts w:hint="eastAsia" w:hAnsi="宋体"/>
          <w:sz w:val="24"/>
          <w:szCs w:val="24"/>
        </w:rPr>
        <w:t>7.3、泄露委托方技术秘密、商业秘密；</w:t>
      </w:r>
    </w:p>
    <w:p w14:paraId="17E5728C">
      <w:pPr>
        <w:pStyle w:val="3"/>
        <w:snapToGrid w:val="0"/>
        <w:spacing w:line="360" w:lineRule="auto"/>
        <w:rPr>
          <w:rFonts w:hint="eastAsia" w:hAnsi="宋体"/>
          <w:sz w:val="24"/>
          <w:szCs w:val="24"/>
        </w:rPr>
      </w:pPr>
      <w:r>
        <w:rPr>
          <w:rFonts w:hint="eastAsia" w:hAnsi="宋体"/>
          <w:sz w:val="24"/>
          <w:szCs w:val="24"/>
        </w:rPr>
        <w:t>7.4、其他违反法律、法规和规章的行为；</w:t>
      </w:r>
    </w:p>
    <w:p w14:paraId="29169FF3">
      <w:pPr>
        <w:pStyle w:val="3"/>
        <w:snapToGrid w:val="0"/>
        <w:spacing w:line="360" w:lineRule="auto"/>
        <w:rPr>
          <w:rFonts w:hint="eastAsia" w:hAnsi="宋体"/>
          <w:sz w:val="24"/>
          <w:szCs w:val="24"/>
        </w:rPr>
      </w:pPr>
      <w:r>
        <w:rPr>
          <w:rFonts w:hint="eastAsia" w:hAnsi="宋体"/>
          <w:sz w:val="24"/>
          <w:szCs w:val="24"/>
        </w:rPr>
        <w:t>7.5、严禁违反《医疗机构工作人员廉洁从业九项准则》，给医务人员谋取不正当利益；</w:t>
      </w:r>
    </w:p>
    <w:p w14:paraId="5A7E92E8">
      <w:pPr>
        <w:pStyle w:val="3"/>
        <w:snapToGrid w:val="0"/>
        <w:spacing w:line="360" w:lineRule="auto"/>
        <w:rPr>
          <w:rFonts w:hAnsi="宋体"/>
          <w:sz w:val="24"/>
          <w:szCs w:val="24"/>
        </w:rPr>
      </w:pPr>
      <w:r>
        <w:rPr>
          <w:rFonts w:hint="eastAsia" w:hAnsi="宋体"/>
          <w:sz w:val="24"/>
          <w:szCs w:val="24"/>
        </w:rPr>
        <w:t>7.6、有检测样本需经过医院指定科室送检，投标人不得直接面向患者开展样本采集和送检服务。</w:t>
      </w:r>
    </w:p>
    <w:p w14:paraId="167DE7F8">
      <w:pPr>
        <w:pStyle w:val="3"/>
        <w:snapToGrid w:val="0"/>
        <w:spacing w:line="360" w:lineRule="auto"/>
        <w:rPr>
          <w:rFonts w:hint="eastAsia" w:hAnsi="宋体"/>
          <w:b w:val="0"/>
          <w:bCs w:val="0"/>
          <w:color w:val="auto"/>
          <w:sz w:val="24"/>
          <w:szCs w:val="24"/>
        </w:rPr>
      </w:pPr>
      <w:r>
        <w:rPr>
          <w:rFonts w:hint="eastAsia" w:hAnsi="宋体"/>
          <w:b w:val="0"/>
          <w:bCs w:val="0"/>
          <w:color w:val="auto"/>
          <w:sz w:val="24"/>
          <w:szCs w:val="24"/>
        </w:rPr>
        <w:t>8、投标人应具有符合项目开展要求的实验室场地，并提供房屋租赁合同或产权证明。</w:t>
      </w:r>
    </w:p>
    <w:p w14:paraId="41B7E6C6">
      <w:pPr>
        <w:pStyle w:val="3"/>
        <w:snapToGrid w:val="0"/>
        <w:spacing w:line="360" w:lineRule="auto"/>
        <w:rPr>
          <w:rFonts w:hint="eastAsia" w:hAnsi="宋体"/>
          <w:b/>
          <w:bCs/>
          <w:sz w:val="24"/>
          <w:szCs w:val="24"/>
        </w:rPr>
      </w:pPr>
      <w:r>
        <w:rPr>
          <w:rFonts w:hint="eastAsia" w:hAnsi="宋体"/>
          <w:b/>
          <w:bCs/>
          <w:sz w:val="24"/>
          <w:szCs w:val="24"/>
        </w:rPr>
        <w:t>三、技术要求</w:t>
      </w:r>
    </w:p>
    <w:p w14:paraId="7E528AB7">
      <w:pPr>
        <w:pStyle w:val="3"/>
        <w:snapToGrid w:val="0"/>
        <w:spacing w:line="360" w:lineRule="auto"/>
        <w:rPr>
          <w:rFonts w:hAnsi="宋体"/>
          <w:sz w:val="24"/>
          <w:szCs w:val="24"/>
        </w:rPr>
      </w:pPr>
      <w:r>
        <w:rPr>
          <w:rFonts w:hint="eastAsia" w:hAnsi="宋体"/>
          <w:sz w:val="24"/>
          <w:szCs w:val="24"/>
        </w:rPr>
        <w:t>1、投标人应使用具有有效的医疗器械注册证的飞行时间核酸质谱设备为本项目提供检测服务，符合国家相关规定。要求提供设施设备清单等证明。</w:t>
      </w:r>
    </w:p>
    <w:p w14:paraId="7EFB24C6">
      <w:pPr>
        <w:pStyle w:val="3"/>
        <w:snapToGrid w:val="0"/>
        <w:spacing w:line="360" w:lineRule="auto"/>
        <w:rPr>
          <w:rFonts w:hint="eastAsia" w:hAnsi="宋体"/>
          <w:color w:val="auto"/>
          <w:sz w:val="24"/>
          <w:szCs w:val="24"/>
          <w:highlight w:val="none"/>
        </w:rPr>
      </w:pPr>
      <w:r>
        <w:rPr>
          <w:rFonts w:hint="eastAsia" w:hAnsi="宋体"/>
          <w:color w:val="auto"/>
          <w:sz w:val="24"/>
          <w:szCs w:val="24"/>
          <w:highlight w:val="none"/>
        </w:rPr>
        <w:t>2、投标人应使用具有有效的医疗器械注册证的核酸质谱配套试剂为本项目提供检测服务，符合国家相关规定。检测范围包含但不限于精神类用药、心血管类用药、免疫抑制剂类、易感基因类、肿瘤类、妇幼类，提供配套试剂注册证或备案凭证。</w:t>
      </w:r>
    </w:p>
    <w:p w14:paraId="69A3F12B">
      <w:pPr>
        <w:pStyle w:val="3"/>
        <w:snapToGrid w:val="0"/>
        <w:spacing w:line="360" w:lineRule="auto"/>
        <w:rPr>
          <w:rFonts w:hint="eastAsia" w:hAnsi="宋体"/>
          <w:color w:val="auto"/>
          <w:sz w:val="24"/>
          <w:szCs w:val="24"/>
          <w:highlight w:val="none"/>
        </w:rPr>
      </w:pPr>
      <w:r>
        <w:rPr>
          <w:rFonts w:hint="eastAsia" w:hAnsi="宋体"/>
          <w:color w:val="auto"/>
          <w:sz w:val="24"/>
          <w:szCs w:val="24"/>
          <w:highlight w:val="none"/>
        </w:rPr>
        <w:t>3、本项目采用方法学要求为飞行时间核酸质谱法，通过检测碱基质量的差别（最小能分辨≤16Dal）对基因进行直接的分析分型，不依靠数据库比对。</w:t>
      </w:r>
      <w:r>
        <w:rPr>
          <w:rFonts w:hint="eastAsia"/>
          <w:color w:val="auto"/>
          <w:sz w:val="24"/>
          <w:highlight w:val="none"/>
        </w:rPr>
        <w:t>投标人开展检测项目至少包含遗传性易栓症基因检测、心血管疾病合理用药基因检测、注意力缺陷多动障碍用药基因检测项目。</w:t>
      </w:r>
    </w:p>
    <w:p w14:paraId="55D71292">
      <w:pPr>
        <w:pStyle w:val="3"/>
        <w:snapToGrid w:val="0"/>
        <w:spacing w:line="360" w:lineRule="auto"/>
        <w:rPr>
          <w:rFonts w:hint="eastAsia" w:hAnsi="宋体"/>
          <w:sz w:val="24"/>
          <w:szCs w:val="24"/>
        </w:rPr>
      </w:pPr>
      <w:r>
        <w:rPr>
          <w:rFonts w:hint="eastAsia" w:hAnsi="宋体"/>
          <w:sz w:val="24"/>
          <w:szCs w:val="24"/>
        </w:rPr>
        <w:t>4、投标人应具有专门标本接收操作制度，需配备经专业培训合格的样本接收人员，确保医疗标本运输安全。接收人员应严格按照相关制度进行作业，降低生物危害风险。</w:t>
      </w:r>
    </w:p>
    <w:p w14:paraId="1915B15E">
      <w:pPr>
        <w:pStyle w:val="3"/>
        <w:snapToGrid w:val="0"/>
        <w:spacing w:line="360" w:lineRule="auto"/>
        <w:rPr>
          <w:rFonts w:hint="eastAsia" w:hAnsi="宋体"/>
          <w:sz w:val="24"/>
          <w:szCs w:val="24"/>
        </w:rPr>
      </w:pPr>
      <w:r>
        <w:rPr>
          <w:rFonts w:hint="eastAsia" w:hAnsi="宋体"/>
          <w:sz w:val="24"/>
          <w:szCs w:val="24"/>
        </w:rPr>
        <w:t>5、投标人应配备专业样本接收箱，提供符合样本运输及保存要求的标本接收箱作为接收、周转的标本存放工具。可保证冷藏温度运输要求，同时设有温度监视装置，实时监测箱内温度，保证样本检测前的运输质量控制。</w:t>
      </w:r>
    </w:p>
    <w:p w14:paraId="2CA4856F">
      <w:pPr>
        <w:pStyle w:val="3"/>
        <w:snapToGrid w:val="0"/>
        <w:spacing w:line="360" w:lineRule="auto"/>
        <w:rPr>
          <w:rFonts w:hAnsi="宋体"/>
          <w:sz w:val="24"/>
          <w:szCs w:val="24"/>
        </w:rPr>
      </w:pPr>
      <w:r>
        <w:rPr>
          <w:rFonts w:hint="eastAsia" w:hAnsi="宋体"/>
          <w:sz w:val="24"/>
          <w:szCs w:val="24"/>
        </w:rPr>
        <w:t>6、投标人应配备样本运输车辆，提供冷链物流，要求安排专车上门收取标本，全程冷链运输。投标人应具有《医学检验生物样本冷链物流运作规范》国家标准试点企业资质，并提供有效的《道路运输经营许可证》；如投标人委托第三方物</w:t>
      </w:r>
      <w:r>
        <w:rPr>
          <w:rFonts w:hint="eastAsia" w:hAnsi="宋体"/>
          <w:color w:val="auto"/>
          <w:sz w:val="24"/>
          <w:szCs w:val="24"/>
        </w:rPr>
        <w:t>流单位提供运输服务，则需提供第三方物流单位的《道路运输经营许可证》及委托协议书。</w:t>
      </w:r>
    </w:p>
    <w:p w14:paraId="2188FD04">
      <w:pPr>
        <w:pStyle w:val="3"/>
        <w:snapToGrid w:val="0"/>
        <w:spacing w:line="360" w:lineRule="auto"/>
        <w:rPr>
          <w:rFonts w:hAnsi="宋体"/>
          <w:color w:val="FF0000"/>
          <w:sz w:val="24"/>
          <w:szCs w:val="24"/>
        </w:rPr>
      </w:pPr>
      <w:r>
        <w:rPr>
          <w:rFonts w:hint="eastAsia" w:hAnsi="宋体"/>
          <w:sz w:val="24"/>
          <w:szCs w:val="24"/>
        </w:rPr>
        <w:t>7、标本接收操作服务频次：确保每周7天安排专车专人收集；当招标人出现加</w:t>
      </w:r>
      <w:r>
        <w:rPr>
          <w:rFonts w:hint="eastAsia" w:hAnsi="宋体"/>
          <w:color w:val="auto"/>
          <w:sz w:val="24"/>
          <w:szCs w:val="24"/>
        </w:rPr>
        <w:t>急样本需要运输时，投标人需在2小时内上门收取样本。投标人应做好样本的保管、标识及运送，且应将标本直接送达实验室，无中间交接环节。</w:t>
      </w:r>
    </w:p>
    <w:p w14:paraId="2C667D27">
      <w:pPr>
        <w:pStyle w:val="3"/>
        <w:snapToGrid w:val="0"/>
        <w:spacing w:line="360" w:lineRule="auto"/>
        <w:rPr>
          <w:rFonts w:hint="eastAsia" w:hAnsi="宋体"/>
          <w:b w:val="0"/>
          <w:bCs w:val="0"/>
          <w:color w:val="auto"/>
          <w:sz w:val="24"/>
          <w:szCs w:val="24"/>
        </w:rPr>
      </w:pPr>
      <w:r>
        <w:rPr>
          <w:rFonts w:hint="eastAsia" w:hAnsi="宋体"/>
          <w:sz w:val="24"/>
          <w:szCs w:val="24"/>
        </w:rPr>
        <w:t>8、投标人针对本项目</w:t>
      </w:r>
      <w:r>
        <w:rPr>
          <w:rFonts w:hint="eastAsia" w:hAnsi="宋体"/>
          <w:sz w:val="24"/>
          <w:szCs w:val="24"/>
          <w:lang w:val="en-US" w:eastAsia="zh-CN"/>
        </w:rPr>
        <w:t>自用</w:t>
      </w:r>
      <w:r>
        <w:rPr>
          <w:rFonts w:hint="eastAsia" w:hAnsi="宋体"/>
          <w:sz w:val="24"/>
          <w:szCs w:val="24"/>
        </w:rPr>
        <w:t>的实验室LIMS等系统要求通过公安机关三级信息系统安全等级保护备案；支持检测结果数据回传至医院信息系统，实现LIS端口双向对接，报告和结构化数据回传，基因类应按照申康中心《医联工程数据交换接口规范》v.5.1.3要求检测报告数据统一上传，提供原始数据储存方案。</w:t>
      </w:r>
      <w:r>
        <w:rPr>
          <w:rFonts w:hint="eastAsia" w:hAnsi="宋体"/>
          <w:b w:val="0"/>
          <w:bCs w:val="0"/>
          <w:color w:val="auto"/>
          <w:sz w:val="24"/>
          <w:szCs w:val="24"/>
        </w:rPr>
        <w:t>上述系统要求与医院相关系统进行数据对接。</w:t>
      </w:r>
    </w:p>
    <w:p w14:paraId="465907CA">
      <w:pPr>
        <w:pStyle w:val="3"/>
        <w:snapToGrid w:val="0"/>
        <w:spacing w:line="360" w:lineRule="auto"/>
        <w:rPr>
          <w:rFonts w:hint="eastAsia" w:hAnsi="宋体"/>
          <w:color w:val="auto"/>
          <w:sz w:val="24"/>
          <w:szCs w:val="24"/>
        </w:rPr>
      </w:pPr>
      <w:r>
        <w:rPr>
          <w:rFonts w:hint="eastAsia" w:hAnsi="宋体"/>
          <w:color w:val="auto"/>
          <w:sz w:val="24"/>
          <w:szCs w:val="24"/>
        </w:rPr>
        <w:t>9、</w:t>
      </w:r>
      <w:r>
        <w:rPr>
          <w:rFonts w:hAnsi="宋体" w:cs="宋体"/>
          <w:color w:val="auto"/>
          <w:sz w:val="24"/>
          <w:szCs w:val="24"/>
          <w:lang w:bidi="ar"/>
        </w:rPr>
        <w:t>投标人</w:t>
      </w:r>
      <w:r>
        <w:rPr>
          <w:rFonts w:hint="eastAsia" w:hAnsi="宋体" w:cs="宋体"/>
          <w:color w:val="auto"/>
          <w:sz w:val="24"/>
          <w:szCs w:val="24"/>
          <w:lang w:bidi="ar"/>
        </w:rPr>
        <w:t>须就院方</w:t>
      </w:r>
      <w:r>
        <w:rPr>
          <w:rFonts w:hAnsi="宋体" w:cs="宋体"/>
          <w:color w:val="auto"/>
          <w:sz w:val="24"/>
          <w:szCs w:val="24"/>
          <w:lang w:bidi="ar"/>
        </w:rPr>
        <w:t>飞行时间核酸质谱实验室建设、运营和管理方面</w:t>
      </w:r>
      <w:r>
        <w:rPr>
          <w:rFonts w:hint="eastAsia" w:hAnsi="宋体" w:cs="宋体"/>
          <w:color w:val="auto"/>
          <w:sz w:val="24"/>
          <w:szCs w:val="24"/>
          <w:lang w:bidi="ar"/>
        </w:rPr>
        <w:t>提供</w:t>
      </w:r>
      <w:r>
        <w:rPr>
          <w:rFonts w:hAnsi="宋体" w:cs="宋体"/>
          <w:color w:val="auto"/>
          <w:sz w:val="24"/>
          <w:szCs w:val="24"/>
          <w:lang w:bidi="ar"/>
        </w:rPr>
        <w:t>指导</w:t>
      </w:r>
      <w:r>
        <w:rPr>
          <w:rFonts w:hint="eastAsia" w:hAnsi="宋体" w:cs="宋体"/>
          <w:color w:val="auto"/>
          <w:sz w:val="24"/>
          <w:szCs w:val="24"/>
          <w:lang w:bidi="ar"/>
        </w:rPr>
        <w:t>性意见</w:t>
      </w:r>
      <w:r>
        <w:rPr>
          <w:rFonts w:hAnsi="宋体" w:cs="宋体"/>
          <w:color w:val="auto"/>
          <w:sz w:val="24"/>
          <w:szCs w:val="24"/>
          <w:lang w:bidi="ar"/>
        </w:rPr>
        <w:t>和协助</w:t>
      </w:r>
      <w:r>
        <w:rPr>
          <w:rFonts w:hint="eastAsia" w:hAnsi="宋体" w:cs="宋体"/>
          <w:color w:val="auto"/>
          <w:sz w:val="24"/>
          <w:szCs w:val="24"/>
          <w:lang w:bidi="ar"/>
        </w:rPr>
        <w:t>、相关</w:t>
      </w:r>
      <w:r>
        <w:rPr>
          <w:rFonts w:hAnsi="宋体" w:cs="宋体"/>
          <w:color w:val="auto"/>
          <w:sz w:val="24"/>
          <w:szCs w:val="24"/>
          <w:lang w:bidi="ar"/>
        </w:rPr>
        <w:t>学术支持</w:t>
      </w:r>
      <w:r>
        <w:rPr>
          <w:rFonts w:hint="eastAsia" w:hAnsi="宋体" w:cs="宋体"/>
          <w:color w:val="auto"/>
          <w:sz w:val="24"/>
          <w:szCs w:val="24"/>
          <w:lang w:bidi="ar"/>
        </w:rPr>
        <w:t>等。</w:t>
      </w:r>
    </w:p>
    <w:p w14:paraId="14D7C003">
      <w:pPr>
        <w:pStyle w:val="3"/>
        <w:snapToGrid w:val="0"/>
        <w:spacing w:line="360" w:lineRule="auto"/>
        <w:rPr>
          <w:rFonts w:hAnsi="宋体"/>
          <w:b/>
          <w:color w:val="auto"/>
          <w:sz w:val="24"/>
          <w:szCs w:val="24"/>
        </w:rPr>
      </w:pPr>
      <w:r>
        <w:rPr>
          <w:rFonts w:hint="eastAsia" w:hAnsi="宋体"/>
          <w:b/>
          <w:color w:val="auto"/>
          <w:sz w:val="24"/>
          <w:szCs w:val="24"/>
        </w:rPr>
        <w:t>四、报价方式</w:t>
      </w:r>
    </w:p>
    <w:p w14:paraId="2A3FB736">
      <w:pPr>
        <w:pStyle w:val="3"/>
        <w:snapToGrid w:val="0"/>
        <w:spacing w:line="360" w:lineRule="auto"/>
        <w:rPr>
          <w:rFonts w:hint="eastAsia" w:hAnsi="宋体"/>
          <w:bCs/>
          <w:color w:val="auto"/>
          <w:sz w:val="24"/>
          <w:szCs w:val="24"/>
        </w:rPr>
      </w:pPr>
      <w:r>
        <w:rPr>
          <w:rFonts w:hint="eastAsia" w:hAnsi="宋体"/>
          <w:bCs/>
          <w:color w:val="auto"/>
          <w:sz w:val="24"/>
          <w:szCs w:val="24"/>
        </w:rPr>
        <w:t>投标人须根据上海市物价收费定价明确本项目统一折扣率。</w:t>
      </w:r>
    </w:p>
    <w:p w14:paraId="229055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C0893"/>
    <w:rsid w:val="6AEC0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pPr>
      <w:adjustRightInd w:val="0"/>
      <w:textAlignment w:val="baseline"/>
    </w:pPr>
    <w:rPr>
      <w:rFonts w:ascii="宋体" w:hAnsi="Courier New"/>
      <w:szCs w:val="20"/>
    </w:rPr>
  </w:style>
  <w:style w:type="paragraph" w:styleId="4">
    <w:name w:val="footer"/>
    <w:basedOn w:val="1"/>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uiPriority w:val="0"/>
  </w:style>
  <w:style w:type="character" w:styleId="9">
    <w:name w:val="annotation reference"/>
    <w:qFormat/>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15</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2024-11-15T13:06:00Z</dcterms:created>
  <dc:creator>杨俐君</dc:creator>
  <cp:lastModifiedBy>杨俐君</cp:lastModifiedBy>
  <dcterms:modified xsi:type="dcterms:W3CDTF">2024-11-15T13:22:16Z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12259AF1FABF42F79F4FD10419D9E2DF_11</vt:lpwstr>
  </property>
</Properties>
</file>