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3446E">
      <w:pPr>
        <w:spacing w:line="360" w:lineRule="auto"/>
        <w:ind w:firstLine="482" w:firstLineChars="200"/>
        <w:rPr>
          <w:rFonts w:hint="default" w:ascii="宋体" w:hAnsi="宋体" w:eastAsia="宋体"/>
          <w:spacing w:val="-1"/>
          <w:lang w:val="en-US" w:eastAsia="zh-CN"/>
        </w:rPr>
      </w:pPr>
      <w:r>
        <w:rPr>
          <w:rFonts w:hint="eastAsia" w:ascii="宋体" w:hAnsi="宋体"/>
          <w:b/>
          <w:lang w:val="en-US" w:eastAsia="zh-CN"/>
        </w:rPr>
        <w:t>一、项目概况：</w:t>
      </w:r>
    </w:p>
    <w:p w14:paraId="779BC48E">
      <w:pPr>
        <w:spacing w:line="360" w:lineRule="auto"/>
        <w:ind w:firstLine="476" w:firstLineChars="200"/>
        <w:rPr>
          <w:rFonts w:ascii="宋体" w:hAnsi="宋体"/>
        </w:rPr>
      </w:pPr>
      <w:r>
        <w:rPr>
          <w:rFonts w:hint="eastAsia" w:ascii="宋体" w:hAnsi="宋体"/>
          <w:spacing w:val="-1"/>
        </w:rPr>
        <w:t>1</w:t>
      </w:r>
      <w:r>
        <w:rPr>
          <w:rFonts w:ascii="宋体" w:hAnsi="宋体"/>
          <w:spacing w:val="-1"/>
        </w:rPr>
        <w:t>.</w:t>
      </w:r>
      <w:r>
        <w:rPr>
          <w:rFonts w:hint="eastAsia" w:ascii="宋体" w:hAnsi="宋体"/>
          <w:spacing w:val="-1"/>
        </w:rPr>
        <w:t>服务期限</w:t>
      </w:r>
      <w:bookmarkStart w:id="0" w:name="_GoBack"/>
      <w:r>
        <w:rPr>
          <w:rFonts w:hint="eastAsia" w:ascii="宋体" w:hAnsi="宋体"/>
          <w:spacing w:val="-1"/>
        </w:rPr>
        <w:t>（合同</w:t>
      </w:r>
      <w:r>
        <w:rPr>
          <w:rFonts w:ascii="宋体" w:hAnsi="宋体"/>
          <w:spacing w:val="-1"/>
        </w:rPr>
        <w:t>履约期限）</w:t>
      </w:r>
      <w:bookmarkEnd w:id="0"/>
      <w:r>
        <w:rPr>
          <w:rFonts w:hint="eastAsia" w:ascii="宋体" w:hAnsi="宋体"/>
          <w:spacing w:val="-1"/>
        </w:rPr>
        <w:t>：自合同签订之日起</w:t>
      </w:r>
      <w:r>
        <w:rPr>
          <w:rFonts w:ascii="宋体" w:hAnsi="宋体" w:cs="宋体"/>
        </w:rPr>
        <w:t>3年，合同一年一签，招标人每年对中标人进行考核评价，考核合格，可续签下一年合同。</w:t>
      </w:r>
    </w:p>
    <w:p w14:paraId="064A797F">
      <w:pPr>
        <w:spacing w:line="360" w:lineRule="auto"/>
        <w:ind w:firstLine="476" w:firstLineChars="200"/>
        <w:rPr>
          <w:rFonts w:hint="default" w:ascii="宋体" w:hAnsi="宋体" w:eastAsia="宋体" w:cs="Arial"/>
          <w:lang w:val="en-US" w:eastAsia="zh-CN"/>
        </w:rPr>
      </w:pPr>
      <w:r>
        <w:rPr>
          <w:rFonts w:hint="eastAsia" w:ascii="宋体" w:hAnsi="宋体"/>
          <w:spacing w:val="-1"/>
        </w:rPr>
        <w:t>2</w:t>
      </w:r>
      <w:r>
        <w:rPr>
          <w:rFonts w:ascii="宋体" w:hAnsi="宋体"/>
          <w:spacing w:val="-1"/>
        </w:rPr>
        <w:t>.</w:t>
      </w:r>
      <w:r>
        <w:rPr>
          <w:rFonts w:hint="eastAsia" w:ascii="宋体" w:hAnsi="宋体"/>
          <w:spacing w:val="-1"/>
        </w:rPr>
        <w:t>服务地点（合同</w:t>
      </w:r>
      <w:r>
        <w:rPr>
          <w:rFonts w:ascii="宋体" w:hAnsi="宋体"/>
          <w:spacing w:val="-1"/>
        </w:rPr>
        <w:t>履约</w:t>
      </w:r>
      <w:r>
        <w:rPr>
          <w:rFonts w:hint="eastAsia" w:ascii="宋体" w:hAnsi="宋体"/>
          <w:spacing w:val="-1"/>
        </w:rPr>
        <w:t>地点</w:t>
      </w:r>
      <w:r>
        <w:rPr>
          <w:rFonts w:ascii="宋体" w:hAnsi="宋体"/>
          <w:spacing w:val="-1"/>
        </w:rPr>
        <w:t>）</w:t>
      </w:r>
      <w:r>
        <w:rPr>
          <w:rFonts w:hint="eastAsia" w:ascii="宋体" w:hAnsi="宋体"/>
          <w:spacing w:val="-1"/>
        </w:rPr>
        <w:t>：</w:t>
      </w:r>
      <w:r>
        <w:rPr>
          <w:rFonts w:hint="eastAsia" w:ascii="宋体" w:hAnsi="宋体" w:cs="Arial"/>
          <w:lang w:val="en-US" w:eastAsia="zh-CN"/>
        </w:rPr>
        <w:t>采购人指定地点</w:t>
      </w:r>
    </w:p>
    <w:p w14:paraId="15B05C6C">
      <w:pPr>
        <w:spacing w:line="360" w:lineRule="auto"/>
        <w:ind w:firstLine="480" w:firstLineChars="200"/>
        <w:rPr>
          <w:rFonts w:ascii="宋体" w:hAnsi="宋体"/>
          <w:b/>
        </w:rPr>
      </w:pPr>
      <w:r>
        <w:rPr>
          <w:rFonts w:hint="eastAsia" w:ascii="宋体" w:hAnsi="宋体" w:cs="Arial"/>
        </w:rPr>
        <w:t>3</w:t>
      </w:r>
      <w:r>
        <w:rPr>
          <w:rFonts w:ascii="宋体" w:hAnsi="宋体" w:cs="Arial"/>
        </w:rPr>
        <w:t>.</w:t>
      </w:r>
      <w:r>
        <w:rPr>
          <w:rFonts w:hint="eastAsia" w:ascii="宋体" w:hAnsi="宋体" w:cs="Arial"/>
        </w:rPr>
        <w:t>付款方式：双方按实际检测样本量结算。收到采购人样本，并按要求完成检测后，每月初统计上个月完成检测的样本量，并交采购人确认无误后按采购人要求开具增值税普通发票。</w:t>
      </w:r>
    </w:p>
    <w:p w14:paraId="668F9705">
      <w:pPr>
        <w:adjustRightInd w:val="0"/>
        <w:snapToGrid w:val="0"/>
        <w:spacing w:line="360" w:lineRule="auto"/>
        <w:ind w:firstLine="482" w:firstLineChars="200"/>
        <w:rPr>
          <w:rFonts w:hint="eastAsia" w:ascii="宋体" w:hAnsi="宋体"/>
        </w:rPr>
      </w:pPr>
      <w:r>
        <w:rPr>
          <w:rFonts w:hint="eastAsia" w:ascii="宋体" w:hAnsi="宋体"/>
          <w:b/>
          <w:lang w:val="en-US" w:eastAsia="zh-CN"/>
        </w:rPr>
        <w:t>二</w:t>
      </w:r>
      <w:r>
        <w:rPr>
          <w:rFonts w:ascii="宋体" w:hAnsi="宋体"/>
          <w:b/>
        </w:rPr>
        <w:t>、</w:t>
      </w:r>
      <w:r>
        <w:rPr>
          <w:rFonts w:hint="eastAsia" w:ascii="宋体" w:hAnsi="宋体"/>
          <w:b/>
        </w:rPr>
        <w:t>总体要求</w:t>
      </w:r>
    </w:p>
    <w:p w14:paraId="227DE8BB">
      <w:pPr>
        <w:adjustRightInd w:val="0"/>
        <w:snapToGrid w:val="0"/>
        <w:spacing w:line="360" w:lineRule="auto"/>
        <w:ind w:firstLine="480" w:firstLineChars="200"/>
        <w:rPr>
          <w:rFonts w:hint="eastAsia" w:ascii="宋体" w:hAnsi="宋体"/>
        </w:rPr>
      </w:pPr>
      <w:r>
        <w:rPr>
          <w:rFonts w:hint="eastAsia" w:ascii="宋体" w:hAnsi="宋体"/>
        </w:rPr>
        <w:t>1.以下</w:t>
      </w:r>
      <w:r>
        <w:rPr>
          <w:rFonts w:hint="eastAsia" w:ascii="宋体" w:hAnsi="宋体"/>
          <w:lang w:eastAsia="zh-CN"/>
        </w:rPr>
        <w:t>“</w:t>
      </w:r>
      <w:r>
        <w:rPr>
          <w:rFonts w:hint="eastAsia" w:ascii="宋体" w:hAnsi="宋体" w:cs="宋体"/>
          <w:szCs w:val="21"/>
        </w:rPr>
        <w:t>★</w:t>
      </w:r>
      <w:r>
        <w:rPr>
          <w:rFonts w:hint="eastAsia" w:ascii="宋体" w:hAnsi="宋体"/>
          <w:lang w:eastAsia="zh-CN"/>
        </w:rPr>
        <w:t>”</w:t>
      </w:r>
      <w:r>
        <w:rPr>
          <w:rFonts w:hint="eastAsia" w:ascii="宋体" w:hAnsi="宋体"/>
        </w:rPr>
        <w:t>条款均需提供承诺函</w:t>
      </w:r>
    </w:p>
    <w:p w14:paraId="2A3EA705">
      <w:pPr>
        <w:adjustRightInd w:val="0"/>
        <w:snapToGrid w:val="0"/>
        <w:spacing w:line="360" w:lineRule="auto"/>
        <w:ind w:firstLine="480" w:firstLineChars="200"/>
        <w:rPr>
          <w:rFonts w:hint="eastAsia" w:ascii="宋体" w:hAnsi="宋体"/>
        </w:rPr>
      </w:pPr>
      <w:r>
        <w:rPr>
          <w:rFonts w:hint="eastAsia" w:ascii="宋体" w:hAnsi="宋体" w:cs="宋体"/>
          <w:szCs w:val="21"/>
        </w:rPr>
        <w:t>★</w:t>
      </w:r>
      <w:r>
        <w:rPr>
          <w:rFonts w:hint="eastAsia" w:ascii="宋体" w:hAnsi="宋体"/>
          <w:color w:val="auto"/>
        </w:rPr>
        <w:t>1.1.投标人提供</w:t>
      </w:r>
      <w:r>
        <w:rPr>
          <w:rFonts w:hint="eastAsia" w:ascii="宋体" w:hAnsi="宋体"/>
        </w:rPr>
        <w:t>《诊断项目总汇》中的</w:t>
      </w:r>
      <w:r>
        <w:rPr>
          <w:rFonts w:hint="eastAsia" w:ascii="宋体" w:hAnsi="宋体"/>
          <w:color w:val="auto"/>
        </w:rPr>
        <w:t>检测项目</w:t>
      </w:r>
      <w:r>
        <w:rPr>
          <w:rFonts w:hint="eastAsia" w:ascii="宋体" w:hAnsi="宋体"/>
        </w:rPr>
        <w:t>清单</w:t>
      </w:r>
      <w:r>
        <w:rPr>
          <w:rFonts w:hint="eastAsia" w:ascii="宋体" w:hAnsi="宋体"/>
          <w:color w:val="auto"/>
        </w:rPr>
        <w:t>，确保满足临床诊疗需求；</w:t>
      </w:r>
    </w:p>
    <w:p w14:paraId="73BA99C1">
      <w:pPr>
        <w:adjustRightInd w:val="0"/>
        <w:snapToGrid w:val="0"/>
        <w:spacing w:line="360" w:lineRule="auto"/>
        <w:ind w:firstLine="480" w:firstLineChars="200"/>
        <w:rPr>
          <w:rFonts w:hint="eastAsia" w:ascii="宋体" w:hAnsi="宋体"/>
        </w:rPr>
      </w:pPr>
      <w:r>
        <w:rPr>
          <w:rFonts w:hint="eastAsia" w:ascii="宋体" w:hAnsi="宋体" w:cs="宋体"/>
          <w:szCs w:val="21"/>
        </w:rPr>
        <w:t>★</w:t>
      </w:r>
      <w:r>
        <w:rPr>
          <w:rFonts w:hint="eastAsia" w:ascii="宋体" w:hAnsi="宋体"/>
          <w:color w:val="auto"/>
        </w:rPr>
        <w:t>1.2.若因相关政策引起的项目价格调整，原则上按同等比例进行成本调整；</w:t>
      </w:r>
    </w:p>
    <w:p w14:paraId="66F1D017">
      <w:pPr>
        <w:adjustRightInd w:val="0"/>
        <w:snapToGrid w:val="0"/>
        <w:spacing w:line="360" w:lineRule="auto"/>
        <w:ind w:firstLine="480" w:firstLineChars="200"/>
        <w:rPr>
          <w:rFonts w:hint="eastAsia" w:ascii="宋体" w:hAnsi="宋体"/>
        </w:rPr>
      </w:pPr>
      <w:r>
        <w:rPr>
          <w:rFonts w:hint="eastAsia" w:ascii="宋体" w:hAnsi="宋体"/>
        </w:rPr>
        <w:t>1.3.投标人需具备执业资质，且定期提供相应资质供医院进行审查，且签订外送服务合作协议，明确检测样本的采集、运输、报告审核、检测结果反馈、权益分配、生物安全风险防范、人类遗传资源规范管理等方面的双方权责，并必须严格遵守相关法律法规。被委托机构不得二次委托；</w:t>
      </w:r>
    </w:p>
    <w:p w14:paraId="1FAB071C">
      <w:pPr>
        <w:adjustRightInd w:val="0"/>
        <w:snapToGrid w:val="0"/>
        <w:spacing w:line="360" w:lineRule="auto"/>
        <w:ind w:firstLine="480" w:firstLineChars="200"/>
        <w:rPr>
          <w:rFonts w:hint="eastAsia" w:ascii="宋体" w:hAnsi="宋体"/>
        </w:rPr>
      </w:pPr>
      <w:r>
        <w:rPr>
          <w:rFonts w:hint="eastAsia" w:ascii="宋体" w:hAnsi="宋体"/>
        </w:rPr>
        <w:t>1.4.定期接受医院对资质、原始数据真实性、准确性、质量控制等考核，对过程中发现的投标人构存在的不合理行为要及时提出整改要求，情节严重的应终止委托协议。</w:t>
      </w:r>
    </w:p>
    <w:p w14:paraId="3409CBF8">
      <w:pPr>
        <w:adjustRightInd w:val="0"/>
        <w:snapToGrid w:val="0"/>
        <w:spacing w:line="360" w:lineRule="auto"/>
        <w:ind w:firstLine="480" w:firstLineChars="200"/>
        <w:rPr>
          <w:rFonts w:hint="eastAsia" w:ascii="宋体" w:hAnsi="宋体"/>
        </w:rPr>
      </w:pPr>
      <w:r>
        <w:rPr>
          <w:rFonts w:hint="eastAsia" w:ascii="宋体" w:hAnsi="宋体"/>
        </w:rPr>
        <w:t>1.5.投标人应每半年向医院提供质控管理证明材料，具体内容包括但不限于:检测人员资质、室内质控记录室间质评成绩、实验室间比对记录及比对结论、设备校准、关键试剂耗材的使用记录(含新批号试剂质检记录)等。投标人对各检测项目的样本运送前预处理应严格把控。</w:t>
      </w:r>
    </w:p>
    <w:p w14:paraId="18C820B4">
      <w:pPr>
        <w:adjustRightInd w:val="0"/>
        <w:snapToGrid w:val="0"/>
        <w:spacing w:line="360" w:lineRule="auto"/>
        <w:ind w:firstLine="480" w:firstLineChars="200"/>
        <w:rPr>
          <w:rFonts w:hint="eastAsia" w:ascii="宋体" w:hAnsi="宋体"/>
        </w:rPr>
      </w:pPr>
      <w:r>
        <w:rPr>
          <w:rFonts w:hint="eastAsia" w:ascii="宋体" w:hAnsi="宋体"/>
        </w:rPr>
        <w:t>1.6.投标人应建立、完善样本外送患者诊疗信息保护、员工授权管理、安全风险评估和应急、信息系统安全事故责任管理、追溯等工作机制，确保患者诊疗信息管理全流程的安全性、真实性、连续性、完整性、稳定性、时效性、溯源性。投标人应根据相关要求归集并妥善保管样本外送临床检测相关数据信息。如涉及人体样本时，应在医疗机构登记备查。投标人使用患者诊疗信息应遵循合法、依规、正当、必要的原则，不得出售或擅自向他人或其他机构提供患者诊疗信息。</w:t>
      </w:r>
    </w:p>
    <w:p w14:paraId="6D4FF226">
      <w:pPr>
        <w:adjustRightInd w:val="0"/>
        <w:snapToGrid w:val="0"/>
        <w:spacing w:line="360" w:lineRule="auto"/>
        <w:ind w:firstLine="480" w:firstLineChars="200"/>
        <w:rPr>
          <w:rFonts w:hint="eastAsia" w:ascii="宋体" w:hAnsi="宋体"/>
        </w:rPr>
      </w:pPr>
      <w:r>
        <w:rPr>
          <w:rFonts w:hint="eastAsia" w:ascii="宋体" w:hAnsi="宋体"/>
        </w:rPr>
        <w:t>1.7.投标人对在本协议有效期内从院方知悉的关于院方的经营信息、检验技术信息、患者信息等一切非公开的保密信息负有终身保密义务。未经院方书面同意，投标人不得将上述信息泄露给任何第三方；</w:t>
      </w:r>
    </w:p>
    <w:p w14:paraId="6057642E">
      <w:pPr>
        <w:adjustRightInd w:val="0"/>
        <w:snapToGrid w:val="0"/>
        <w:spacing w:line="360" w:lineRule="auto"/>
        <w:ind w:firstLine="480" w:firstLineChars="200"/>
        <w:rPr>
          <w:rFonts w:hint="eastAsia" w:ascii="宋体" w:hAnsi="宋体"/>
        </w:rPr>
      </w:pPr>
      <w:r>
        <w:rPr>
          <w:rFonts w:hint="eastAsia" w:ascii="宋体" w:hAnsi="宋体"/>
        </w:rPr>
        <w:t>1.8.外送样本临床检测结果传递过程中，投标人应采取措施保护患者个人隐私，不得泄露患者信息、检测结果及相关基因数据和健康信息，在发生或者可能发生患者诊疗信息泄露、毁损、丢失的情况时，应立即采取补救措施，按照规定向有关部门报告；</w:t>
      </w:r>
    </w:p>
    <w:p w14:paraId="5E689E84">
      <w:pPr>
        <w:adjustRightInd w:val="0"/>
        <w:snapToGrid w:val="0"/>
        <w:spacing w:line="360" w:lineRule="auto"/>
        <w:ind w:firstLine="480" w:firstLineChars="200"/>
        <w:rPr>
          <w:rFonts w:hint="eastAsia" w:ascii="宋体" w:hAnsi="宋体"/>
          <w:color w:val="auto"/>
        </w:rPr>
      </w:pPr>
      <w:r>
        <w:rPr>
          <w:rFonts w:hint="eastAsia" w:ascii="宋体" w:hAnsi="宋体" w:cs="宋体"/>
          <w:szCs w:val="21"/>
        </w:rPr>
        <w:t>★</w:t>
      </w:r>
      <w:r>
        <w:rPr>
          <w:rFonts w:hint="eastAsia" w:ascii="宋体" w:hAnsi="宋体"/>
          <w:color w:val="auto"/>
        </w:rPr>
        <w:t>1.9.投标方开展委托检验，不得有以下行为：</w:t>
      </w:r>
    </w:p>
    <w:p w14:paraId="6D4815A0">
      <w:pPr>
        <w:adjustRightInd w:val="0"/>
        <w:snapToGrid w:val="0"/>
        <w:spacing w:line="360" w:lineRule="auto"/>
        <w:ind w:firstLine="480" w:firstLineChars="200"/>
        <w:rPr>
          <w:rFonts w:hint="eastAsia" w:ascii="宋体" w:hAnsi="宋体"/>
          <w:color w:val="auto"/>
        </w:rPr>
      </w:pPr>
      <w:r>
        <w:rPr>
          <w:rFonts w:hint="eastAsia" w:ascii="宋体" w:hAnsi="宋体"/>
          <w:color w:val="auto"/>
        </w:rPr>
        <w:t>1.9.1.超资质认定范围开展委托检验工作，超资质认定范围使用资质认定标识；</w:t>
      </w:r>
    </w:p>
    <w:p w14:paraId="2F16BC4C">
      <w:pPr>
        <w:adjustRightInd w:val="0"/>
        <w:snapToGrid w:val="0"/>
        <w:spacing w:line="360" w:lineRule="auto"/>
        <w:ind w:firstLine="480" w:firstLineChars="200"/>
        <w:rPr>
          <w:rFonts w:hint="eastAsia" w:ascii="宋体" w:hAnsi="宋体"/>
          <w:color w:val="auto"/>
        </w:rPr>
      </w:pPr>
      <w:r>
        <w:rPr>
          <w:rFonts w:hint="eastAsia" w:ascii="宋体" w:hAnsi="宋体"/>
          <w:color w:val="auto"/>
        </w:rPr>
        <w:t>1.9.2.伪造数据，出具虚假检验结果；</w:t>
      </w:r>
    </w:p>
    <w:p w14:paraId="3128B72C">
      <w:pPr>
        <w:adjustRightInd w:val="0"/>
        <w:snapToGrid w:val="0"/>
        <w:spacing w:line="360" w:lineRule="auto"/>
        <w:ind w:firstLine="480" w:firstLineChars="200"/>
        <w:rPr>
          <w:rFonts w:hint="eastAsia" w:ascii="宋体" w:hAnsi="宋体"/>
          <w:color w:val="auto"/>
        </w:rPr>
      </w:pPr>
      <w:r>
        <w:rPr>
          <w:rFonts w:hint="eastAsia" w:ascii="宋体" w:hAnsi="宋体"/>
          <w:color w:val="auto"/>
        </w:rPr>
        <w:t>1.9.3.泄露委托方技术秘密、商业秘密；</w:t>
      </w:r>
    </w:p>
    <w:p w14:paraId="0ADE691F">
      <w:pPr>
        <w:adjustRightInd w:val="0"/>
        <w:snapToGrid w:val="0"/>
        <w:spacing w:line="360" w:lineRule="auto"/>
        <w:ind w:firstLine="480" w:firstLineChars="200"/>
        <w:rPr>
          <w:rFonts w:hint="eastAsia" w:ascii="宋体" w:hAnsi="宋体"/>
          <w:color w:val="auto"/>
        </w:rPr>
      </w:pPr>
      <w:r>
        <w:rPr>
          <w:rFonts w:hint="eastAsia" w:ascii="宋体" w:hAnsi="宋体"/>
          <w:color w:val="auto"/>
        </w:rPr>
        <w:t>1.9.4.其他违反法律、法规和规章的行为。</w:t>
      </w:r>
    </w:p>
    <w:p w14:paraId="7B5189B7">
      <w:pPr>
        <w:adjustRightInd w:val="0"/>
        <w:snapToGrid w:val="0"/>
        <w:spacing w:line="360" w:lineRule="auto"/>
        <w:ind w:firstLine="480" w:firstLineChars="200"/>
        <w:rPr>
          <w:rFonts w:ascii="宋体" w:hAnsi="宋体"/>
        </w:rPr>
      </w:pPr>
      <w:r>
        <w:rPr>
          <w:rFonts w:hint="eastAsia" w:ascii="宋体" w:hAnsi="宋体"/>
          <w:color w:val="auto"/>
        </w:rPr>
        <w:t>1.9.5.严禁违反《医疗机构工作人员廉洁从业九项准则》，给医务人员谋取不正当利益。</w:t>
      </w:r>
    </w:p>
    <w:p w14:paraId="6C49DADC">
      <w:pPr>
        <w:adjustRightInd w:val="0"/>
        <w:snapToGrid w:val="0"/>
        <w:spacing w:line="360" w:lineRule="auto"/>
        <w:ind w:firstLine="480" w:firstLineChars="200"/>
        <w:rPr>
          <w:rFonts w:hint="eastAsia" w:ascii="宋体" w:hAnsi="宋体"/>
        </w:rPr>
      </w:pPr>
      <w:r>
        <w:rPr>
          <w:rFonts w:hint="eastAsia" w:ascii="宋体" w:hAnsi="宋体"/>
        </w:rPr>
        <w:t>★</w:t>
      </w:r>
      <w:r>
        <w:rPr>
          <w:rFonts w:hint="eastAsia" w:ascii="宋体" w:hAnsi="宋体"/>
          <w:color w:val="auto"/>
        </w:rPr>
        <w:t>1</w:t>
      </w:r>
      <w:r>
        <w:rPr>
          <w:rFonts w:ascii="宋体" w:hAnsi="宋体"/>
          <w:color w:val="auto"/>
        </w:rPr>
        <w:t>.10</w:t>
      </w:r>
      <w:r>
        <w:rPr>
          <w:rFonts w:ascii="宋体" w:hAnsi="宋体"/>
        </w:rPr>
        <w:t>投标人须遵守上海市卫生健康委员会《</w:t>
      </w:r>
      <w:r>
        <w:rPr>
          <w:rFonts w:hint="eastAsia" w:ascii="宋体" w:hAnsi="宋体"/>
        </w:rPr>
        <w:t>关于进一步规范本市医疗机构样本外送临床检测行为的通知</w:t>
      </w:r>
      <w:r>
        <w:rPr>
          <w:rFonts w:ascii="宋体" w:hAnsi="宋体"/>
        </w:rPr>
        <w:t>》（</w:t>
      </w:r>
      <w:r>
        <w:rPr>
          <w:rFonts w:hint="eastAsia" w:ascii="宋体" w:hAnsi="宋体"/>
        </w:rPr>
        <w:t>沪卫医〔2024]33号</w:t>
      </w:r>
      <w:r>
        <w:rPr>
          <w:rFonts w:ascii="宋体" w:hAnsi="宋体"/>
        </w:rPr>
        <w:t>）中的相关内容。</w:t>
      </w:r>
    </w:p>
    <w:p w14:paraId="75F916BD">
      <w:pPr>
        <w:adjustRightInd w:val="0"/>
        <w:snapToGrid w:val="0"/>
        <w:spacing w:line="360" w:lineRule="auto"/>
        <w:ind w:firstLine="482" w:firstLineChars="200"/>
        <w:rPr>
          <w:rFonts w:ascii="宋体" w:hAnsi="宋体"/>
          <w:b/>
        </w:rPr>
      </w:pPr>
      <w:r>
        <w:rPr>
          <w:rFonts w:hint="eastAsia" w:ascii="宋体" w:hAnsi="宋体"/>
          <w:b/>
          <w:lang w:val="en-US" w:eastAsia="zh-CN"/>
        </w:rPr>
        <w:t>三</w:t>
      </w:r>
      <w:r>
        <w:rPr>
          <w:rFonts w:ascii="宋体" w:hAnsi="宋体"/>
          <w:b/>
        </w:rPr>
        <w:t>、</w:t>
      </w:r>
      <w:r>
        <w:rPr>
          <w:rFonts w:hint="eastAsia" w:ascii="宋体" w:hAnsi="宋体"/>
          <w:b/>
        </w:rPr>
        <w:t>技术要求：</w:t>
      </w:r>
    </w:p>
    <w:p w14:paraId="6DF840F5">
      <w:pPr>
        <w:adjustRightInd w:val="0"/>
        <w:snapToGrid w:val="0"/>
        <w:spacing w:line="360" w:lineRule="auto"/>
        <w:ind w:firstLine="480" w:firstLineChars="200"/>
        <w:jc w:val="both"/>
        <w:rPr>
          <w:rFonts w:ascii="宋体" w:hAnsi="宋体"/>
        </w:rPr>
      </w:pPr>
      <w:r>
        <w:rPr>
          <w:rFonts w:hint="eastAsia" w:ascii="宋体" w:hAnsi="宋体"/>
        </w:rPr>
        <w:t>1.样本采集方案</w:t>
      </w:r>
    </w:p>
    <w:p w14:paraId="4F628366">
      <w:pPr>
        <w:adjustRightInd w:val="0"/>
        <w:snapToGrid w:val="0"/>
        <w:spacing w:line="360" w:lineRule="auto"/>
        <w:ind w:firstLine="480" w:firstLineChars="200"/>
        <w:jc w:val="both"/>
        <w:rPr>
          <w:rFonts w:ascii="宋体" w:hAnsi="宋体"/>
        </w:rPr>
      </w:pPr>
      <w:r>
        <w:rPr>
          <w:rFonts w:hint="eastAsia" w:ascii="宋体" w:hAnsi="宋体"/>
        </w:rPr>
        <w:t>1.1 投标人需制定诊断项目样本采集手册，规范样本采集要求，内容需包含采集要求、检测方法、发报告时间及项目的临床应用，并能定期培训医护人员规范采样；</w:t>
      </w:r>
    </w:p>
    <w:p w14:paraId="30625453">
      <w:pPr>
        <w:adjustRightInd w:val="0"/>
        <w:snapToGrid w:val="0"/>
        <w:spacing w:line="360" w:lineRule="auto"/>
        <w:ind w:firstLine="480" w:firstLineChars="200"/>
        <w:jc w:val="both"/>
        <w:rPr>
          <w:rFonts w:ascii="宋体" w:hAnsi="宋体"/>
        </w:rPr>
      </w:pPr>
      <w:r>
        <w:rPr>
          <w:rFonts w:hint="eastAsia" w:ascii="宋体" w:hAnsi="宋体"/>
        </w:rPr>
        <w:t>1.2 投标人需制定标准操作作业指导书，对申请单规范填写、患者准备、患者识别（唯一条形码）、样本采集后保存、标本采集生物安全要求等进行作业指导，规范标本采集全过程；</w:t>
      </w:r>
    </w:p>
    <w:p w14:paraId="6465A967">
      <w:pPr>
        <w:adjustRightInd w:val="0"/>
        <w:snapToGrid w:val="0"/>
        <w:spacing w:line="360" w:lineRule="auto"/>
        <w:ind w:firstLine="480" w:firstLineChars="200"/>
        <w:jc w:val="both"/>
        <w:rPr>
          <w:rFonts w:ascii="宋体" w:hAnsi="宋体"/>
        </w:rPr>
      </w:pPr>
      <w:r>
        <w:rPr>
          <w:rFonts w:hint="eastAsia" w:ascii="宋体" w:hAnsi="宋体"/>
        </w:rPr>
        <w:t>1.3 能提供特殊样本所需要的耗材。</w:t>
      </w:r>
    </w:p>
    <w:p w14:paraId="71391421">
      <w:pPr>
        <w:adjustRightInd w:val="0"/>
        <w:snapToGrid w:val="0"/>
        <w:spacing w:line="360" w:lineRule="auto"/>
        <w:ind w:firstLine="480" w:firstLineChars="200"/>
        <w:jc w:val="both"/>
        <w:rPr>
          <w:rFonts w:ascii="宋体" w:hAnsi="宋体"/>
        </w:rPr>
      </w:pPr>
      <w:r>
        <w:rPr>
          <w:rFonts w:hint="eastAsia" w:ascii="宋体" w:hAnsi="宋体"/>
        </w:rPr>
        <w:t>2.样本运输</w:t>
      </w:r>
    </w:p>
    <w:p w14:paraId="6A47DE58">
      <w:pPr>
        <w:adjustRightInd w:val="0"/>
        <w:snapToGrid w:val="0"/>
        <w:spacing w:line="360" w:lineRule="auto"/>
        <w:ind w:firstLine="480" w:firstLineChars="200"/>
        <w:jc w:val="both"/>
        <w:rPr>
          <w:rFonts w:ascii="宋体" w:hAnsi="宋体"/>
        </w:rPr>
      </w:pPr>
      <w:r>
        <w:rPr>
          <w:rFonts w:hint="eastAsia" w:ascii="宋体" w:hAnsi="宋体"/>
        </w:rPr>
        <w:t>2.1投标人需提供冷链物流相关资质：并提供有效的《道路运输经营许可证》；如证书为投标人主体自有，提供证书扫描件并加盖公章，如投标人委托第三方物流单位提供运输服务，则需提供第三方物流单位的《道路运输经营许可证》及委托协议书。</w:t>
      </w:r>
    </w:p>
    <w:p w14:paraId="54456AF9">
      <w:pPr>
        <w:adjustRightInd w:val="0"/>
        <w:snapToGrid w:val="0"/>
        <w:spacing w:line="360" w:lineRule="auto"/>
        <w:ind w:firstLine="480" w:firstLineChars="200"/>
        <w:jc w:val="both"/>
        <w:rPr>
          <w:rFonts w:ascii="宋体" w:hAnsi="宋体"/>
        </w:rPr>
      </w:pPr>
      <w:r>
        <w:rPr>
          <w:rFonts w:hint="eastAsia" w:ascii="宋体" w:hAnsi="宋体"/>
        </w:rPr>
        <w:t>2.3  投标人需提供相关的样本运输方案</w:t>
      </w:r>
    </w:p>
    <w:p w14:paraId="09C2F90F">
      <w:pPr>
        <w:adjustRightInd w:val="0"/>
        <w:snapToGrid w:val="0"/>
        <w:spacing w:line="360" w:lineRule="auto"/>
        <w:ind w:firstLine="480" w:firstLineChars="200"/>
        <w:jc w:val="both"/>
        <w:rPr>
          <w:rFonts w:ascii="宋体" w:hAnsi="宋体"/>
        </w:rPr>
      </w:pPr>
      <w:r>
        <w:rPr>
          <w:rFonts w:hint="eastAsia" w:ascii="宋体" w:hAnsi="宋体"/>
        </w:rPr>
        <w:t>2.3.1 能提供冷链物流相关的设施：冷库、冷藏车、含全程温度控制设备及记录的标本冷藏箱、有相应的温度控制报告；（提供相关的证明材料）</w:t>
      </w:r>
    </w:p>
    <w:p w14:paraId="3827A27E">
      <w:pPr>
        <w:adjustRightInd w:val="0"/>
        <w:snapToGrid w:val="0"/>
        <w:spacing w:line="360" w:lineRule="auto"/>
        <w:ind w:firstLine="480" w:firstLineChars="200"/>
        <w:jc w:val="both"/>
        <w:rPr>
          <w:rFonts w:ascii="宋体" w:hAnsi="宋体"/>
        </w:rPr>
      </w:pPr>
      <w:r>
        <w:rPr>
          <w:rFonts w:hint="eastAsia" w:ascii="宋体" w:hAnsi="宋体"/>
        </w:rPr>
        <w:t>2.3.2 能提供冷链物流信息化管理平台，GPS实时全程监控系统，实时监控样本运输温度，需提供温度控制报告；</w:t>
      </w:r>
    </w:p>
    <w:p w14:paraId="1CB0D4A6">
      <w:pPr>
        <w:adjustRightInd w:val="0"/>
        <w:snapToGrid w:val="0"/>
        <w:spacing w:line="360" w:lineRule="auto"/>
        <w:ind w:firstLine="480" w:firstLineChars="200"/>
        <w:jc w:val="both"/>
        <w:rPr>
          <w:rFonts w:ascii="宋体" w:hAnsi="宋体"/>
        </w:rPr>
      </w:pPr>
      <w:r>
        <w:rPr>
          <w:rFonts w:hint="eastAsia" w:ascii="宋体" w:hAnsi="宋体"/>
        </w:rPr>
        <w:t>2.3.3 投标人能提供完善的样本接收运输方案，有专门标本接收操作制度，需配备经专业培训合格的样本接收人员，以确保医疗标本运输安全。接收人员严格按照相关制度进行作业，降低生物危害风险；</w:t>
      </w:r>
    </w:p>
    <w:p w14:paraId="33B1B4CE">
      <w:pPr>
        <w:adjustRightInd w:val="0"/>
        <w:snapToGrid w:val="0"/>
        <w:spacing w:line="360" w:lineRule="auto"/>
        <w:ind w:firstLine="480" w:firstLineChars="200"/>
        <w:jc w:val="both"/>
        <w:rPr>
          <w:rFonts w:ascii="宋体" w:hAnsi="宋体"/>
        </w:rPr>
      </w:pPr>
      <w:r>
        <w:rPr>
          <w:rFonts w:hint="eastAsia" w:ascii="宋体" w:hAnsi="宋体"/>
        </w:rPr>
        <w:t>2.3.4 服务频次：确保每周七天安排专车专人收集；如遇招标方有加急样本，投标人需在1小时内上门收取样本；</w:t>
      </w:r>
    </w:p>
    <w:p w14:paraId="2582EB1D">
      <w:pPr>
        <w:adjustRightInd w:val="0"/>
        <w:snapToGrid w:val="0"/>
        <w:spacing w:line="360" w:lineRule="auto"/>
        <w:ind w:firstLine="480" w:firstLineChars="200"/>
        <w:jc w:val="both"/>
        <w:rPr>
          <w:rFonts w:ascii="宋体" w:hAnsi="宋体"/>
        </w:rPr>
      </w:pPr>
      <w:r>
        <w:rPr>
          <w:rFonts w:hint="eastAsia" w:ascii="宋体" w:hAnsi="宋体"/>
        </w:rPr>
        <w:t>3.实验室检测与质量控制</w:t>
      </w:r>
    </w:p>
    <w:p w14:paraId="0C5DA876">
      <w:pPr>
        <w:adjustRightInd w:val="0"/>
        <w:snapToGrid w:val="0"/>
        <w:spacing w:line="360" w:lineRule="auto"/>
        <w:ind w:firstLine="480" w:firstLineChars="200"/>
        <w:jc w:val="both"/>
        <w:rPr>
          <w:rFonts w:ascii="宋体" w:hAnsi="宋体"/>
        </w:rPr>
      </w:pPr>
      <w:r>
        <w:rPr>
          <w:rFonts w:hint="eastAsia" w:ascii="宋体" w:hAnsi="宋体"/>
        </w:rPr>
        <w:t>3.1投标人需通过《医学实验室质量和能力认可准则 》（ISO15189）；参加2</w:t>
      </w:r>
      <w:r>
        <w:rPr>
          <w:rFonts w:ascii="宋体" w:hAnsi="宋体"/>
        </w:rPr>
        <w:t>024年度</w:t>
      </w:r>
      <w:r>
        <w:rPr>
          <w:rFonts w:hint="eastAsia" w:ascii="宋体" w:hAnsi="宋体"/>
        </w:rPr>
        <w:t>卫生部或省市级以上临检中心的室间质评，且成绩合格；</w:t>
      </w:r>
    </w:p>
    <w:p w14:paraId="17E17C54">
      <w:pPr>
        <w:adjustRightInd w:val="0"/>
        <w:snapToGrid w:val="0"/>
        <w:spacing w:line="360" w:lineRule="auto"/>
        <w:ind w:firstLine="480" w:firstLineChars="200"/>
        <w:jc w:val="both"/>
        <w:rPr>
          <w:rFonts w:ascii="宋体" w:hAnsi="宋体"/>
        </w:rPr>
      </w:pPr>
      <w:r>
        <w:rPr>
          <w:rFonts w:hint="eastAsia" w:ascii="宋体" w:hAnsi="宋体"/>
        </w:rPr>
        <w:t>3.2 投标人需提供相应的检验前、中、后全流程的检验质量控制服务方案，至少包含以下内容：</w:t>
      </w:r>
    </w:p>
    <w:p w14:paraId="2E883129">
      <w:pPr>
        <w:adjustRightInd w:val="0"/>
        <w:snapToGrid w:val="0"/>
        <w:spacing w:line="360" w:lineRule="auto"/>
        <w:ind w:firstLine="480" w:firstLineChars="200"/>
        <w:jc w:val="both"/>
        <w:rPr>
          <w:rFonts w:ascii="宋体" w:hAnsi="宋体"/>
        </w:rPr>
      </w:pPr>
      <w:r>
        <w:rPr>
          <w:rFonts w:hint="eastAsia" w:ascii="宋体" w:hAnsi="宋体"/>
        </w:rPr>
        <w:t>3.2.1</w:t>
      </w:r>
      <w:r>
        <w:rPr>
          <w:rFonts w:hint="eastAsia" w:ascii="宋体" w:hAnsi="宋体"/>
        </w:rPr>
        <w:tab/>
      </w:r>
      <w:r>
        <w:rPr>
          <w:rFonts w:hint="eastAsia" w:ascii="宋体" w:hAnsi="宋体"/>
        </w:rPr>
        <w:t>投标人需具备完善的质量管理体系，进行全面质量管理；</w:t>
      </w:r>
    </w:p>
    <w:p w14:paraId="449BBDE9">
      <w:pPr>
        <w:adjustRightInd w:val="0"/>
        <w:snapToGrid w:val="0"/>
        <w:spacing w:line="360" w:lineRule="auto"/>
        <w:ind w:firstLine="480" w:firstLineChars="200"/>
        <w:jc w:val="both"/>
        <w:rPr>
          <w:rFonts w:ascii="宋体" w:hAnsi="宋体"/>
        </w:rPr>
      </w:pPr>
      <w:r>
        <w:rPr>
          <w:rFonts w:hint="eastAsia" w:ascii="宋体" w:hAnsi="宋体"/>
        </w:rPr>
        <w:t>3.2.2 规范操作：按ISO15189的有关要求完成相关项目检测方法和SOP的建立，实验操作严格按照SOP规范步骤实施；提供室内质控、室间质评及没有PT的项目进行替代评估方案；</w:t>
      </w:r>
    </w:p>
    <w:p w14:paraId="1394777D">
      <w:pPr>
        <w:adjustRightInd w:val="0"/>
        <w:snapToGrid w:val="0"/>
        <w:spacing w:line="360" w:lineRule="auto"/>
        <w:ind w:firstLine="480" w:firstLineChars="200"/>
        <w:jc w:val="both"/>
        <w:rPr>
          <w:rFonts w:ascii="宋体" w:hAnsi="宋体"/>
        </w:rPr>
      </w:pPr>
      <w:r>
        <w:rPr>
          <w:rFonts w:hint="eastAsia" w:ascii="宋体" w:hAnsi="宋体"/>
        </w:rPr>
        <w:t xml:space="preserve">3.2.3 </w:t>
      </w:r>
      <w:r>
        <w:rPr>
          <w:rFonts w:hint="eastAsia" w:ascii="宋体" w:hAnsi="宋体"/>
          <w:color w:val="000000"/>
        </w:rPr>
        <w:t>报告审核及TAT时间：对结果报告审核至少两位人员审核，且需由有资质的授权签字人签发报告；流式项目平均TAT时间≤2个工作日，若有紧急情况，能实现当日发单；</w:t>
      </w:r>
    </w:p>
    <w:p w14:paraId="1021ED25">
      <w:pPr>
        <w:adjustRightInd w:val="0"/>
        <w:snapToGrid w:val="0"/>
        <w:spacing w:line="360" w:lineRule="auto"/>
        <w:ind w:firstLine="480" w:firstLineChars="200"/>
        <w:jc w:val="both"/>
        <w:rPr>
          <w:rFonts w:ascii="宋体" w:hAnsi="宋体"/>
        </w:rPr>
      </w:pPr>
      <w:r>
        <w:rPr>
          <w:rFonts w:hint="eastAsia" w:ascii="宋体" w:hAnsi="宋体"/>
        </w:rPr>
        <w:t>3.2.4 危急值处理：外送临床检测项目存在危急值项目的，投标人应与医院确定危急值的通知方式。投标人开展临床检测出现危急值时，按照要求规范处置，确保危急值信息准确，传递及时，信息传递各环节无缝衔接且可追溯；所有的检测结果录入检验信息系统（LIR），长期保存，供授权的人员能够查阅和再现检测报告单。</w:t>
      </w:r>
    </w:p>
    <w:p w14:paraId="08BEB8AF">
      <w:pPr>
        <w:adjustRightInd w:val="0"/>
        <w:snapToGrid w:val="0"/>
        <w:spacing w:line="360" w:lineRule="auto"/>
        <w:ind w:firstLine="480" w:firstLineChars="200"/>
        <w:jc w:val="both"/>
        <w:rPr>
          <w:rFonts w:hint="eastAsia" w:ascii="宋体" w:hAnsi="宋体"/>
        </w:rPr>
      </w:pPr>
      <w:r>
        <w:rPr>
          <w:rFonts w:hint="eastAsia" w:ascii="宋体" w:hAnsi="宋体"/>
        </w:rPr>
        <w:t>3</w:t>
      </w:r>
      <w:r>
        <w:rPr>
          <w:rFonts w:ascii="宋体" w:hAnsi="宋体"/>
        </w:rPr>
        <w:t>.2.5投标人</w:t>
      </w:r>
      <w:r>
        <w:rPr>
          <w:rFonts w:hint="eastAsia" w:ascii="宋体" w:hAnsi="宋体"/>
        </w:rPr>
        <w:t>应保证检测程序和检测方法准确，如因检测程序或者方法等原因导致检测报告错误而产生的纠纷的，由</w:t>
      </w:r>
      <w:r>
        <w:rPr>
          <w:rFonts w:ascii="宋体" w:hAnsi="宋体"/>
        </w:rPr>
        <w:t>投标人</w:t>
      </w:r>
      <w:r>
        <w:rPr>
          <w:rFonts w:hint="eastAsia" w:ascii="宋体" w:hAnsi="宋体"/>
        </w:rPr>
        <w:t>承担责任，并扣除相应合同金额予以补偿。</w:t>
      </w:r>
    </w:p>
    <w:p w14:paraId="59FE788C">
      <w:pPr>
        <w:adjustRightInd w:val="0"/>
        <w:snapToGrid w:val="0"/>
        <w:spacing w:line="360" w:lineRule="auto"/>
        <w:ind w:firstLine="480" w:firstLineChars="200"/>
        <w:jc w:val="both"/>
        <w:rPr>
          <w:rFonts w:ascii="宋体" w:hAnsi="宋体"/>
        </w:rPr>
      </w:pPr>
      <w:r>
        <w:rPr>
          <w:rFonts w:hint="eastAsia" w:ascii="宋体" w:hAnsi="宋体"/>
        </w:rPr>
        <w:t>4.保障服务方案</w:t>
      </w:r>
    </w:p>
    <w:p w14:paraId="09FF7409">
      <w:pPr>
        <w:adjustRightInd w:val="0"/>
        <w:snapToGrid w:val="0"/>
        <w:spacing w:line="360" w:lineRule="auto"/>
        <w:ind w:firstLine="480" w:firstLineChars="200"/>
        <w:jc w:val="both"/>
        <w:rPr>
          <w:rFonts w:ascii="宋体" w:hAnsi="宋体"/>
        </w:rPr>
      </w:pPr>
      <w:r>
        <w:rPr>
          <w:rFonts w:hint="eastAsia" w:ascii="宋体" w:hAnsi="宋体"/>
        </w:rPr>
        <w:t>投标人需提供相关保障服务方案，至少包含以下内容：</w:t>
      </w:r>
    </w:p>
    <w:p w14:paraId="22824F53">
      <w:pPr>
        <w:adjustRightInd w:val="0"/>
        <w:snapToGrid w:val="0"/>
        <w:spacing w:line="360" w:lineRule="auto"/>
        <w:ind w:firstLine="480" w:firstLineChars="200"/>
        <w:jc w:val="both"/>
        <w:rPr>
          <w:rFonts w:ascii="宋体" w:hAnsi="宋体"/>
        </w:rPr>
      </w:pPr>
      <w:r>
        <w:rPr>
          <w:rFonts w:hint="eastAsia" w:ascii="宋体" w:hAnsi="宋体"/>
        </w:rPr>
        <w:t xml:space="preserve">4.1 投标人具备要开展本服务的场地，场地必须规范合理，符合要求； </w:t>
      </w:r>
    </w:p>
    <w:p w14:paraId="312B4D9C">
      <w:pPr>
        <w:adjustRightInd w:val="0"/>
        <w:snapToGrid w:val="0"/>
        <w:spacing w:line="360" w:lineRule="auto"/>
        <w:ind w:firstLine="480" w:firstLineChars="200"/>
        <w:jc w:val="both"/>
        <w:rPr>
          <w:rFonts w:ascii="宋体" w:hAnsi="宋体"/>
          <w:color w:val="000000"/>
        </w:rPr>
      </w:pPr>
      <w:r>
        <w:rPr>
          <w:rFonts w:hint="eastAsia" w:ascii="宋体" w:hAnsi="宋体"/>
        </w:rPr>
        <w:t>4.2投标</w:t>
      </w:r>
      <w:r>
        <w:rPr>
          <w:rFonts w:hint="eastAsia" w:ascii="宋体" w:hAnsi="宋体"/>
          <w:color w:val="000000"/>
        </w:rPr>
        <w:t>人需提供开展本项目的仪器设备清单（</w:t>
      </w:r>
      <w:r>
        <w:rPr>
          <w:rFonts w:hint="eastAsia" w:ascii="宋体" w:hAnsi="宋体"/>
        </w:rPr>
        <w:t>比如荧光PCR仪/荧光显微镜/质谱仪/流式细胞仪/全自动化学发光免疫分析仪等</w:t>
      </w:r>
      <w:r>
        <w:rPr>
          <w:rFonts w:hint="eastAsia" w:ascii="宋体" w:hAnsi="宋体"/>
          <w:color w:val="000000"/>
        </w:rPr>
        <w:t>），设备性能良好、技术参数合格（提供合同或发票等相关证明材料）；</w:t>
      </w:r>
    </w:p>
    <w:p w14:paraId="4E05E718">
      <w:pPr>
        <w:adjustRightInd w:val="0"/>
        <w:snapToGrid w:val="0"/>
        <w:spacing w:line="360" w:lineRule="auto"/>
        <w:ind w:firstLine="480" w:firstLineChars="200"/>
        <w:jc w:val="both"/>
        <w:rPr>
          <w:rFonts w:ascii="宋体" w:hAnsi="宋体"/>
        </w:rPr>
      </w:pPr>
      <w:r>
        <w:rPr>
          <w:rFonts w:hint="eastAsia" w:ascii="宋体" w:hAnsi="宋体"/>
        </w:rPr>
        <w:t>4.3仪器设备定期进行维护保养、提供校准报告；（提供相关证明材料）</w:t>
      </w:r>
    </w:p>
    <w:p w14:paraId="6010E6E9">
      <w:pPr>
        <w:adjustRightInd w:val="0"/>
        <w:snapToGrid w:val="0"/>
        <w:spacing w:line="360" w:lineRule="auto"/>
        <w:ind w:firstLine="480" w:firstLineChars="200"/>
        <w:jc w:val="both"/>
        <w:rPr>
          <w:rFonts w:ascii="宋体" w:hAnsi="宋体"/>
        </w:rPr>
      </w:pPr>
      <w:r>
        <w:rPr>
          <w:rFonts w:hint="eastAsia" w:ascii="宋体" w:hAnsi="宋体"/>
        </w:rPr>
        <w:t>4.4投标人提供重要检测</w:t>
      </w:r>
      <w:r>
        <w:rPr>
          <w:rFonts w:hint="eastAsia" w:ascii="宋体" w:hAnsi="宋体" w:cs="Times New Roman"/>
        </w:rPr>
        <w:t>项目</w:t>
      </w:r>
      <w:r>
        <w:rPr>
          <w:rStyle w:val="4"/>
          <w:rFonts w:hint="eastAsia" w:ascii="宋体" w:hAnsi="宋体"/>
        </w:rPr>
        <w:t>（呼吸道多种病原体核酸检测）</w:t>
      </w:r>
      <w:r>
        <w:rPr>
          <w:rFonts w:hint="eastAsia" w:ascii="宋体" w:hAnsi="宋体" w:cs="Times New Roman"/>
        </w:rPr>
        <w:t>如下技术参数（提供证明文件）</w:t>
      </w:r>
      <w:r>
        <w:rPr>
          <w:rFonts w:hint="eastAsia" w:ascii="宋体" w:hAnsi="宋体"/>
        </w:rPr>
        <w:t>：</w:t>
      </w:r>
    </w:p>
    <w:p w14:paraId="29523ECF">
      <w:pPr>
        <w:adjustRightInd w:val="0"/>
        <w:snapToGrid w:val="0"/>
        <w:spacing w:line="360" w:lineRule="auto"/>
        <w:ind w:firstLine="480" w:firstLineChars="200"/>
        <w:jc w:val="both"/>
        <w:rPr>
          <w:rFonts w:ascii="宋体" w:hAnsi="宋体" w:cs="宋体"/>
        </w:rPr>
      </w:pPr>
      <w:r>
        <w:rPr>
          <w:rFonts w:hint="eastAsia" w:ascii="宋体" w:hAnsi="宋体"/>
          <w:b w:val="0"/>
        </w:rPr>
        <w:t>▲</w:t>
      </w:r>
      <w:r>
        <w:rPr>
          <w:rFonts w:hint="eastAsia" w:ascii="宋体" w:hAnsi="宋体"/>
        </w:rPr>
        <w:t>4</w:t>
      </w:r>
      <w:r>
        <w:rPr>
          <w:rFonts w:ascii="宋体" w:hAnsi="宋体"/>
        </w:rPr>
        <w:t>.4.1</w:t>
      </w:r>
      <w:r>
        <w:rPr>
          <w:rFonts w:ascii="宋体" w:hAnsi="宋体" w:cs="Times New Roman"/>
        </w:rPr>
        <w:t>测序仪</w:t>
      </w:r>
      <w:r>
        <w:rPr>
          <w:rFonts w:ascii="宋体" w:hAnsi="宋体"/>
        </w:rPr>
        <w:t>和</w:t>
      </w:r>
      <w:r>
        <w:rPr>
          <w:rFonts w:hint="eastAsia" w:ascii="宋体" w:hAnsi="宋体"/>
        </w:rPr>
        <w:t>生信分析系统：采用可逆末端终止测序法，使用两色荧光检测，提高测序效率；获NMPA审批的中华人民共和国医疗器械注册证；读长达1x100bp时，单次测序可生成20亿（2.0G）碱基数据，测序时间低于5小时，满足对测序时间要求快的实验需求；可精确读取≥12个的连续单个重复碱基（如AAAAAAAAAAAAAAA）；</w:t>
      </w:r>
      <w:r>
        <w:rPr>
          <w:rFonts w:ascii="宋体" w:hAnsi="宋体"/>
        </w:rPr>
        <w:t>配备本地分析服务器</w:t>
      </w:r>
      <w:r>
        <w:rPr>
          <w:rFonts w:hint="eastAsia" w:ascii="宋体" w:hAnsi="宋体"/>
        </w:rPr>
        <w:t>；</w:t>
      </w:r>
      <w:r>
        <w:rPr>
          <w:rFonts w:ascii="宋体" w:hAnsi="宋体"/>
        </w:rPr>
        <w:t>测序结束后可实现自启动分析，完成后输出检测结果列表供人工解读，审核后自动生成检测报告</w:t>
      </w:r>
      <w:r>
        <w:rPr>
          <w:rFonts w:hint="eastAsia" w:ascii="宋体" w:hAnsi="宋体"/>
        </w:rPr>
        <w:t>；</w:t>
      </w:r>
      <w:r>
        <w:rPr>
          <w:rFonts w:hint="eastAsia" w:ascii="宋体" w:hAnsi="宋体" w:cs="宋体"/>
        </w:rPr>
        <w:t>数据分析系统可以在20分钟小时内完成数据分析；</w:t>
      </w:r>
    </w:p>
    <w:p w14:paraId="3F401B6B">
      <w:pPr>
        <w:adjustRightInd w:val="0"/>
        <w:snapToGrid w:val="0"/>
        <w:spacing w:line="360" w:lineRule="auto"/>
        <w:ind w:firstLine="482" w:firstLineChars="200"/>
        <w:jc w:val="both"/>
        <w:rPr>
          <w:rFonts w:hint="eastAsia" w:ascii="宋体" w:hAnsi="宋体"/>
        </w:rPr>
      </w:pPr>
      <w:r>
        <w:rPr>
          <w:rFonts w:hint="eastAsia" w:ascii="宋体" w:hAnsi="宋体"/>
          <w:b/>
        </w:rPr>
        <w:t>▲</w:t>
      </w:r>
      <w:r>
        <w:rPr>
          <w:rFonts w:ascii="宋体" w:hAnsi="宋体"/>
        </w:rPr>
        <w:t>4.4.2</w:t>
      </w:r>
      <w:r>
        <w:rPr>
          <w:rFonts w:hint="eastAsia" w:ascii="宋体" w:hAnsi="宋体" w:cs="宋体"/>
        </w:rPr>
        <w:t>试剂技术要求：</w:t>
      </w:r>
      <w:r>
        <w:rPr>
          <w:rFonts w:ascii="宋体" w:hAnsi="宋体" w:cs="宋体"/>
        </w:rPr>
        <w:t>获得国内医疗器械备案或注册证；采用超多重PCR建库体系对目标病原微生物进行正向富集，保障敏感性</w:t>
      </w:r>
      <w:r>
        <w:rPr>
          <w:rFonts w:hint="eastAsia" w:ascii="宋体" w:hAnsi="宋体" w:cs="宋体"/>
        </w:rPr>
        <w:t>；</w:t>
      </w:r>
      <w:r>
        <w:rPr>
          <w:rFonts w:ascii="宋体" w:hAnsi="宋体" w:cs="宋体"/>
        </w:rPr>
        <w:t>可实现病原分型（比如：甲流H1N1,H3N2、腺病毒、鼻病毒、肠道病毒、链球菌等）</w:t>
      </w:r>
      <w:r>
        <w:rPr>
          <w:rFonts w:hint="eastAsia" w:ascii="宋体" w:hAnsi="宋体" w:cs="宋体"/>
        </w:rPr>
        <w:t>；</w:t>
      </w:r>
      <w:r>
        <w:rPr>
          <w:rFonts w:ascii="宋体" w:hAnsi="宋体" w:cs="宋体"/>
        </w:rPr>
        <w:t>覆盖当前20多种主要新冠流行毒株且可分型</w:t>
      </w:r>
      <w:r>
        <w:rPr>
          <w:rFonts w:hint="eastAsia" w:ascii="宋体" w:hAnsi="宋体" w:cs="宋体"/>
        </w:rPr>
        <w:t>；</w:t>
      </w:r>
      <w:r>
        <w:rPr>
          <w:rFonts w:ascii="宋体" w:hAnsi="宋体" w:cs="宋体"/>
        </w:rPr>
        <w:t>分析系统内嵌解读数据库，可根据标本类型及检出病原致病性按A,B,C等级进行划分报告</w:t>
      </w:r>
      <w:r>
        <w:rPr>
          <w:rFonts w:hint="eastAsia" w:ascii="宋体" w:hAnsi="宋体" w:cs="宋体"/>
        </w:rPr>
        <w:t>。</w:t>
      </w:r>
    </w:p>
    <w:p w14:paraId="6FFEE634">
      <w:pPr>
        <w:widowControl w:val="0"/>
        <w:adjustRightInd w:val="0"/>
        <w:snapToGrid w:val="0"/>
        <w:spacing w:line="360" w:lineRule="auto"/>
        <w:ind w:left="480"/>
        <w:jc w:val="both"/>
        <w:rPr>
          <w:rFonts w:ascii="宋体" w:hAnsi="宋体"/>
        </w:rPr>
      </w:pPr>
      <w:r>
        <w:rPr>
          <w:rFonts w:hint="eastAsia" w:ascii="宋体" w:hAnsi="宋体"/>
        </w:rPr>
        <w:t>5</w:t>
      </w:r>
      <w:r>
        <w:rPr>
          <w:rFonts w:ascii="宋体" w:hAnsi="宋体"/>
        </w:rPr>
        <w:t>.</w:t>
      </w:r>
      <w:r>
        <w:rPr>
          <w:rFonts w:hint="eastAsia" w:ascii="宋体" w:hAnsi="宋体"/>
        </w:rPr>
        <w:t>信息服务方案</w:t>
      </w:r>
    </w:p>
    <w:p w14:paraId="7D77AD34">
      <w:pPr>
        <w:adjustRightInd w:val="0"/>
        <w:snapToGrid w:val="0"/>
        <w:spacing w:line="360" w:lineRule="auto"/>
        <w:ind w:firstLine="480" w:firstLineChars="200"/>
        <w:jc w:val="both"/>
        <w:rPr>
          <w:rFonts w:ascii="宋体" w:hAnsi="宋体"/>
        </w:rPr>
      </w:pPr>
      <w:r>
        <w:rPr>
          <w:rFonts w:hint="eastAsia" w:ascii="宋体" w:hAnsi="宋体"/>
        </w:rPr>
        <w:t>5.1投标人需提供相关信息服务方案，至少包含以下内容：</w:t>
      </w:r>
    </w:p>
    <w:p w14:paraId="5D8620B1">
      <w:pPr>
        <w:adjustRightInd w:val="0"/>
        <w:snapToGrid w:val="0"/>
        <w:spacing w:line="360" w:lineRule="auto"/>
        <w:ind w:firstLine="480" w:firstLineChars="200"/>
        <w:jc w:val="both"/>
        <w:rPr>
          <w:rFonts w:ascii="宋体" w:hAnsi="宋体" w:cs="宋体"/>
        </w:rPr>
      </w:pPr>
      <w:r>
        <w:rPr>
          <w:rFonts w:hint="eastAsia" w:ascii="宋体" w:hAnsi="宋体" w:cs="宋体"/>
        </w:rPr>
        <w:t>5.1.1 系统对接流程，与医院报告实现无纸化传输：能进行lis端口双向对接，所有数据能回传医院，实现LIS端口双向对接，报告和结构化数据回传，基因类应按照申康中心《医联工程数据交换接口规范》v.5.1.3要求检测报告数据统一上传，提供原始数据储存方案。上述系统要求与医院相关系统进行数据对接。</w:t>
      </w:r>
    </w:p>
    <w:p w14:paraId="565462E4">
      <w:pPr>
        <w:adjustRightInd w:val="0"/>
        <w:snapToGrid w:val="0"/>
        <w:spacing w:line="360" w:lineRule="auto"/>
        <w:ind w:firstLine="480" w:firstLineChars="200"/>
        <w:jc w:val="both"/>
        <w:rPr>
          <w:rFonts w:ascii="宋体" w:hAnsi="宋体" w:cs="宋体"/>
        </w:rPr>
      </w:pPr>
      <w:r>
        <w:rPr>
          <w:rFonts w:hint="eastAsia" w:ascii="宋体" w:hAnsi="宋体" w:cs="宋体"/>
        </w:rPr>
        <w:t>5.1.2基因类项目原始数据存储、回传方案：基因测序类项目并提供基因检测原始数据文件存储路径，以备调阅分析。投标人提供原始数据回传解决方案。</w:t>
      </w:r>
    </w:p>
    <w:p w14:paraId="49A1CD96">
      <w:pPr>
        <w:widowControl w:val="0"/>
        <w:adjustRightInd w:val="0"/>
        <w:snapToGrid w:val="0"/>
        <w:spacing w:line="360" w:lineRule="auto"/>
        <w:ind w:left="480"/>
        <w:jc w:val="both"/>
        <w:rPr>
          <w:rFonts w:ascii="宋体" w:hAnsi="宋体"/>
        </w:rPr>
      </w:pPr>
      <w:r>
        <w:rPr>
          <w:rFonts w:ascii="宋体" w:hAnsi="宋体"/>
        </w:rPr>
        <w:t xml:space="preserve"> </w:t>
      </w:r>
      <w:r>
        <w:rPr>
          <w:rFonts w:hint="eastAsia" w:ascii="宋体" w:hAnsi="宋体"/>
        </w:rPr>
        <w:t>6.应急服务方案</w:t>
      </w:r>
    </w:p>
    <w:p w14:paraId="205BCF9D">
      <w:pPr>
        <w:adjustRightInd w:val="0"/>
        <w:snapToGrid w:val="0"/>
        <w:spacing w:line="360" w:lineRule="auto"/>
        <w:ind w:firstLine="480" w:firstLineChars="200"/>
        <w:jc w:val="both"/>
        <w:rPr>
          <w:rFonts w:ascii="宋体" w:hAnsi="宋体"/>
        </w:rPr>
      </w:pPr>
      <w:r>
        <w:rPr>
          <w:rFonts w:hint="eastAsia" w:ascii="宋体" w:hAnsi="宋体"/>
        </w:rPr>
        <w:t>投标人需提供相关应急服务方案，至少包含以下内容：</w:t>
      </w:r>
    </w:p>
    <w:p w14:paraId="6510B90C">
      <w:pPr>
        <w:adjustRightInd w:val="0"/>
        <w:snapToGrid w:val="0"/>
        <w:spacing w:line="360" w:lineRule="auto"/>
        <w:ind w:firstLine="480" w:firstLineChars="200"/>
        <w:jc w:val="both"/>
        <w:rPr>
          <w:rFonts w:ascii="宋体" w:hAnsi="宋体"/>
        </w:rPr>
      </w:pPr>
      <w:r>
        <w:rPr>
          <w:rFonts w:hint="eastAsia" w:ascii="宋体" w:hAnsi="宋体"/>
        </w:rPr>
        <w:t>6.1 投标人有应对突发状况，紧急事件的的能力，有相应的应急组织，分工合理，职责明确；</w:t>
      </w:r>
    </w:p>
    <w:p w14:paraId="64CBBB4A">
      <w:pPr>
        <w:adjustRightInd w:val="0"/>
        <w:snapToGrid w:val="0"/>
        <w:spacing w:line="360" w:lineRule="auto"/>
        <w:ind w:firstLine="480" w:firstLineChars="200"/>
        <w:jc w:val="both"/>
        <w:rPr>
          <w:rFonts w:ascii="宋体" w:hAnsi="宋体"/>
        </w:rPr>
      </w:pPr>
      <w:r>
        <w:rPr>
          <w:rFonts w:hint="eastAsia" w:ascii="宋体" w:hAnsi="宋体"/>
        </w:rPr>
        <w:t>6.2 对样本接收、样本运输、报告单发放及系统对接等流程，均有相应的应急预案；</w:t>
      </w:r>
    </w:p>
    <w:p w14:paraId="3920F588">
      <w:pPr>
        <w:widowControl w:val="0"/>
        <w:adjustRightInd w:val="0"/>
        <w:snapToGrid w:val="0"/>
        <w:spacing w:line="360" w:lineRule="auto"/>
        <w:ind w:left="480"/>
        <w:jc w:val="both"/>
        <w:rPr>
          <w:rFonts w:hint="eastAsia" w:ascii="宋体" w:hAnsi="宋体"/>
        </w:rPr>
      </w:pPr>
      <w:r>
        <w:rPr>
          <w:rFonts w:ascii="宋体" w:hAnsi="宋体"/>
        </w:rPr>
        <w:t>7</w:t>
      </w:r>
      <w:r>
        <w:rPr>
          <w:rFonts w:hint="eastAsia" w:ascii="宋体" w:hAnsi="宋体"/>
        </w:rPr>
        <w:t>.结算</w:t>
      </w:r>
    </w:p>
    <w:p w14:paraId="0E2C5BC3">
      <w:pPr>
        <w:adjustRightInd w:val="0"/>
        <w:snapToGrid w:val="0"/>
        <w:spacing w:line="360" w:lineRule="auto"/>
        <w:ind w:firstLine="480" w:firstLineChars="200"/>
        <w:jc w:val="both"/>
        <w:rPr>
          <w:rFonts w:ascii="宋体" w:hAnsi="宋体"/>
        </w:rPr>
      </w:pPr>
      <w:r>
        <w:rPr>
          <w:rFonts w:hint="eastAsia" w:ascii="宋体" w:hAnsi="宋体"/>
        </w:rPr>
        <w:t>7.</w:t>
      </w:r>
      <w:r>
        <w:rPr>
          <w:rFonts w:ascii="宋体" w:hAnsi="宋体"/>
        </w:rPr>
        <w:t>1</w:t>
      </w:r>
      <w:r>
        <w:rPr>
          <w:rFonts w:hint="eastAsia" w:ascii="宋体" w:hAnsi="宋体"/>
        </w:rPr>
        <w:t>能提供智能化对账系统，协助医院进行项目账单核对；（提供证明材料）</w:t>
      </w:r>
    </w:p>
    <w:p w14:paraId="40502F51">
      <w:pPr>
        <w:adjustRightInd w:val="0"/>
        <w:snapToGrid w:val="0"/>
        <w:spacing w:line="360" w:lineRule="auto"/>
        <w:ind w:firstLine="480" w:firstLineChars="200"/>
        <w:jc w:val="both"/>
        <w:rPr>
          <w:rFonts w:ascii="宋体" w:hAnsi="宋体"/>
        </w:rPr>
      </w:pPr>
      <w:r>
        <w:rPr>
          <w:rFonts w:hint="eastAsia" w:ascii="宋体" w:hAnsi="宋体"/>
        </w:rPr>
        <w:t>8.团队资质要求</w:t>
      </w:r>
    </w:p>
    <w:p w14:paraId="7C2FA7D7">
      <w:pPr>
        <w:adjustRightInd w:val="0"/>
        <w:snapToGrid w:val="0"/>
        <w:spacing w:line="360" w:lineRule="auto"/>
        <w:ind w:firstLine="480" w:firstLineChars="200"/>
        <w:jc w:val="both"/>
        <w:rPr>
          <w:rFonts w:ascii="宋体" w:hAnsi="宋体"/>
        </w:rPr>
      </w:pPr>
      <w:r>
        <w:rPr>
          <w:rFonts w:hint="eastAsia" w:ascii="宋体" w:hAnsi="宋体"/>
        </w:rPr>
        <w:t>8.1 投标人需提供本项目合理的组织架构，分工明确；</w:t>
      </w:r>
      <w:r>
        <w:rPr>
          <w:rFonts w:hint="eastAsia" w:ascii="宋体" w:hAnsi="宋体"/>
        </w:rPr>
        <w:tab/>
      </w:r>
    </w:p>
    <w:p w14:paraId="7E001250">
      <w:pPr>
        <w:adjustRightInd w:val="0"/>
        <w:snapToGrid w:val="0"/>
        <w:spacing w:line="360" w:lineRule="auto"/>
        <w:ind w:firstLine="480" w:firstLineChars="200"/>
        <w:jc w:val="both"/>
        <w:rPr>
          <w:rFonts w:ascii="宋体" w:hAnsi="宋体"/>
        </w:rPr>
      </w:pPr>
      <w:r>
        <w:rPr>
          <w:rFonts w:hint="eastAsia" w:ascii="宋体" w:hAnsi="宋体"/>
        </w:rPr>
        <w:t>8.2检验学科主任：医学检验相关专业，高级职称，经验丰富；</w:t>
      </w:r>
    </w:p>
    <w:p w14:paraId="27C395F6">
      <w:pPr>
        <w:adjustRightInd w:val="0"/>
        <w:snapToGrid w:val="0"/>
        <w:spacing w:line="360" w:lineRule="auto"/>
        <w:ind w:firstLine="480" w:firstLineChars="200"/>
        <w:jc w:val="both"/>
        <w:rPr>
          <w:rFonts w:ascii="宋体" w:hAnsi="宋体"/>
        </w:rPr>
      </w:pPr>
      <w:r>
        <w:rPr>
          <w:rFonts w:hint="eastAsia" w:ascii="宋体" w:hAnsi="宋体"/>
        </w:rPr>
        <w:t>8</w:t>
      </w:r>
      <w:r>
        <w:rPr>
          <w:rFonts w:ascii="宋体" w:hAnsi="宋体"/>
        </w:rPr>
        <w:t>.3</w:t>
      </w:r>
      <w:r>
        <w:rPr>
          <w:rFonts w:hint="eastAsia" w:ascii="宋体" w:hAnsi="宋体"/>
        </w:rPr>
        <w:t>病理科学科主任：病理学相关专业，高级职称，经验丰富；</w:t>
      </w:r>
    </w:p>
    <w:p w14:paraId="1290ED3E">
      <w:pPr>
        <w:adjustRightInd w:val="0"/>
        <w:snapToGrid w:val="0"/>
        <w:spacing w:line="360" w:lineRule="auto"/>
        <w:ind w:firstLine="480" w:firstLineChars="200"/>
        <w:jc w:val="both"/>
        <w:rPr>
          <w:rFonts w:ascii="宋体" w:hAnsi="宋体"/>
        </w:rPr>
      </w:pPr>
      <w:r>
        <w:rPr>
          <w:rFonts w:hint="eastAsia" w:ascii="宋体" w:hAnsi="宋体"/>
        </w:rPr>
        <w:t>8.</w:t>
      </w:r>
      <w:r>
        <w:rPr>
          <w:rFonts w:ascii="宋体" w:hAnsi="宋体"/>
        </w:rPr>
        <w:t>4</w:t>
      </w:r>
      <w:r>
        <w:rPr>
          <w:rFonts w:hint="eastAsia" w:ascii="宋体" w:hAnsi="宋体"/>
        </w:rPr>
        <w:t>实验室成员：上海本地拥有齐全的MICM实验室技术人员（提供人员职称证明），人员数量≥</w:t>
      </w:r>
      <w:r>
        <w:rPr>
          <w:rFonts w:ascii="宋体" w:hAnsi="宋体"/>
        </w:rPr>
        <w:t>3</w:t>
      </w:r>
      <w:r>
        <w:rPr>
          <w:rFonts w:hint="eastAsia" w:ascii="宋体" w:hAnsi="宋体"/>
        </w:rPr>
        <w:t>0人；签约专家顾问中须包含血液内科专业主任医师，（提供签约专家合同复印件，合同主体为投标人）；</w:t>
      </w:r>
    </w:p>
    <w:p w14:paraId="72D39058">
      <w:pPr>
        <w:adjustRightInd w:val="0"/>
        <w:snapToGrid w:val="0"/>
        <w:spacing w:line="360" w:lineRule="auto"/>
        <w:ind w:firstLine="480" w:firstLineChars="200"/>
        <w:jc w:val="both"/>
        <w:rPr>
          <w:rFonts w:ascii="宋体" w:hAnsi="宋体"/>
        </w:rPr>
      </w:pPr>
      <w:r>
        <w:rPr>
          <w:rFonts w:hint="eastAsia" w:ascii="宋体" w:hAnsi="宋体"/>
        </w:rPr>
        <w:t>8.</w:t>
      </w:r>
      <w:r>
        <w:rPr>
          <w:rFonts w:ascii="宋体" w:hAnsi="宋体"/>
        </w:rPr>
        <w:t>5</w:t>
      </w:r>
      <w:r>
        <w:rPr>
          <w:rFonts w:hint="eastAsia" w:ascii="宋体" w:hAnsi="宋体"/>
        </w:rPr>
        <w:t xml:space="preserve"> 实验室多技术平台人才梯队合理，平台管理人员具备丰富经验；</w:t>
      </w:r>
    </w:p>
    <w:p w14:paraId="62E78F5A">
      <w:pPr>
        <w:adjustRightInd w:val="0"/>
        <w:snapToGrid w:val="0"/>
        <w:spacing w:line="360" w:lineRule="auto"/>
        <w:ind w:firstLine="480" w:firstLineChars="200"/>
        <w:jc w:val="both"/>
        <w:rPr>
          <w:rFonts w:ascii="宋体" w:hAnsi="宋体"/>
        </w:rPr>
      </w:pPr>
      <w:r>
        <w:rPr>
          <w:rFonts w:hint="eastAsia" w:ascii="宋体" w:hAnsi="宋体"/>
        </w:rPr>
        <w:t>8.</w:t>
      </w:r>
      <w:r>
        <w:rPr>
          <w:rFonts w:ascii="宋体" w:hAnsi="宋体"/>
        </w:rPr>
        <w:t>6</w:t>
      </w:r>
      <w:r>
        <w:rPr>
          <w:rFonts w:hint="eastAsia" w:ascii="宋体" w:hAnsi="宋体"/>
        </w:rPr>
        <w:t xml:space="preserve"> 必须有质量控制团队，质量负责人需具备中级以上职称及相关专业，相关经验丰富；</w:t>
      </w:r>
    </w:p>
    <w:p w14:paraId="1B91B377">
      <w:pPr>
        <w:adjustRightInd w:val="0"/>
        <w:snapToGrid w:val="0"/>
        <w:spacing w:line="360" w:lineRule="auto"/>
        <w:ind w:firstLine="480" w:firstLineChars="200"/>
        <w:jc w:val="both"/>
        <w:rPr>
          <w:rFonts w:ascii="宋体" w:hAnsi="宋体"/>
        </w:rPr>
      </w:pPr>
      <w:r>
        <w:rPr>
          <w:rFonts w:hint="eastAsia" w:ascii="宋体" w:hAnsi="宋体"/>
        </w:rPr>
        <w:t>8.</w:t>
      </w:r>
      <w:r>
        <w:rPr>
          <w:rFonts w:ascii="宋体" w:hAnsi="宋体"/>
        </w:rPr>
        <w:t>7</w:t>
      </w:r>
      <w:r>
        <w:rPr>
          <w:rFonts w:hint="eastAsia" w:ascii="宋体" w:hAnsi="宋体"/>
        </w:rPr>
        <w:t xml:space="preserve"> 必须设置有专职信息工程师负责本项目的信息运维工作；</w:t>
      </w:r>
    </w:p>
    <w:p w14:paraId="6662263E">
      <w:pPr>
        <w:adjustRightInd w:val="0"/>
        <w:snapToGrid w:val="0"/>
        <w:spacing w:line="360" w:lineRule="auto"/>
        <w:ind w:firstLine="480" w:firstLineChars="200"/>
        <w:jc w:val="both"/>
        <w:rPr>
          <w:rFonts w:ascii="宋体" w:hAnsi="宋体"/>
        </w:rPr>
      </w:pPr>
      <w:r>
        <w:rPr>
          <w:rFonts w:hint="eastAsia" w:ascii="宋体" w:hAnsi="宋体"/>
        </w:rPr>
        <w:t>9.其他服务</w:t>
      </w:r>
    </w:p>
    <w:p w14:paraId="39170999">
      <w:pPr>
        <w:adjustRightInd w:val="0"/>
        <w:snapToGrid w:val="0"/>
        <w:spacing w:line="360" w:lineRule="auto"/>
        <w:ind w:firstLine="480" w:firstLineChars="200"/>
        <w:jc w:val="both"/>
        <w:rPr>
          <w:rFonts w:ascii="宋体" w:hAnsi="宋体"/>
        </w:rPr>
      </w:pPr>
      <w:r>
        <w:rPr>
          <w:rFonts w:hint="eastAsia" w:ascii="宋体" w:hAnsi="宋体"/>
        </w:rPr>
        <w:t>9.1 能助力医院学科发展，有一定科研能力，承接横向课题能力；</w:t>
      </w:r>
    </w:p>
    <w:p w14:paraId="09839781">
      <w:pPr>
        <w:adjustRightInd w:val="0"/>
        <w:snapToGrid w:val="0"/>
        <w:spacing w:line="360" w:lineRule="auto"/>
        <w:ind w:firstLine="480" w:firstLineChars="200"/>
        <w:jc w:val="both"/>
        <w:rPr>
          <w:rFonts w:ascii="宋体" w:hAnsi="宋体"/>
        </w:rPr>
      </w:pPr>
      <w:r>
        <w:rPr>
          <w:rFonts w:hint="eastAsia" w:ascii="宋体" w:hAnsi="宋体"/>
        </w:rPr>
        <w:t>9.2 提供必要的创新方案，辅助医院新技术开发，提供高潜项目本地化的支持，可以提供配套落地设备及人员支持；</w:t>
      </w:r>
    </w:p>
    <w:p w14:paraId="00B1DF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319FF"/>
    <w:rsid w:val="68E3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style>
  <w:style w:type="character" w:styleId="5">
    <w:name w:val="annotation reference"/>
    <w:qFormat/>
    <w:uiPriority w:val="0"/>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2024-11-28T10:07:00Z</dcterms:created>
  <dc:creator>杨俐君</dc:creator>
  <cp:lastModifiedBy>杨俐君</cp:lastModifiedBy>
  <dcterms:modified xsi:type="dcterms:W3CDTF">2024-11-28T10:40:39Z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5DB9AED2768B46489AE5F36370B522D3_11</vt:lpwstr>
  </property>
</Properties>
</file>