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一、项目名称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神经检测仪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二、项目参数: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（一）名称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神经检测仪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（二）预算金额、最高限价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人民币50</w:t>
      </w:r>
      <w:r>
        <w:rPr>
          <w:rFonts w:ascii="宋体" w:hAnsi="宋体" w:eastAsia="宋体"/>
          <w:sz w:val="24"/>
          <w:szCs w:val="24"/>
        </w:rPr>
        <w:t>万元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（三）资格条件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1）具有独立承担民事责任的能力。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2）本项目不接受联合体投标；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3）本项目不接受分包、转包；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4）单位负责人为同一人或者存在直接控股、管理关系的不同供应商，不得参加同一合同项下的采购活动；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8）如投标单位是贸易代理商，应提供该设备的制造商出具的本次采购项目唯一代理的授权函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（四）功能及技术参数：</w:t>
      </w:r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bookmarkStart w:id="0" w:name="PO_PURCHASE_REQUIREMENT_FILE36649_2"/>
      <w:bookmarkStart w:id="1" w:name="PO_PURCHASE_REQUIREMENT_FILE28186_2"/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主要功能及工作原理：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szCs w:val="24"/>
        </w:rPr>
      </w:pPr>
      <w:r>
        <w:rPr>
          <w:rFonts w:hint="eastAsia" w:ascii="宋体" w:hAnsi="宋体" w:eastAsia="宋体" w:cs="等线"/>
          <w:sz w:val="24"/>
          <w:szCs w:val="24"/>
        </w:rPr>
        <w:t>用于定量测量人体各部位的温度觉(包括冷觉、温觉、冷痛觉和热痛觉)和振动觉来评估人体感觉神经功能障碍程度。定量检测周围神病变经引起大纤维和（或）小纤维神经的损害，识别不同疾病疼痛的病理学机制，比较神经病变的治疗效果。</w:t>
      </w:r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应用场景：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szCs w:val="24"/>
        </w:rPr>
      </w:pPr>
      <w:r>
        <w:rPr>
          <w:rFonts w:hint="eastAsia" w:ascii="宋体" w:hAnsi="宋体" w:eastAsia="宋体" w:cs="等线"/>
          <w:sz w:val="24"/>
          <w:szCs w:val="24"/>
        </w:rPr>
        <w:t>设备为占地约0.5平米的可移动式工作站，患者可坐在椅上或卧于床上检查。</w:t>
      </w:r>
      <w:bookmarkStart w:id="2" w:name="_Toc70385203"/>
      <w:bookmarkStart w:id="3" w:name="_Toc72184668"/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配置清单</w:t>
      </w:r>
    </w:p>
    <w:bookmarkEnd w:id="2"/>
    <w:bookmarkEnd w:id="3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166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医用主机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温度刺激器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手持式振动刺激器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反应控制器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定量感觉神经测试软件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</w:tcPr>
          <w:p>
            <w:pPr>
              <w:jc w:val="center"/>
              <w:rPr>
                <w:rStyle w:val="26"/>
                <w:rFonts w:hint="default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专用数据线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产品说明书</w:t>
            </w:r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医用一体机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及台车</w:t>
            </w:r>
            <w:bookmarkStart w:id="4" w:name="_GoBack"/>
            <w:bookmarkEnd w:id="4"/>
          </w:p>
        </w:tc>
        <w:tc>
          <w:tcPr>
            <w:tcW w:w="2077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</w:tr>
    </w:tbl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重要及一般技术参数：</w:t>
      </w:r>
    </w:p>
    <w:bookmarkEnd w:id="0"/>
    <w:bookmarkEnd w:id="1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716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7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定量测量温度感觉阈值至少包含以下：温觉阈值（WST）、冷觉阈值（CST）、定量测量痛觉阈值：热痛觉阈值（HPT）、冷痛觉阈值（CPT）。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系统提供全身（头、躯干、上肢、下肢、手部、足部、阴茎等）≥16个感觉关键点的预设设置，并支持自定义增减。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120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采用水冷循环方式，连续调控温度。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120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温度测试范围：0-50℃，具备自动连续升降温刺激。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温度变化速率至少 1℃/S、0.5℃/S可选。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120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温度测量精度≤0.1℃。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tabs>
                <w:tab w:val="left" w:pos="120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基线温度：32℃。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</w:t>
            </w:r>
          </w:p>
        </w:tc>
        <w:tc>
          <w:tcPr>
            <w:tcW w:w="7167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配有反应控制器。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9、</w:t>
            </w:r>
          </w:p>
        </w:tc>
        <w:tc>
          <w:tcPr>
            <w:tcW w:w="7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配置定量测量震动觉阈值（VPT）。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10、</w:t>
            </w:r>
          </w:p>
        </w:tc>
        <w:tc>
          <w:tcPr>
            <w:tcW w:w="7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振动电路电压测试范围：0～50V，可连续调节。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11、</w:t>
            </w:r>
          </w:p>
        </w:tc>
        <w:tc>
          <w:tcPr>
            <w:tcW w:w="7167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振幅步进精度≤0.1V。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12、</w:t>
            </w:r>
          </w:p>
        </w:tc>
        <w:tc>
          <w:tcPr>
            <w:tcW w:w="7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振动刺激具有自动升压和手动控制至少两种方式。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13、</w:t>
            </w:r>
          </w:p>
        </w:tc>
        <w:tc>
          <w:tcPr>
            <w:tcW w:w="71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振动变化速率至少 0.7V/S、1.6V/S可选。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支持脚踏式振动刺激器，方便患者坐姿检查。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可显示软件</w:t>
            </w:r>
            <w:r>
              <w:rPr>
                <w:rStyle w:val="13"/>
                <w:rFonts w:hint="eastAsia" w:ascii="宋体" w:hAnsi="宋体" w:eastAsia="宋体" w:cs="Times New Roman"/>
                <w:b w:val="0"/>
                <w:bCs w:val="0"/>
                <w:szCs w:val="21"/>
              </w:rPr>
              <w:t>自动计算均值、变异系数、异常率、不对称性等数据。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Times New Roman"/>
                <w:b w:val="0"/>
                <w:bCs w:val="0"/>
                <w:szCs w:val="21"/>
              </w:rPr>
              <w:t>支持实时图表显示，包括检测人数、男女比例、年龄分布和发病率等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Style w:val="13"/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根据检查结果自动成生报告摘要。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支持原始数据导出为EXCEL格式。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19、</w:t>
            </w:r>
          </w:p>
        </w:tc>
        <w:tc>
          <w:tcPr>
            <w:tcW w:w="7167" w:type="dxa"/>
            <w:vAlign w:val="center"/>
          </w:tcPr>
          <w:p>
            <w:pPr>
              <w:tabs>
                <w:tab w:val="left" w:pos="30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医用一体机，系统：Win10，CPU≥四核，主频≥2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Cs w:val="21"/>
              </w:rPr>
              <w:t>GHz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，内存≥8GB，固态硬盘≥256G，显示尺寸≥23.8英寸，屏幕分辨率≥1920*1080dpi，可彩打，须配备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合金可移动台车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五、项目售后服务要求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.所有设备均由投标方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4.验收方案：根据合同的配置标准现场验收。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5.保证对所售设备提供专业的7*24小时原厂技术服务和技术支持，电话响应时间≤2小时，本地供应商在24小时内到达现场,外地供应商在48小时内到达现场,2小时内进行修复。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6.供应商派原厂专业技术人员在项目现场对使用人员进行培训或指导，直至用户完全掌握设备，并对用户的维修人员提供全方位培训，在使用一段时间后可根据使用人员的要求另行安排培训计划；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★7.设备保修期≥原厂整机3年（含所有零配件），提供售后服务承诺函。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9.提供终身软件升级、安装调试服务；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10.提供原厂技术援助：提供中文操作手册及其他相关资料，对用户进行仪器的技术原理，操作，数据处理，基本维护等培训服务。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11.投标文件中分别提供随机易损件和易耗件清单（计入投标总价），和质保期结束后的备品备件、易损件和易耗件清单一览表（不计入投标总价）。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12.备品备件、易损件和易耗件供货价格：不得超过市场价格的80%。投标时需填写上述价格，出质保期后，上述产品供货价格以双方最终认定价格为准，且采购人有权更换供货方。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13.备品备件供货价格：必要零部件供应年限不少于10年，提供重要零部件的报价清单，价格有效期不少于3年。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14.不得超过市场价格的80%。投标时需填写上述价格，出质保期后，上述产品供货价格以双方最终认定价格为准，且采购人有权更换供货方。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二、商务条款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交付时间：中标单位应在合同生效的</w:t>
      </w:r>
      <w:r>
        <w:rPr>
          <w:rFonts w:ascii="宋体" w:hAnsi="宋体" w:eastAsia="宋体"/>
          <w:sz w:val="24"/>
          <w:szCs w:val="24"/>
        </w:rPr>
        <w:t>30天内，向招标人交付设备。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交货地点：上海交通大学医学附属新华医院奉贤院区。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付款方式：设备安装验收合格后一次性支付合同总价的</w:t>
      </w:r>
      <w:r>
        <w:rPr>
          <w:rFonts w:ascii="宋体" w:hAnsi="宋体" w:eastAsia="宋体"/>
          <w:sz w:val="24"/>
          <w:szCs w:val="24"/>
        </w:rPr>
        <w:t>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DgyYjc0MTlkYzBkZmFhYTBmMWUzM2UwOTljOTcifQ=="/>
  </w:docVars>
  <w:rsids>
    <w:rsidRoot w:val="00802568"/>
    <w:rsid w:val="000166DE"/>
    <w:rsid w:val="0002615B"/>
    <w:rsid w:val="00080973"/>
    <w:rsid w:val="00086095"/>
    <w:rsid w:val="00094D1C"/>
    <w:rsid w:val="00097888"/>
    <w:rsid w:val="000D4DB6"/>
    <w:rsid w:val="00105267"/>
    <w:rsid w:val="00142BD0"/>
    <w:rsid w:val="0017708B"/>
    <w:rsid w:val="001D1C86"/>
    <w:rsid w:val="001E1695"/>
    <w:rsid w:val="00284437"/>
    <w:rsid w:val="002E581F"/>
    <w:rsid w:val="002E6109"/>
    <w:rsid w:val="00327835"/>
    <w:rsid w:val="00394B8A"/>
    <w:rsid w:val="003C0705"/>
    <w:rsid w:val="003D786E"/>
    <w:rsid w:val="003E10C4"/>
    <w:rsid w:val="004021C6"/>
    <w:rsid w:val="004026C0"/>
    <w:rsid w:val="004266A0"/>
    <w:rsid w:val="004304F6"/>
    <w:rsid w:val="004747A9"/>
    <w:rsid w:val="00496F36"/>
    <w:rsid w:val="004A214B"/>
    <w:rsid w:val="004B4986"/>
    <w:rsid w:val="004C3740"/>
    <w:rsid w:val="004D2F00"/>
    <w:rsid w:val="004D5DE0"/>
    <w:rsid w:val="00520DEE"/>
    <w:rsid w:val="0053062E"/>
    <w:rsid w:val="00585B55"/>
    <w:rsid w:val="005C6429"/>
    <w:rsid w:val="005C6553"/>
    <w:rsid w:val="005F0A2F"/>
    <w:rsid w:val="005F3C6D"/>
    <w:rsid w:val="00610189"/>
    <w:rsid w:val="006575BE"/>
    <w:rsid w:val="00673EE3"/>
    <w:rsid w:val="00721ECB"/>
    <w:rsid w:val="00796758"/>
    <w:rsid w:val="00802568"/>
    <w:rsid w:val="008554C2"/>
    <w:rsid w:val="00873EC2"/>
    <w:rsid w:val="0090336E"/>
    <w:rsid w:val="0097410A"/>
    <w:rsid w:val="009A69E6"/>
    <w:rsid w:val="009C2D8E"/>
    <w:rsid w:val="009C55BA"/>
    <w:rsid w:val="009D50C6"/>
    <w:rsid w:val="009E7790"/>
    <w:rsid w:val="00A35C9A"/>
    <w:rsid w:val="00A55C1F"/>
    <w:rsid w:val="00A61F88"/>
    <w:rsid w:val="00A964D4"/>
    <w:rsid w:val="00AA4D85"/>
    <w:rsid w:val="00AA63C9"/>
    <w:rsid w:val="00AA70B2"/>
    <w:rsid w:val="00AB4546"/>
    <w:rsid w:val="00AB4C66"/>
    <w:rsid w:val="00B40A70"/>
    <w:rsid w:val="00B43BBE"/>
    <w:rsid w:val="00B77F0C"/>
    <w:rsid w:val="00BB48CA"/>
    <w:rsid w:val="00BE6460"/>
    <w:rsid w:val="00C436C4"/>
    <w:rsid w:val="00C778E2"/>
    <w:rsid w:val="00C80D9B"/>
    <w:rsid w:val="00CA03B0"/>
    <w:rsid w:val="00CC1A89"/>
    <w:rsid w:val="00CD272D"/>
    <w:rsid w:val="00D00298"/>
    <w:rsid w:val="00D04F69"/>
    <w:rsid w:val="00D14F77"/>
    <w:rsid w:val="00D81DBB"/>
    <w:rsid w:val="00DA4777"/>
    <w:rsid w:val="00DB079B"/>
    <w:rsid w:val="00E674E3"/>
    <w:rsid w:val="00EA5C1B"/>
    <w:rsid w:val="00EA65FE"/>
    <w:rsid w:val="00F10425"/>
    <w:rsid w:val="00F11370"/>
    <w:rsid w:val="00F21B5B"/>
    <w:rsid w:val="00F9575B"/>
    <w:rsid w:val="00FB02C1"/>
    <w:rsid w:val="00FC3CF3"/>
    <w:rsid w:val="233952A9"/>
    <w:rsid w:val="BF794016"/>
    <w:rsid w:val="E5EDFE4A"/>
    <w:rsid w:val="EDCA4FE7"/>
    <w:rsid w:val="FFFDC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widowControl/>
      <w:jc w:val="left"/>
      <w:textAlignment w:val="baseline"/>
    </w:pPr>
    <w:rPr>
      <w:rFonts w:ascii="Times New Roman" w:hAnsi="Times New Roman" w:eastAsia="宋体" w:cs="Times New Roman"/>
      <w:szCs w:val="24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autoRedefine/>
    <w:semiHidden/>
    <w:unhideWhenUsed/>
    <w:qFormat/>
    <w:uiPriority w:val="99"/>
    <w:pPr>
      <w:widowControl w:val="0"/>
      <w:textAlignment w:val="auto"/>
    </w:pPr>
    <w:rPr>
      <w:rFonts w:asciiTheme="minorHAnsi" w:hAnsiTheme="minorHAnsi" w:eastAsiaTheme="minorEastAsia" w:cstheme="minorBidi"/>
      <w:b/>
      <w:bCs/>
      <w:szCs w:val="22"/>
    </w:rPr>
  </w:style>
  <w:style w:type="table" w:styleId="11">
    <w:name w:val="Table Grid"/>
    <w:basedOn w:val="10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annotation reference"/>
    <w:autoRedefine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NormalCharacter"/>
    <w:autoRedefine/>
    <w:qFormat/>
    <w:uiPriority w:val="0"/>
  </w:style>
  <w:style w:type="character" w:customStyle="1" w:styleId="18">
    <w:name w:val="批注文字 字符"/>
    <w:basedOn w:val="12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autoRedefine/>
    <w:qFormat/>
    <w:uiPriority w:val="9"/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customStyle="1" w:styleId="21">
    <w:name w:val="lijujieshi"/>
    <w:basedOn w:val="12"/>
    <w:autoRedefine/>
    <w:qFormat/>
    <w:uiPriority w:val="0"/>
  </w:style>
  <w:style w:type="character" w:customStyle="1" w:styleId="22">
    <w:name w:val="heighlight"/>
    <w:basedOn w:val="12"/>
    <w:autoRedefine/>
    <w:qFormat/>
    <w:uiPriority w:val="0"/>
  </w:style>
  <w:style w:type="character" w:customStyle="1" w:styleId="23">
    <w:name w:val="批注主题 字符"/>
    <w:basedOn w:val="18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387</Words>
  <Characters>2209</Characters>
  <Lines>18</Lines>
  <Paragraphs>5</Paragraphs>
  <TotalTime>105</TotalTime>
  <ScaleCrop>false</ScaleCrop>
  <LinksUpToDate>false</LinksUpToDate>
  <CharactersWithSpaces>2591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2024-11-06T17:04:00Z</dcterms:created>
  <dc:creator>Windows 用户</dc:creator>
  <cp:lastModifiedBy>56865</cp:lastModifiedBy>
  <dcterms:modified xsi:type="dcterms:W3CDTF">2024-12-05T06:54:26Z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1D6C0A2D4D83BD9C59472A67BD59D04E_42</vt:lpwstr>
  </property>
</Properties>
</file>