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一、项目名称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数字化动态脑电记录分析系统一批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二、项目参数: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（一）名称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  <w:lang w:eastAsia="zh-CN"/>
        </w:rPr>
      </w:pPr>
      <w:bookmarkStart w:id="4" w:name="_GoBack"/>
      <w:r>
        <w:rPr>
          <w:rFonts w:hint="eastAsia" w:ascii="宋体" w:hAnsi="宋体" w:eastAsia="宋体"/>
          <w:sz w:val="24"/>
          <w:szCs w:val="24"/>
          <w:lang w:eastAsia="zh-CN"/>
        </w:rPr>
        <w:t>数字化动态脑电记录分析系统一批</w:t>
      </w:r>
    </w:p>
    <w:bookmarkEnd w:id="4"/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（二）预算金额、最高限价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人民币50</w:t>
      </w:r>
      <w:r>
        <w:rPr>
          <w:rFonts w:ascii="宋体" w:hAnsi="宋体" w:eastAsia="宋体"/>
          <w:sz w:val="24"/>
          <w:szCs w:val="24"/>
        </w:rPr>
        <w:t>万元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（三）资格条件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1）具有独立承担民事责任的能力。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2）本项目不接受联合体投标；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3）本项目不接受分包、转包；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4）单位负责人为同一人或者存在直接控股、管理关系的不同供应商，不得参加同一合同项下的采购活动；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）近三年未被列入信用中国网站(https://www.creditchina.gov.cn)失信被执行人、异常经营名录、税收违法黑名单、政府采购严重违法失信行为记录名单；中国政府采购网(www.ccgp.gov.cn)严重违法失信行为记录名单；“国家企业信用信息公示系统”（http://gsxt.saic.gov.cn/） “行政处罚信息（较大数额罚款）”、“列入经营异常名录信息”、“列入严重违法失信企业名单（黑名单）信息”；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）若投标人是投标货物制造厂家，应按照国家有关规定提供有效期内完整的《中华人民共和国医疗器械生产企业许可证》、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）若投标人是经营销售企业，应按照国家有关规定提供有效期内完整的《中华人民共和国医疗器械经营许可证》、《中华人民共和国医疗器械注册证》。投标人的生产或经营范围应当与国家相关许可保持一致。投标货物的规格型号应当与《中华人民共和国医疗器械注册证》中的规格型号保持一致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8）如投标单位是贸易代理商，应提供该设备的制造商出具的本次采购项目唯一代理的授权函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（四）功能及技术参数：</w:t>
      </w:r>
    </w:p>
    <w:p>
      <w:pPr>
        <w:keepNext/>
        <w:keepLines/>
        <w:numPr>
          <w:ilvl w:val="0"/>
          <w:numId w:val="2"/>
        </w:numPr>
        <w:tabs>
          <w:tab w:val="left" w:pos="360"/>
        </w:tabs>
        <w:spacing w:before="100" w:after="100" w:line="440" w:lineRule="exact"/>
        <w:ind w:left="420"/>
        <w:jc w:val="left"/>
        <w:outlineLvl w:val="0"/>
        <w:rPr>
          <w:rFonts w:ascii="宋体" w:hAnsi="Times New Roman" w:eastAsia="宋体" w:cs="Times New Roman"/>
          <w:b/>
          <w:spacing w:val="20"/>
          <w:kern w:val="44"/>
          <w:sz w:val="24"/>
          <w:szCs w:val="24"/>
        </w:rPr>
      </w:pPr>
      <w:bookmarkStart w:id="0" w:name="PO_PURCHASE_REQUIREMENT_FILE28186_2"/>
      <w:bookmarkStart w:id="1" w:name="PO_PURCHASE_REQUIREMENT_FILE36649_2"/>
      <w:r>
        <w:rPr>
          <w:rFonts w:hint="eastAsia" w:ascii="宋体" w:hAnsi="Times New Roman" w:eastAsia="宋体" w:cs="Times New Roman"/>
          <w:b/>
          <w:spacing w:val="20"/>
          <w:kern w:val="44"/>
          <w:sz w:val="24"/>
          <w:szCs w:val="24"/>
        </w:rPr>
        <w:t>主要功能及工作原理：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等线"/>
          <w:sz w:val="24"/>
          <w:szCs w:val="24"/>
        </w:rPr>
      </w:pPr>
      <w:r>
        <w:rPr>
          <w:rFonts w:hint="eastAsia" w:ascii="宋体" w:hAnsi="宋体" w:eastAsia="宋体" w:cs="等线"/>
          <w:sz w:val="24"/>
          <w:szCs w:val="24"/>
        </w:rPr>
        <w:t>主要功能：数字化动态脑电记录分析系统是用于脑电波检测的医学设备，可在活动、睡眠等日常生活状态下记录受试者24小时脑电图，适用于常规脑电图检查范围，目的是对疾病状态下脑电变化有更多了解，提高诊断率。特别适用于发作性疾病如癫痫、晕厥和睡眠障碍的脑电分析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等线"/>
          <w:sz w:val="24"/>
          <w:szCs w:val="24"/>
        </w:rPr>
      </w:pPr>
      <w:r>
        <w:rPr>
          <w:rFonts w:hint="eastAsia" w:ascii="宋体" w:hAnsi="宋体" w:eastAsia="宋体" w:cs="等线"/>
          <w:sz w:val="24"/>
          <w:szCs w:val="24"/>
        </w:rPr>
        <w:t>原理：盘状电极用导电膏粘贴在病人头皮上，进行脑电波数据采集、记录同时进行放大，保存在存储卡上，导出到电脑用配套分析软件进行处理，医生根据数据进行判读。</w:t>
      </w:r>
    </w:p>
    <w:p>
      <w:pPr>
        <w:keepNext/>
        <w:keepLines/>
        <w:numPr>
          <w:ilvl w:val="0"/>
          <w:numId w:val="2"/>
        </w:numPr>
        <w:tabs>
          <w:tab w:val="left" w:pos="360"/>
        </w:tabs>
        <w:spacing w:before="100" w:after="100" w:line="440" w:lineRule="exact"/>
        <w:ind w:left="420"/>
        <w:jc w:val="left"/>
        <w:outlineLvl w:val="0"/>
        <w:rPr>
          <w:rFonts w:ascii="宋体" w:hAnsi="Times New Roman" w:eastAsia="宋体" w:cs="Times New Roman"/>
          <w:b/>
          <w:spacing w:val="20"/>
          <w:kern w:val="44"/>
          <w:sz w:val="24"/>
          <w:szCs w:val="24"/>
        </w:rPr>
      </w:pPr>
      <w:r>
        <w:rPr>
          <w:rFonts w:hint="eastAsia" w:ascii="宋体" w:hAnsi="Times New Roman" w:eastAsia="宋体" w:cs="Times New Roman"/>
          <w:b/>
          <w:spacing w:val="20"/>
          <w:kern w:val="44"/>
          <w:sz w:val="24"/>
          <w:szCs w:val="24"/>
        </w:rPr>
        <w:t>应用场景：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等线"/>
          <w:sz w:val="24"/>
          <w:szCs w:val="24"/>
        </w:rPr>
      </w:pPr>
      <w:r>
        <w:rPr>
          <w:rFonts w:hint="eastAsia" w:ascii="宋体" w:hAnsi="宋体" w:eastAsia="宋体" w:cs="等线"/>
          <w:sz w:val="24"/>
          <w:szCs w:val="24"/>
        </w:rPr>
        <w:t>病人佩戴回家或在病房进行24小时监测。</w:t>
      </w:r>
      <w:bookmarkStart w:id="2" w:name="_Toc72184668"/>
      <w:bookmarkStart w:id="3" w:name="_Toc70385203"/>
    </w:p>
    <w:p>
      <w:pPr>
        <w:keepNext/>
        <w:keepLines/>
        <w:numPr>
          <w:ilvl w:val="0"/>
          <w:numId w:val="2"/>
        </w:numPr>
        <w:tabs>
          <w:tab w:val="left" w:pos="360"/>
        </w:tabs>
        <w:spacing w:before="100" w:after="100" w:line="440" w:lineRule="exact"/>
        <w:ind w:left="420"/>
        <w:jc w:val="left"/>
        <w:outlineLvl w:val="0"/>
        <w:rPr>
          <w:rFonts w:ascii="宋体" w:hAnsi="Times New Roman" w:eastAsia="宋体" w:cs="Times New Roman"/>
          <w:b/>
          <w:spacing w:val="20"/>
          <w:kern w:val="44"/>
          <w:sz w:val="24"/>
          <w:szCs w:val="24"/>
        </w:rPr>
      </w:pPr>
      <w:r>
        <w:rPr>
          <w:rFonts w:hint="eastAsia" w:ascii="宋体" w:hAnsi="Times New Roman" w:eastAsia="宋体" w:cs="Times New Roman"/>
          <w:b/>
          <w:spacing w:val="20"/>
          <w:kern w:val="44"/>
          <w:sz w:val="24"/>
          <w:szCs w:val="24"/>
        </w:rPr>
        <w:t>配置清单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333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序号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项目名称</w:t>
            </w:r>
          </w:p>
        </w:tc>
        <w:tc>
          <w:tcPr>
            <w:tcW w:w="319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动态脑电记录盒</w:t>
            </w:r>
          </w:p>
        </w:tc>
        <w:tc>
          <w:tcPr>
            <w:tcW w:w="319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存储卡</w:t>
            </w:r>
          </w:p>
        </w:tc>
        <w:tc>
          <w:tcPr>
            <w:tcW w:w="319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3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电极线</w:t>
            </w:r>
          </w:p>
        </w:tc>
        <w:tc>
          <w:tcPr>
            <w:tcW w:w="319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导电膏</w:t>
            </w:r>
          </w:p>
        </w:tc>
        <w:tc>
          <w:tcPr>
            <w:tcW w:w="319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主机（电脑）</w:t>
            </w:r>
          </w:p>
        </w:tc>
        <w:tc>
          <w:tcPr>
            <w:tcW w:w="319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配套软件</w:t>
            </w:r>
          </w:p>
        </w:tc>
        <w:tc>
          <w:tcPr>
            <w:tcW w:w="319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9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7</w:t>
            </w:r>
          </w:p>
        </w:tc>
        <w:tc>
          <w:tcPr>
            <w:tcW w:w="2333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Style w:val="14"/>
                <w:rFonts w:hint="eastAsia" w:ascii="Times New Roman" w:hAnsi="Times New Roman" w:eastAsia="宋体" w:cs="Times New Roman"/>
              </w:rPr>
              <w:t>附件（说明书合格证）</w:t>
            </w:r>
          </w:p>
        </w:tc>
        <w:tc>
          <w:tcPr>
            <w:tcW w:w="3198" w:type="dxa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1套</w:t>
            </w:r>
          </w:p>
        </w:tc>
      </w:tr>
      <w:bookmarkEnd w:id="2"/>
      <w:bookmarkEnd w:id="3"/>
    </w:tbl>
    <w:p>
      <w:pPr>
        <w:keepNext/>
        <w:keepLines/>
        <w:numPr>
          <w:ilvl w:val="0"/>
          <w:numId w:val="2"/>
        </w:numPr>
        <w:tabs>
          <w:tab w:val="left" w:pos="360"/>
        </w:tabs>
        <w:spacing w:before="100" w:after="100" w:line="360" w:lineRule="auto"/>
        <w:ind w:left="420"/>
        <w:jc w:val="left"/>
        <w:outlineLvl w:val="0"/>
        <w:rPr>
          <w:rFonts w:ascii="宋体" w:hAnsi="Times New Roman" w:eastAsia="宋体" w:cs="Times New Roman"/>
          <w:b/>
          <w:spacing w:val="20"/>
          <w:kern w:val="44"/>
          <w:sz w:val="24"/>
          <w:szCs w:val="24"/>
        </w:rPr>
      </w:pPr>
      <w:r>
        <w:rPr>
          <w:rFonts w:hint="eastAsia" w:ascii="宋体" w:hAnsi="Times New Roman" w:eastAsia="宋体" w:cs="Times New Roman"/>
          <w:b/>
          <w:spacing w:val="20"/>
          <w:kern w:val="44"/>
          <w:sz w:val="24"/>
          <w:szCs w:val="24"/>
        </w:rPr>
        <w:t>重要及一般技术参数：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28"/>
        <w:gridCol w:w="6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需求描述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1.1</w:t>
            </w:r>
            <w:r>
              <w:rPr>
                <w:rFonts w:hint="eastAsia"/>
                <w:szCs w:val="21"/>
              </w:rPr>
              <w:t>▲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具备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实时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显示功能，方便查看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1.2</w:t>
            </w:r>
            <w:r>
              <w:rPr>
                <w:rFonts w:hint="eastAsia"/>
                <w:szCs w:val="21"/>
              </w:rPr>
              <w:t>▲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重量不高于120g（不含电池）；两节电池即可使用。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1.3</w:t>
            </w:r>
            <w:r>
              <w:rPr>
                <w:rFonts w:hint="eastAsia"/>
                <w:szCs w:val="21"/>
              </w:rPr>
              <w:t>▲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显示通道数：最多显示64个通道，加一个标识数据通道；可以添加波形注释名称；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1.4</w:t>
            </w:r>
            <w:r>
              <w:rPr>
                <w:rFonts w:hint="eastAsia"/>
                <w:szCs w:val="21"/>
              </w:rPr>
              <w:t>▲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cDSA彩色数字频谱分析实时显示：显示4导联脑波信号长程监测过程中各个脑波频率信号强度，导联可自定义;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</w:t>
            </w:r>
            <w:r>
              <w:rPr>
                <w:rFonts w:hint="eastAsia"/>
                <w:szCs w:val="21"/>
              </w:rPr>
              <w:t>▲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aEEG振幅整合幅度图实时显示： 显示4导联脑波信号长程监测过程中压缩振幅值趋势图，可自定导联、振幅范围；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1.6</w:t>
            </w:r>
            <w:r>
              <w:rPr>
                <w:rFonts w:hint="eastAsia"/>
                <w:szCs w:val="21"/>
              </w:rPr>
              <w:t>▲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具备采集数据可倒入配套软件进行分析。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三、一般技术参数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2.1.1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硬件要求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具备彩色打印功能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2.1.2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电压测量：误差不超过±10％；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2.1.3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频率特性：（1-30）HZ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2.1.4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输入阻抗：≥ 10MΩ；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2.1.5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共模抑制比：≥ 100dB；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2.1.6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内部噪声：≤ 2.5µVP-P；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2.1.7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采样率：≥200Hz；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2.1.8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A/D 转换精度：≥12Bit；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2.1.9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耐极化电压：加±300mv的直流电压，幅度最大允许相对偏差±5%；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2.1.10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连续记录时间：12、24、48小时可设；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2.2.1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软件要求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灵敏度：至少OFF、(1、2、3、5、7、10、15、20、30、50、75、100、150、200)μV/mm可设；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2.2.2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时间常数：(0.03、0.1、0.3)s；0.03s～0.1s误差不超过±40%；大于0.1s误差不超过±20%；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2.2.3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高切滤波器：(15、30、35、60、120)Hz；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2.2.4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参考电极：AV（可增加或删除组合电极），AaV，0V，SD，OFF；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2.2.5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波形显示颜色：至少16色；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2.2.6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具备专业报告模版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2.2.7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具备脑电地形图功能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2.3.8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标识信号：可通过动态盒子在采集时加入标记，也可回放时加入事件标记；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2.3.9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档案存储及打印：具备打印脑电波形和诊断报告的功能。波形打印：事件打印，病人信息打印，导联打印；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2.3.10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显示模式至少包含：连续回放，高速回放，手动逐页，手动逐秒；</w:t>
            </w:r>
          </w:p>
        </w:tc>
      </w:tr>
      <w:bookmarkEnd w:id="0"/>
      <w:bookmarkEnd w:id="1"/>
    </w:tbl>
    <w:p>
      <w:pPr>
        <w:spacing w:line="360" w:lineRule="auto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bCs/>
          <w:kern w:val="44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五、项目售后服务要求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1.供货价为最终用户价，所有运费、保险均由投标方承担；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3.所有设备均由投标方负责安装调试，货物送至7天内安装。安装调试过程中一切费用均由投标方承担。安装完成后，对设备主要性能进行检测，并提供检测报告。若仪器安装后发现主要参数与标书或仪器说明书严重不符影响工作，应无条件退货，投标方承担全部损失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4.验收方案：根据合同的配置标准现场验收。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5.保证对所售设备提供专业的7*24小时原厂技术服务和技术支持，电话响应时间≤2小时，8小时内到达现场, 之后2小时内进行修复，无法修复的问题应提供与该设备相同的备用机，并在一周内解决或提出明确解决方案。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6.供应商派原厂专业技术人员在项目现场对使用人员进行培训或指导，直至用户完全掌握设备，并对用户的维修人员提供全方位培训，在使用一段时间后可根据使用人员的要求另行安排培训计划；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★7.设备保修期≥原厂整机3年（含所有零配件），提供售后服务承诺函。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8.质保期为验收合格之日起开始计算，保修期内开机率不低于95%（按365日/年计算，含节假日)，未达到要求的开机率天数，按双倍天数顺延保修期。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9.提供终身软件升级、安装调试服务；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10.提供原厂技术援助：提供中文操作手册及其他相关资料，对用户进行仪器的技术原理，操作，数据处理，基本维护等培训服务。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11.投标文件中分别提供随机易损件和易耗件清单（计入投标总价），和质保期结束后的备品备件、易损件和易耗件清单一览表（不计入投标总价）。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12.备品备件、易损件和易耗件供货价格：不得超过市场价格的80%。投标时需填写上述价格，出质保期后，上述产品供货价格以双方最终认定价格为准，且采购人有权更换供货方。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13.备品备件供货价格：必要零部件供应年限不少于10年，提供重要零部件的报价清单，价格有效期不少于3年。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14.不得超过市场价格的80%。投标时需填写上述价格，出质保期后，上述产品供货价格以双方最终认定价格为准，且采购人有权更换供货方。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二、商务条款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交付时间：中标单位应在合同生效的</w:t>
      </w:r>
      <w:r>
        <w:rPr>
          <w:rFonts w:ascii="宋体" w:hAnsi="宋体" w:eastAsia="宋体"/>
          <w:sz w:val="24"/>
          <w:szCs w:val="24"/>
        </w:rPr>
        <w:t>30天内，向招标人交付设备。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交货地点：上海交通大学医学附属新华医院奉贤院区。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付款方式：设备安装验收合格后一次性支付合同总价的</w:t>
      </w:r>
      <w:r>
        <w:rPr>
          <w:rFonts w:ascii="宋体" w:hAnsi="宋体" w:eastAsia="宋体"/>
          <w:sz w:val="24"/>
          <w:szCs w:val="24"/>
        </w:rPr>
        <w:t>100%。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42"/>
    <w:multiLevelType w:val="multilevel"/>
    <w:tmpl w:val="00000042"/>
    <w:lvl w:ilvl="0" w:tentative="0">
      <w:start w:val="1"/>
      <w:numFmt w:val="chineseCountingThousand"/>
      <w:pStyle w:val="2"/>
      <w:lvlText w:val="%1、"/>
      <w:lvlJc w:val="left"/>
      <w:pPr>
        <w:tabs>
          <w:tab w:val="left" w:pos="3810"/>
        </w:tabs>
        <w:ind w:left="2730" w:firstLine="0"/>
      </w:pPr>
      <w:rPr>
        <w:rFonts w:hint="eastAsia"/>
        <w:b/>
        <w:i w:val="0"/>
        <w:sz w:val="32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60C70DA6"/>
    <w:multiLevelType w:val="multilevel"/>
    <w:tmpl w:val="60C70DA6"/>
    <w:lvl w:ilvl="0" w:tentative="0">
      <w:start w:val="1"/>
      <w:numFmt w:val="chineseCountingThousand"/>
      <w:suff w:val="nothing"/>
      <w:lvlText w:val="%1、"/>
      <w:lvlJc w:val="left"/>
      <w:pPr>
        <w:ind w:left="1555" w:hanging="420"/>
      </w:pPr>
      <w:rPr>
        <w:rFonts w:hint="eastAsia"/>
        <w:b/>
        <w:bCs/>
        <w:lang w:val="en-US"/>
      </w:rPr>
    </w:lvl>
    <w:lvl w:ilvl="1" w:tentative="0">
      <w:start w:val="1"/>
      <w:numFmt w:val="lowerLetter"/>
      <w:lvlText w:val="%2)"/>
      <w:lvlJc w:val="left"/>
      <w:pPr>
        <w:ind w:left="1975" w:hanging="420"/>
      </w:pPr>
    </w:lvl>
    <w:lvl w:ilvl="2" w:tentative="0">
      <w:start w:val="1"/>
      <w:numFmt w:val="lowerRoman"/>
      <w:lvlText w:val="%3."/>
      <w:lvlJc w:val="right"/>
      <w:pPr>
        <w:ind w:left="2395" w:hanging="420"/>
      </w:pPr>
    </w:lvl>
    <w:lvl w:ilvl="3" w:tentative="0">
      <w:start w:val="1"/>
      <w:numFmt w:val="decimal"/>
      <w:lvlText w:val="%4."/>
      <w:lvlJc w:val="left"/>
      <w:pPr>
        <w:ind w:left="2815" w:hanging="420"/>
      </w:pPr>
    </w:lvl>
    <w:lvl w:ilvl="4" w:tentative="0">
      <w:start w:val="1"/>
      <w:numFmt w:val="lowerLetter"/>
      <w:lvlText w:val="%5)"/>
      <w:lvlJc w:val="left"/>
      <w:pPr>
        <w:ind w:left="3235" w:hanging="420"/>
      </w:pPr>
    </w:lvl>
    <w:lvl w:ilvl="5" w:tentative="0">
      <w:start w:val="1"/>
      <w:numFmt w:val="lowerRoman"/>
      <w:lvlText w:val="%6."/>
      <w:lvlJc w:val="right"/>
      <w:pPr>
        <w:ind w:left="3655" w:hanging="420"/>
      </w:pPr>
    </w:lvl>
    <w:lvl w:ilvl="6" w:tentative="0">
      <w:start w:val="1"/>
      <w:numFmt w:val="decimal"/>
      <w:lvlText w:val="%7."/>
      <w:lvlJc w:val="left"/>
      <w:pPr>
        <w:ind w:left="4075" w:hanging="420"/>
      </w:pPr>
    </w:lvl>
    <w:lvl w:ilvl="7" w:tentative="0">
      <w:start w:val="1"/>
      <w:numFmt w:val="lowerLetter"/>
      <w:lvlText w:val="%8)"/>
      <w:lvlJc w:val="left"/>
      <w:pPr>
        <w:ind w:left="4495" w:hanging="420"/>
      </w:pPr>
    </w:lvl>
    <w:lvl w:ilvl="8" w:tentative="0">
      <w:start w:val="1"/>
      <w:numFmt w:val="lowerRoman"/>
      <w:lvlText w:val="%9."/>
      <w:lvlJc w:val="right"/>
      <w:pPr>
        <w:ind w:left="4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DgyYjc0MTlkYzBkZmFhYTBmMWUzM2UwOTljOTcifQ=="/>
  </w:docVars>
  <w:rsids>
    <w:rsidRoot w:val="00802568"/>
    <w:rsid w:val="000166DE"/>
    <w:rsid w:val="00080973"/>
    <w:rsid w:val="00086095"/>
    <w:rsid w:val="00094D1C"/>
    <w:rsid w:val="00097888"/>
    <w:rsid w:val="000D4DB6"/>
    <w:rsid w:val="00105267"/>
    <w:rsid w:val="001753F3"/>
    <w:rsid w:val="0017708B"/>
    <w:rsid w:val="001D1C86"/>
    <w:rsid w:val="001E1695"/>
    <w:rsid w:val="00284437"/>
    <w:rsid w:val="002B3149"/>
    <w:rsid w:val="002E581F"/>
    <w:rsid w:val="002E6109"/>
    <w:rsid w:val="00327835"/>
    <w:rsid w:val="00340562"/>
    <w:rsid w:val="00394B8A"/>
    <w:rsid w:val="003C0705"/>
    <w:rsid w:val="003D786E"/>
    <w:rsid w:val="003E7DD7"/>
    <w:rsid w:val="004021C6"/>
    <w:rsid w:val="004266A0"/>
    <w:rsid w:val="004304F6"/>
    <w:rsid w:val="004747A9"/>
    <w:rsid w:val="00496F36"/>
    <w:rsid w:val="004A214B"/>
    <w:rsid w:val="004B4986"/>
    <w:rsid w:val="004C3740"/>
    <w:rsid w:val="004D2F00"/>
    <w:rsid w:val="004D5DE0"/>
    <w:rsid w:val="00520DEE"/>
    <w:rsid w:val="0053062E"/>
    <w:rsid w:val="005774C3"/>
    <w:rsid w:val="00585B55"/>
    <w:rsid w:val="005C6429"/>
    <w:rsid w:val="005C6553"/>
    <w:rsid w:val="005F0A2F"/>
    <w:rsid w:val="005F3C6D"/>
    <w:rsid w:val="00610189"/>
    <w:rsid w:val="006575BE"/>
    <w:rsid w:val="00673EE3"/>
    <w:rsid w:val="00721ECB"/>
    <w:rsid w:val="00791EC1"/>
    <w:rsid w:val="00796758"/>
    <w:rsid w:val="00802568"/>
    <w:rsid w:val="008530E6"/>
    <w:rsid w:val="008554C2"/>
    <w:rsid w:val="00873EC2"/>
    <w:rsid w:val="0090336E"/>
    <w:rsid w:val="0094355A"/>
    <w:rsid w:val="0097410A"/>
    <w:rsid w:val="009A69E6"/>
    <w:rsid w:val="009C55BA"/>
    <w:rsid w:val="009D50C6"/>
    <w:rsid w:val="00A35C9A"/>
    <w:rsid w:val="00A55C1F"/>
    <w:rsid w:val="00AA4D85"/>
    <w:rsid w:val="00AA70B2"/>
    <w:rsid w:val="00AB4546"/>
    <w:rsid w:val="00AB4C66"/>
    <w:rsid w:val="00B35137"/>
    <w:rsid w:val="00B40A70"/>
    <w:rsid w:val="00B43BBE"/>
    <w:rsid w:val="00B61E56"/>
    <w:rsid w:val="00BB48CA"/>
    <w:rsid w:val="00BE6460"/>
    <w:rsid w:val="00C436C4"/>
    <w:rsid w:val="00C52CC0"/>
    <w:rsid w:val="00C778E2"/>
    <w:rsid w:val="00C80D9B"/>
    <w:rsid w:val="00CA03B0"/>
    <w:rsid w:val="00CC1A89"/>
    <w:rsid w:val="00CD272D"/>
    <w:rsid w:val="00D00298"/>
    <w:rsid w:val="00D14F77"/>
    <w:rsid w:val="00D81DBB"/>
    <w:rsid w:val="00DA4777"/>
    <w:rsid w:val="00DB079B"/>
    <w:rsid w:val="00F10425"/>
    <w:rsid w:val="00F11370"/>
    <w:rsid w:val="00F9575B"/>
    <w:rsid w:val="00FA058D"/>
    <w:rsid w:val="00FB02C1"/>
    <w:rsid w:val="00FC3CF3"/>
    <w:rsid w:val="00FD4B9E"/>
    <w:rsid w:val="0B6C078D"/>
    <w:rsid w:val="7EF7BC6F"/>
    <w:rsid w:val="BF794016"/>
    <w:rsid w:val="E5EDFE4A"/>
    <w:rsid w:val="EDCA4FE7"/>
    <w:rsid w:val="FFFDC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numPr>
        <w:ilvl w:val="0"/>
        <w:numId w:val="1"/>
      </w:numPr>
      <w:adjustRightInd w:val="0"/>
      <w:spacing w:before="240" w:after="120" w:line="400" w:lineRule="atLeast"/>
      <w:textAlignment w:val="baseline"/>
      <w:outlineLvl w:val="0"/>
    </w:pPr>
    <w:rPr>
      <w:rFonts w:ascii="宋体" w:hAnsi="Times New Roman" w:eastAsia="宋体" w:cs="Times New Roman"/>
      <w:spacing w:val="20"/>
      <w:kern w:val="44"/>
      <w:sz w:val="30"/>
      <w:szCs w:val="20"/>
    </w:rPr>
  </w:style>
  <w:style w:type="character" w:default="1" w:styleId="12">
    <w:name w:val="Default Paragraph Font"/>
    <w:autoRedefine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autoRedefine/>
    <w:qFormat/>
    <w:uiPriority w:val="99"/>
    <w:pPr>
      <w:widowControl/>
      <w:jc w:val="left"/>
      <w:textAlignment w:val="baseline"/>
    </w:pPr>
    <w:rPr>
      <w:rFonts w:ascii="Times New Roman" w:hAnsi="Times New Roman" w:eastAsia="宋体" w:cs="Times New Roman"/>
      <w:szCs w:val="24"/>
    </w:rPr>
  </w:style>
  <w:style w:type="paragraph" w:styleId="4">
    <w:name w:val="index 6"/>
    <w:basedOn w:val="1"/>
    <w:next w:val="1"/>
    <w:autoRedefine/>
    <w:qFormat/>
    <w:uiPriority w:val="99"/>
    <w:pPr>
      <w:ind w:left="21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3"/>
    <w:next w:val="3"/>
    <w:link w:val="23"/>
    <w:semiHidden/>
    <w:unhideWhenUsed/>
    <w:qFormat/>
    <w:uiPriority w:val="99"/>
    <w:pPr>
      <w:widowControl w:val="0"/>
      <w:textAlignment w:val="auto"/>
    </w:pPr>
    <w:rPr>
      <w:rFonts w:asciiTheme="minorHAnsi" w:hAnsiTheme="minorHAnsi" w:eastAsiaTheme="minorEastAsia" w:cstheme="minorBidi"/>
      <w:b/>
      <w:bCs/>
      <w:szCs w:val="22"/>
    </w:rPr>
  </w:style>
  <w:style w:type="table" w:styleId="11">
    <w:name w:val="Table Grid"/>
    <w:basedOn w:val="10"/>
    <w:autoRedefine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annotation reference"/>
    <w:qFormat/>
    <w:uiPriority w:val="99"/>
    <w:rPr>
      <w:sz w:val="21"/>
      <w:szCs w:val="21"/>
    </w:rPr>
  </w:style>
  <w:style w:type="character" w:customStyle="1" w:styleId="15">
    <w:name w:val="页眉 字符"/>
    <w:basedOn w:val="12"/>
    <w:link w:val="7"/>
    <w:autoRedefine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autoRedefine/>
    <w:uiPriority w:val="99"/>
    <w:rPr>
      <w:sz w:val="18"/>
      <w:szCs w:val="18"/>
    </w:rPr>
  </w:style>
  <w:style w:type="character" w:customStyle="1" w:styleId="17">
    <w:name w:val="NormalCharacter"/>
    <w:autoRedefine/>
    <w:qFormat/>
    <w:uiPriority w:val="0"/>
  </w:style>
  <w:style w:type="character" w:customStyle="1" w:styleId="18">
    <w:name w:val="批注文字 字符"/>
    <w:basedOn w:val="12"/>
    <w:link w:val="3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字符"/>
    <w:basedOn w:val="12"/>
    <w:link w:val="5"/>
    <w:autoRedefine/>
    <w:semiHidden/>
    <w:qFormat/>
    <w:uiPriority w:val="99"/>
    <w:rPr>
      <w:sz w:val="18"/>
      <w:szCs w:val="18"/>
    </w:rPr>
  </w:style>
  <w:style w:type="character" w:customStyle="1" w:styleId="20">
    <w:name w:val="标题 1 字符"/>
    <w:basedOn w:val="12"/>
    <w:link w:val="2"/>
    <w:qFormat/>
    <w:uiPriority w:val="9"/>
    <w:rPr>
      <w:rFonts w:ascii="宋体" w:hAnsi="Times New Roman" w:eastAsia="宋体" w:cs="Times New Roman"/>
      <w:spacing w:val="20"/>
      <w:kern w:val="44"/>
      <w:sz w:val="30"/>
      <w:szCs w:val="20"/>
    </w:rPr>
  </w:style>
  <w:style w:type="character" w:customStyle="1" w:styleId="21">
    <w:name w:val="lijujieshi"/>
    <w:basedOn w:val="12"/>
    <w:qFormat/>
    <w:uiPriority w:val="0"/>
  </w:style>
  <w:style w:type="character" w:customStyle="1" w:styleId="22">
    <w:name w:val="heighlight"/>
    <w:basedOn w:val="12"/>
    <w:qFormat/>
    <w:uiPriority w:val="0"/>
  </w:style>
  <w:style w:type="character" w:customStyle="1" w:styleId="23">
    <w:name w:val="批注主题 字符"/>
    <w:basedOn w:val="18"/>
    <w:link w:val="9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6">
    <w:name w:val="font01"/>
    <w:basedOn w:val="12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441</Words>
  <Characters>2516</Characters>
  <Lines>20</Lines>
  <Paragraphs>5</Paragraphs>
  <TotalTime>164</TotalTime>
  <ScaleCrop>false</ScaleCrop>
  <LinksUpToDate>false</LinksUpToDate>
  <CharactersWithSpaces>2952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2024-11-07T01:04:00Z</dcterms:created>
  <dc:creator>Windows 用户</dc:creator>
  <cp:lastModifiedBy>56865</cp:lastModifiedBy>
  <dcterms:modified xsi:type="dcterms:W3CDTF">2024-12-05T06:47:34Z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1D6C0A2D4D83BD9C59472A67BD59D04E_42</vt:lpwstr>
  </property>
</Properties>
</file>