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3C224">
      <w:pPr>
        <w:widowControl/>
        <w:spacing w:line="360" w:lineRule="auto"/>
        <w:jc w:val="left"/>
        <w:rPr>
          <w:rFonts w:hint="eastAsia" w:ascii="宋体" w:hAnsi="宋体" w:cs="宋体"/>
          <w:b/>
          <w:kern w:val="0"/>
          <w:sz w:val="24"/>
          <w:szCs w:val="24"/>
        </w:rPr>
      </w:pPr>
      <w:r>
        <w:rPr>
          <w:rFonts w:hint="eastAsia" w:ascii="宋体" w:hAnsi="宋体" w:cs="宋体"/>
          <w:b/>
          <w:kern w:val="0"/>
          <w:sz w:val="24"/>
          <w:szCs w:val="24"/>
        </w:rPr>
        <w:t>一</w:t>
      </w:r>
      <w:r>
        <w:rPr>
          <w:rFonts w:ascii="宋体" w:hAnsi="宋体" w:cs="宋体"/>
          <w:b/>
          <w:kern w:val="0"/>
          <w:sz w:val="24"/>
          <w:szCs w:val="24"/>
        </w:rPr>
        <w:t>、</w:t>
      </w:r>
      <w:r>
        <w:rPr>
          <w:rFonts w:hint="eastAsia" w:ascii="宋体" w:hAnsi="宋体" w:cs="宋体"/>
          <w:b/>
          <w:kern w:val="0"/>
          <w:sz w:val="24"/>
          <w:szCs w:val="24"/>
        </w:rPr>
        <w:t>项目要求</w:t>
      </w:r>
    </w:p>
    <w:p w14:paraId="66553255">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rPr>
        <w:t>1.供应商所使用的测序仪须具有医疗器械注册证，要求提供注册证复印件及设备购置证明。</w:t>
      </w:r>
    </w:p>
    <w:p w14:paraId="6D78C55C">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rPr>
        <w:t>2.供应商需上门交接样本，每周安排不少于三次取样。提供冷链运输（保证样本运输过程中质量不受影响），要求提供自身物流运输能力或与第三方物流单位的合作文书等证明文件；供应商还需提供样本物流状态追踪（若有样本未能按时达到实验室所在地、不慎遗失等特殊情况，须立即联系院方再次送样，并向院方提供书面说明及改进措施）。</w:t>
      </w:r>
    </w:p>
    <w:p w14:paraId="4D385C7F">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rPr>
        <w:t>3.所有送检样本，除检验使用消耗，均需按院方要求保存并进行记录，后续处理方式（销毁或返回）必须及时向院方确定。</w:t>
      </w:r>
    </w:p>
    <w:p w14:paraId="06415A91">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rPr>
        <w:t>4.原始数据传输要求安全合理，可通过云端线上传输等方式。所有数据应保留至少2年。若因样本质量等问题无法进行实验，自</w:t>
      </w:r>
      <w:r>
        <w:rPr>
          <w:rStyle w:val="7"/>
          <w:rFonts w:hint="eastAsia" w:hAnsi="Courier New" w:cs="Calibri"/>
          <w:color w:val="auto"/>
          <w:sz w:val="24"/>
          <w:u w:val="none"/>
          <w:lang w:val="en-US" w:eastAsia="zh-CN"/>
        </w:rPr>
        <w:t>实验室</w:t>
      </w:r>
      <w:r>
        <w:rPr>
          <w:rStyle w:val="7"/>
          <w:rFonts w:hint="eastAsia" w:hAnsi="Courier New" w:cs="Calibri"/>
          <w:color w:val="auto"/>
          <w:sz w:val="24"/>
          <w:u w:val="none"/>
        </w:rPr>
        <w:t>接收到样本24小时内应反馈院方。由供应商原因造成的数据延迟（样本运输、实验失败等），以及可能由此造成的后果，院方将保留拒绝支付费用并进一步索要赔偿的权利。</w:t>
      </w:r>
    </w:p>
    <w:p w14:paraId="2C6F56AF">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lang w:val="en-US" w:eastAsia="zh-CN"/>
        </w:rPr>
        <w:t>5.</w:t>
      </w:r>
      <w:r>
        <w:rPr>
          <w:rStyle w:val="7"/>
          <w:rFonts w:hint="eastAsia" w:hAnsi="Courier New" w:cs="Calibri"/>
          <w:color w:val="auto"/>
          <w:sz w:val="24"/>
          <w:u w:val="none"/>
          <w:lang w:eastAsia="zh-CN"/>
        </w:rPr>
        <w:t>供应商</w:t>
      </w:r>
      <w:r>
        <w:rPr>
          <w:rStyle w:val="7"/>
          <w:rFonts w:hint="eastAsia" w:hAnsi="Courier New" w:cs="Calibri"/>
          <w:color w:val="auto"/>
          <w:sz w:val="24"/>
          <w:u w:val="none"/>
        </w:rPr>
        <w:t>具有LIS检验系统、前处理软件系统，可实现</w:t>
      </w:r>
      <w:bookmarkStart w:id="0" w:name="OLE_LINK3"/>
      <w:r>
        <w:rPr>
          <w:rStyle w:val="7"/>
          <w:rFonts w:hint="eastAsia" w:hAnsi="Courier New" w:cs="Calibri"/>
          <w:color w:val="auto"/>
          <w:sz w:val="24"/>
          <w:u w:val="none"/>
        </w:rPr>
        <w:t>LIS系统</w:t>
      </w:r>
      <w:bookmarkEnd w:id="0"/>
      <w:r>
        <w:rPr>
          <w:rStyle w:val="7"/>
          <w:rFonts w:hint="eastAsia" w:hAnsi="Courier New" w:cs="Calibri"/>
          <w:color w:val="auto"/>
          <w:sz w:val="24"/>
          <w:u w:val="none"/>
        </w:rPr>
        <w:t>对接，网络查询报告功能。</w:t>
      </w:r>
    </w:p>
    <w:p w14:paraId="143C2BC5">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lang w:val="en-US" w:eastAsia="zh-CN"/>
        </w:rPr>
        <w:t>6</w:t>
      </w:r>
      <w:r>
        <w:rPr>
          <w:rStyle w:val="7"/>
          <w:rFonts w:hint="eastAsia" w:hAnsi="Courier New" w:cs="Calibri"/>
          <w:color w:val="auto"/>
          <w:sz w:val="24"/>
          <w:u w:val="none"/>
        </w:rPr>
        <w:t>.涉及样本、数据事宜均需严格按照我国人类遗传学资源管理办法等相关要求执行。中标后供应商须与院方签订保密协议。上述因样本、数据遗失造成违规、违法等严重后果的，需由供应商承担相应的赔偿及法律责任。</w:t>
      </w:r>
    </w:p>
    <w:p w14:paraId="6367D5CB">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lang w:val="en-US" w:eastAsia="zh-CN"/>
        </w:rPr>
        <w:t>7</w:t>
      </w:r>
      <w:r>
        <w:rPr>
          <w:rStyle w:val="7"/>
          <w:rFonts w:hint="eastAsia" w:hAnsi="Courier New" w:cs="Calibri"/>
          <w:color w:val="auto"/>
          <w:sz w:val="24"/>
          <w:u w:val="none"/>
        </w:rPr>
        <w:t>.供应商须委派专业技术人员在合同期内提供技术支持。要求1小时内通过电话、视频会议等方式回复；如需到场解决，8小时内须专人上门。</w:t>
      </w:r>
    </w:p>
    <w:p w14:paraId="2181B38D">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lang w:val="en-US" w:eastAsia="zh-CN"/>
        </w:rPr>
        <w:t>8</w:t>
      </w:r>
      <w:r>
        <w:rPr>
          <w:rStyle w:val="7"/>
          <w:rFonts w:hAnsi="Courier New" w:cs="Calibri"/>
          <w:color w:val="auto"/>
          <w:sz w:val="24"/>
          <w:u w:val="none"/>
        </w:rPr>
        <w:t>.</w:t>
      </w:r>
      <w:r>
        <w:rPr>
          <w:rStyle w:val="7"/>
          <w:rFonts w:hint="eastAsia" w:hAnsi="Courier New" w:cs="Calibri"/>
          <w:color w:val="auto"/>
          <w:sz w:val="24"/>
          <w:u w:val="none"/>
        </w:rPr>
        <w:t>在涉及测序数据生信分析、临床分析及IT运维方面，供应商须对院方从事该项目的分析人员提供完全的技术培训和支持，不得以任何理由设置技术壁垒。</w:t>
      </w:r>
    </w:p>
    <w:p w14:paraId="07D1E3CB">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lang w:val="en-US" w:eastAsia="zh-CN"/>
        </w:rPr>
        <w:t>9</w:t>
      </w:r>
      <w:r>
        <w:rPr>
          <w:rStyle w:val="7"/>
          <w:rFonts w:hAnsi="Courier New" w:cs="Calibri"/>
          <w:color w:val="auto"/>
          <w:sz w:val="24"/>
          <w:u w:val="none"/>
        </w:rPr>
        <w:t>.</w:t>
      </w:r>
      <w:r>
        <w:rPr>
          <w:rStyle w:val="7"/>
          <w:rFonts w:hint="eastAsia" w:hAnsi="Courier New" w:cs="Calibri"/>
          <w:color w:val="auto"/>
          <w:sz w:val="24"/>
          <w:u w:val="none"/>
        </w:rPr>
        <w:t>供应商须积极配合医院进行后期样本回溯，样本存储周期要求不少于半年，每半年返回样本一次。如用户方实验室存在场地限制，供应商实验室平台应为用户免费提供长期储存样本服务。</w:t>
      </w:r>
    </w:p>
    <w:p w14:paraId="1A1CA5BC">
      <w:pPr>
        <w:spacing w:line="360" w:lineRule="auto"/>
        <w:ind w:firstLine="480" w:firstLineChars="200"/>
        <w:rPr>
          <w:rStyle w:val="7"/>
          <w:rFonts w:hint="eastAsia" w:hAnsi="Courier New" w:cs="Calibri"/>
          <w:color w:val="auto"/>
          <w:sz w:val="24"/>
          <w:u w:val="none"/>
        </w:rPr>
      </w:pPr>
      <w:r>
        <w:rPr>
          <w:rStyle w:val="7"/>
          <w:rFonts w:hint="eastAsia" w:hAnsi="Courier New" w:cs="Calibri"/>
          <w:color w:val="auto"/>
          <w:sz w:val="24"/>
          <w:u w:val="none"/>
          <w:lang w:val="en-US" w:eastAsia="zh-CN"/>
        </w:rPr>
        <w:t>10</w:t>
      </w:r>
      <w:r>
        <w:rPr>
          <w:rStyle w:val="7"/>
          <w:rFonts w:hint="eastAsia" w:hAnsi="Courier New" w:cs="Calibri"/>
          <w:color w:val="auto"/>
          <w:sz w:val="24"/>
          <w:u w:val="none"/>
        </w:rPr>
        <w:t>.供应商须具备提供专业咨询服务的能力，可根据采购人需求定期开展讨论会，提供线下分析等服务。</w:t>
      </w:r>
    </w:p>
    <w:p w14:paraId="580EDF9B">
      <w:pPr>
        <w:spacing w:line="360" w:lineRule="auto"/>
        <w:ind w:firstLine="480" w:firstLineChars="200"/>
        <w:rPr>
          <w:rStyle w:val="7"/>
          <w:rFonts w:hint="eastAsia" w:hAnsi="Courier New" w:cs="Calibri"/>
          <w:color w:val="auto"/>
          <w:sz w:val="24"/>
          <w:u w:val="none"/>
        </w:rPr>
      </w:pPr>
      <w:r>
        <w:rPr>
          <w:rStyle w:val="7"/>
          <w:rFonts w:hAnsi="Courier New" w:cs="Calibri"/>
          <w:color w:val="auto"/>
          <w:sz w:val="24"/>
          <w:u w:val="none"/>
        </w:rPr>
        <w:t>1</w:t>
      </w:r>
      <w:r>
        <w:rPr>
          <w:rStyle w:val="7"/>
          <w:rFonts w:hint="eastAsia" w:hAnsi="Courier New" w:cs="Calibri"/>
          <w:color w:val="auto"/>
          <w:sz w:val="24"/>
          <w:u w:val="none"/>
          <w:lang w:val="en-US" w:eastAsia="zh-CN"/>
        </w:rPr>
        <w:t>1</w:t>
      </w:r>
      <w:r>
        <w:rPr>
          <w:rStyle w:val="7"/>
          <w:rFonts w:hint="eastAsia" w:hAnsi="Courier New" w:cs="Calibri"/>
          <w:color w:val="auto"/>
          <w:sz w:val="24"/>
          <w:u w:val="none"/>
        </w:rPr>
        <w:t>.供应商须具有共建能力，至少包括各流程本地化、物流体系搭建（冷链运输等）、生物样本库和数据库搭建和协作网络搭建等。</w:t>
      </w:r>
    </w:p>
    <w:p w14:paraId="4DA533FF">
      <w:pPr>
        <w:spacing w:line="360" w:lineRule="auto"/>
        <w:ind w:firstLine="480" w:firstLineChars="200"/>
        <w:rPr>
          <w:rStyle w:val="7"/>
          <w:rFonts w:hint="eastAsia" w:hAnsi="Courier New" w:cs="Calibri"/>
          <w:color w:val="auto"/>
          <w:sz w:val="24"/>
          <w:u w:val="none"/>
        </w:rPr>
      </w:pPr>
      <w:r>
        <w:rPr>
          <w:rStyle w:val="7"/>
          <w:rFonts w:hAnsi="Courier New" w:cs="Calibri"/>
          <w:color w:val="auto"/>
          <w:sz w:val="24"/>
          <w:u w:val="none"/>
        </w:rPr>
        <w:t>1</w:t>
      </w:r>
      <w:r>
        <w:rPr>
          <w:rStyle w:val="7"/>
          <w:rFonts w:hint="eastAsia" w:hAnsi="Courier New" w:cs="Calibri"/>
          <w:color w:val="auto"/>
          <w:sz w:val="24"/>
          <w:u w:val="none"/>
          <w:lang w:val="en-US" w:eastAsia="zh-CN"/>
        </w:rPr>
        <w:t>2</w:t>
      </w:r>
      <w:r>
        <w:rPr>
          <w:rStyle w:val="7"/>
          <w:rFonts w:hint="eastAsia" w:hAnsi="Courier New" w:cs="Calibri"/>
          <w:color w:val="auto"/>
          <w:sz w:val="24"/>
          <w:u w:val="none"/>
        </w:rPr>
        <w:t>.供应商须提供科研支持服务，至少包括科研课题辅助申请、至少每半年进行样本结果汇总、案例及数据挖掘、文章发表等。</w:t>
      </w:r>
    </w:p>
    <w:p w14:paraId="5F00BBF4">
      <w:pPr>
        <w:spacing w:line="360" w:lineRule="auto"/>
        <w:ind w:firstLine="480" w:firstLineChars="200"/>
        <w:rPr>
          <w:rFonts w:ascii="宋体" w:hAnsi="宋体" w:cs="MS Gothic"/>
          <w:sz w:val="24"/>
        </w:rPr>
      </w:pPr>
      <w:r>
        <w:rPr>
          <w:rStyle w:val="7"/>
          <w:rFonts w:hint="eastAsia" w:hAnsi="Courier New" w:cs="Calibri"/>
          <w:color w:val="auto"/>
          <w:sz w:val="24"/>
          <w:u w:val="none"/>
        </w:rPr>
        <w:t>★1</w:t>
      </w:r>
      <w:r>
        <w:rPr>
          <w:rStyle w:val="7"/>
          <w:rFonts w:hint="eastAsia" w:hAnsi="Courier New" w:cs="Calibri"/>
          <w:color w:val="auto"/>
          <w:sz w:val="24"/>
          <w:u w:val="none"/>
          <w:lang w:val="en-US" w:eastAsia="zh-CN"/>
        </w:rPr>
        <w:t>3</w:t>
      </w:r>
      <w:r>
        <w:rPr>
          <w:rStyle w:val="7"/>
          <w:rFonts w:hint="eastAsia" w:hAnsi="Courier New" w:cs="Calibri"/>
          <w:color w:val="auto"/>
          <w:sz w:val="24"/>
          <w:u w:val="none"/>
        </w:rPr>
        <w:t>.供应商须承诺：如在合同期间，由于国家相关政策规定，采购人需对供应商所提供的检测服务重新采购并确定新的服务商，则本合同自动终止。供应商对此无条件接受。</w:t>
      </w:r>
      <w:r>
        <w:rPr>
          <w:rFonts w:hint="eastAsia" w:ascii="宋体" w:hAnsi="宋体" w:cs="MS Gothic"/>
          <w:b/>
          <w:sz w:val="24"/>
          <w:szCs w:val="24"/>
        </w:rPr>
        <w:t>（以承诺函为准）</w:t>
      </w:r>
    </w:p>
    <w:p w14:paraId="443539AC">
      <w:pPr>
        <w:spacing w:line="360" w:lineRule="auto"/>
        <w:ind w:firstLine="480" w:firstLineChars="200"/>
        <w:rPr>
          <w:rStyle w:val="7"/>
          <w:rFonts w:hAnsi="Courier New" w:cs="Calibri"/>
          <w:color w:val="auto"/>
          <w:sz w:val="24"/>
          <w:u w:val="none"/>
        </w:rPr>
      </w:pPr>
      <w:r>
        <w:rPr>
          <w:rStyle w:val="7"/>
          <w:rFonts w:hint="eastAsia" w:hAnsi="Courier New" w:cs="Calibri"/>
          <w:color w:val="auto"/>
          <w:sz w:val="24"/>
          <w:u w:val="none"/>
        </w:rPr>
        <w:t>1</w:t>
      </w:r>
      <w:r>
        <w:rPr>
          <w:rStyle w:val="7"/>
          <w:rFonts w:hint="eastAsia" w:hAnsi="Courier New" w:cs="Calibri"/>
          <w:color w:val="auto"/>
          <w:sz w:val="24"/>
          <w:u w:val="none"/>
          <w:lang w:val="en-US" w:eastAsia="zh-CN"/>
        </w:rPr>
        <w:t>4</w:t>
      </w:r>
      <w:r>
        <w:rPr>
          <w:rStyle w:val="7"/>
          <w:rFonts w:hint="eastAsia" w:hAnsi="Courier New" w:cs="Calibri"/>
          <w:color w:val="auto"/>
          <w:sz w:val="24"/>
          <w:u w:val="none"/>
        </w:rPr>
        <w:t>、</w:t>
      </w:r>
      <w:r>
        <w:rPr>
          <w:rStyle w:val="7"/>
          <w:rFonts w:hint="eastAsia" w:hAnsi="Courier New" w:cs="Calibri"/>
          <w:color w:val="auto"/>
          <w:sz w:val="24"/>
          <w:u w:val="none"/>
          <w:lang w:val="en-US" w:eastAsia="zh-CN"/>
        </w:rPr>
        <w:t>供应商</w:t>
      </w:r>
      <w:r>
        <w:rPr>
          <w:rStyle w:val="7"/>
          <w:rFonts w:hint="eastAsia" w:hAnsi="Courier New" w:cs="Calibri"/>
          <w:color w:val="auto"/>
          <w:sz w:val="24"/>
          <w:u w:val="none"/>
        </w:rPr>
        <w:t>应提供所有委托检验项目的仪器设备及详细检测方法。</w:t>
      </w:r>
    </w:p>
    <w:p w14:paraId="48F24BE2">
      <w:pPr>
        <w:spacing w:line="360" w:lineRule="auto"/>
        <w:ind w:firstLine="480" w:firstLineChars="200"/>
        <w:rPr>
          <w:rStyle w:val="7"/>
          <w:rFonts w:hAnsi="Courier New" w:cs="Calibri"/>
          <w:color w:val="auto"/>
          <w:sz w:val="24"/>
          <w:u w:val="none"/>
        </w:rPr>
      </w:pPr>
      <w:r>
        <w:rPr>
          <w:rStyle w:val="7"/>
          <w:rFonts w:hint="eastAsia" w:hAnsi="Courier New" w:cs="Calibri"/>
          <w:color w:val="auto"/>
          <w:sz w:val="24"/>
          <w:u w:val="none"/>
        </w:rPr>
        <w:t>1</w:t>
      </w:r>
      <w:r>
        <w:rPr>
          <w:rStyle w:val="7"/>
          <w:rFonts w:hint="eastAsia" w:hAnsi="Courier New" w:cs="Calibri"/>
          <w:color w:val="auto"/>
          <w:sz w:val="24"/>
          <w:u w:val="none"/>
          <w:lang w:val="en-US" w:eastAsia="zh-CN"/>
        </w:rPr>
        <w:t>5</w:t>
      </w:r>
      <w:r>
        <w:rPr>
          <w:rStyle w:val="7"/>
          <w:rFonts w:hint="eastAsia" w:hAnsi="Courier New" w:cs="Calibri"/>
          <w:color w:val="auto"/>
          <w:sz w:val="24"/>
          <w:u w:val="none"/>
        </w:rPr>
        <w:t>、</w:t>
      </w:r>
      <w:r>
        <w:rPr>
          <w:rStyle w:val="7"/>
          <w:rFonts w:hint="eastAsia" w:hAnsi="Courier New" w:cs="Calibri"/>
          <w:color w:val="auto"/>
          <w:sz w:val="24"/>
          <w:u w:val="none"/>
          <w:lang w:val="en-US" w:eastAsia="zh-CN"/>
        </w:rPr>
        <w:t>供应商</w:t>
      </w:r>
      <w:r>
        <w:rPr>
          <w:rStyle w:val="7"/>
          <w:rFonts w:hint="eastAsia" w:hAnsi="Courier New" w:cs="Calibri"/>
          <w:color w:val="auto"/>
          <w:sz w:val="24"/>
          <w:u w:val="none"/>
        </w:rPr>
        <w:t>应提供项目负责人的资质证明，含学历、职称、能力评估、工作经历（证书必须提供复印件）。</w:t>
      </w:r>
    </w:p>
    <w:p w14:paraId="7B397548">
      <w:pPr>
        <w:widowControl/>
        <w:spacing w:line="360" w:lineRule="auto"/>
        <w:jc w:val="left"/>
        <w:rPr>
          <w:rFonts w:hint="eastAsia" w:ascii="宋体" w:hAnsi="宋体" w:cs="MS Gothic"/>
          <w:sz w:val="24"/>
        </w:rPr>
      </w:pPr>
    </w:p>
    <w:p w14:paraId="747E1308">
      <w:pPr>
        <w:widowControl/>
        <w:numPr>
          <w:ilvl w:val="0"/>
          <w:numId w:val="1"/>
        </w:numPr>
        <w:spacing w:line="360" w:lineRule="auto"/>
        <w:jc w:val="left"/>
        <w:rPr>
          <w:rFonts w:hint="eastAsia" w:ascii="宋体" w:hAnsi="宋体" w:cs="宋体"/>
          <w:b/>
          <w:kern w:val="0"/>
          <w:sz w:val="24"/>
          <w:szCs w:val="24"/>
        </w:rPr>
      </w:pPr>
      <w:r>
        <w:rPr>
          <w:rFonts w:hint="eastAsia" w:ascii="宋体" w:hAnsi="宋体" w:cs="宋体"/>
          <w:b/>
          <w:kern w:val="0"/>
          <w:sz w:val="24"/>
          <w:szCs w:val="24"/>
        </w:rPr>
        <w:t>检测项目</w:t>
      </w:r>
    </w:p>
    <w:p w14:paraId="12A6284A">
      <w:pPr>
        <w:widowControl/>
        <w:numPr>
          <w:ilvl w:val="0"/>
          <w:numId w:val="0"/>
        </w:numPr>
        <w:spacing w:line="360" w:lineRule="auto"/>
        <w:jc w:val="left"/>
        <w:rPr>
          <w:rFonts w:hint="eastAsia" w:ascii="宋体" w:hAnsi="宋体" w:cs="宋体"/>
          <w:b/>
          <w:kern w:val="0"/>
          <w:sz w:val="24"/>
          <w:szCs w:val="24"/>
        </w:rPr>
      </w:pPr>
    </w:p>
    <w:tbl>
      <w:tblPr>
        <w:tblStyle w:val="4"/>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9"/>
        <w:gridCol w:w="1406"/>
        <w:gridCol w:w="1499"/>
        <w:gridCol w:w="3078"/>
        <w:gridCol w:w="1264"/>
        <w:gridCol w:w="964"/>
        <w:gridCol w:w="1840"/>
        <w:gridCol w:w="2211"/>
        <w:gridCol w:w="1255"/>
      </w:tblGrid>
      <w:tr w14:paraId="2A4D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1" w:hRule="atLeast"/>
          <w:jc w:val="center"/>
        </w:trPr>
        <w:tc>
          <w:tcPr>
            <w:tcW w:w="709" w:type="dxa"/>
            <w:shd w:val="clear" w:color="auto" w:fill="D8D8D8" w:themeFill="background1" w:themeFillShade="D9"/>
            <w:noWrap/>
            <w:vAlign w:val="center"/>
          </w:tcPr>
          <w:p w14:paraId="68534206">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编号</w:t>
            </w:r>
          </w:p>
        </w:tc>
        <w:tc>
          <w:tcPr>
            <w:tcW w:w="1406" w:type="dxa"/>
            <w:shd w:val="clear" w:color="auto" w:fill="D8D8D8" w:themeFill="background1" w:themeFillShade="D9"/>
            <w:noWrap/>
            <w:vAlign w:val="center"/>
          </w:tcPr>
          <w:p w14:paraId="5D18DA50">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499" w:type="dxa"/>
            <w:shd w:val="clear" w:color="auto" w:fill="D8D8D8" w:themeFill="background1" w:themeFillShade="D9"/>
            <w:noWrap/>
            <w:vAlign w:val="center"/>
          </w:tcPr>
          <w:p w14:paraId="6ADBF09C">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疾病</w:t>
            </w:r>
          </w:p>
        </w:tc>
        <w:tc>
          <w:tcPr>
            <w:tcW w:w="3078" w:type="dxa"/>
            <w:shd w:val="clear" w:color="auto" w:fill="D8D8D8" w:themeFill="background1" w:themeFillShade="D9"/>
            <w:noWrap/>
            <w:vAlign w:val="center"/>
          </w:tcPr>
          <w:p w14:paraId="1D7C0BC0">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检测内容</w:t>
            </w:r>
          </w:p>
        </w:tc>
        <w:tc>
          <w:tcPr>
            <w:tcW w:w="1264" w:type="dxa"/>
            <w:shd w:val="clear" w:color="auto" w:fill="D8D8D8" w:themeFill="background1" w:themeFillShade="D9"/>
            <w:vAlign w:val="center"/>
          </w:tcPr>
          <w:p w14:paraId="44024332">
            <w:pPr>
              <w:widowControl/>
              <w:jc w:val="center"/>
              <w:rPr>
                <w:rFonts w:hint="eastAsia" w:ascii="宋体" w:hAnsi="宋体" w:cs="宋体"/>
                <w:b/>
                <w:bCs/>
                <w:color w:val="000000"/>
                <w:kern w:val="0"/>
                <w:sz w:val="24"/>
                <w:szCs w:val="24"/>
              </w:rPr>
            </w:pPr>
            <w:r>
              <w:rPr>
                <w:rFonts w:hint="eastAsia" w:ascii="宋体" w:hAnsi="宋体" w:cs="宋体"/>
                <w:b/>
                <w:bCs/>
                <w:kern w:val="0"/>
                <w:sz w:val="22"/>
              </w:rPr>
              <w:t>基因数量</w:t>
            </w:r>
          </w:p>
        </w:tc>
        <w:tc>
          <w:tcPr>
            <w:tcW w:w="964" w:type="dxa"/>
            <w:shd w:val="clear" w:color="auto" w:fill="D8D8D8" w:themeFill="background1" w:themeFillShade="D9"/>
            <w:vAlign w:val="center"/>
          </w:tcPr>
          <w:p w14:paraId="3E81D6DE">
            <w:pPr>
              <w:widowControl/>
              <w:jc w:val="center"/>
              <w:rPr>
                <w:rFonts w:hint="eastAsia" w:ascii="宋体" w:hAnsi="宋体" w:cs="宋体"/>
                <w:b/>
                <w:bCs/>
                <w:color w:val="000000"/>
                <w:kern w:val="0"/>
                <w:sz w:val="24"/>
                <w:szCs w:val="24"/>
              </w:rPr>
            </w:pPr>
            <w:r>
              <w:rPr>
                <w:rFonts w:hint="eastAsia" w:ascii="宋体" w:hAnsi="宋体" w:cs="宋体"/>
                <w:b/>
                <w:bCs/>
                <w:kern w:val="0"/>
                <w:sz w:val="22"/>
              </w:rPr>
              <w:t>方法学</w:t>
            </w:r>
          </w:p>
        </w:tc>
        <w:tc>
          <w:tcPr>
            <w:tcW w:w="1840" w:type="dxa"/>
            <w:shd w:val="clear" w:color="auto" w:fill="D8D8D8" w:themeFill="background1" w:themeFillShade="D9"/>
            <w:noWrap/>
            <w:vAlign w:val="center"/>
          </w:tcPr>
          <w:p w14:paraId="4E6C7C4F">
            <w:pPr>
              <w:widowControl/>
              <w:jc w:val="center"/>
              <w:rPr>
                <w:rFonts w:hint="eastAsia" w:ascii="宋体" w:hAnsi="宋体" w:cs="宋体"/>
                <w:b/>
                <w:bCs/>
                <w:color w:val="000000"/>
                <w:kern w:val="0"/>
                <w:sz w:val="24"/>
                <w:szCs w:val="24"/>
              </w:rPr>
            </w:pPr>
            <w:r>
              <w:rPr>
                <w:rFonts w:hint="eastAsia" w:ascii="宋体" w:hAnsi="宋体" w:cs="宋体"/>
                <w:b/>
                <w:bCs/>
                <w:kern w:val="0"/>
                <w:sz w:val="22"/>
              </w:rPr>
              <w:t>检测目的</w:t>
            </w:r>
          </w:p>
        </w:tc>
        <w:tc>
          <w:tcPr>
            <w:tcW w:w="2211" w:type="dxa"/>
            <w:shd w:val="clear" w:color="auto" w:fill="D8D8D8" w:themeFill="background1" w:themeFillShade="D9"/>
            <w:noWrap/>
            <w:vAlign w:val="center"/>
          </w:tcPr>
          <w:p w14:paraId="7CD10571">
            <w:pPr>
              <w:widowControl/>
              <w:jc w:val="center"/>
              <w:rPr>
                <w:rFonts w:hint="eastAsia" w:ascii="宋体" w:hAnsi="宋体" w:cs="宋体"/>
                <w:b/>
                <w:bCs/>
                <w:color w:val="000000"/>
                <w:kern w:val="0"/>
                <w:sz w:val="24"/>
                <w:szCs w:val="24"/>
              </w:rPr>
            </w:pPr>
            <w:r>
              <w:rPr>
                <w:rFonts w:hint="eastAsia" w:ascii="宋体" w:hAnsi="宋体" w:cs="宋体"/>
                <w:b/>
                <w:bCs/>
                <w:kern w:val="0"/>
                <w:sz w:val="22"/>
              </w:rPr>
              <w:t>项目通用参数</w:t>
            </w:r>
          </w:p>
        </w:tc>
        <w:tc>
          <w:tcPr>
            <w:tcW w:w="1255" w:type="dxa"/>
            <w:shd w:val="clear" w:color="auto" w:fill="D8D8D8" w:themeFill="background1" w:themeFillShade="D9"/>
            <w:noWrap/>
            <w:vAlign w:val="center"/>
          </w:tcPr>
          <w:p w14:paraId="0B8EF19C">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报告周期</w:t>
            </w:r>
          </w:p>
        </w:tc>
      </w:tr>
      <w:tr w14:paraId="430E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7" w:hRule="atLeast"/>
          <w:jc w:val="center"/>
        </w:trPr>
        <w:tc>
          <w:tcPr>
            <w:tcW w:w="709" w:type="dxa"/>
            <w:shd w:val="clear" w:color="auto" w:fill="FFFFFF"/>
            <w:noWrap/>
            <w:vAlign w:val="center"/>
          </w:tcPr>
          <w:p w14:paraId="4D45FC8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06" w:type="dxa"/>
            <w:shd w:val="clear" w:color="auto" w:fill="FFFFFF"/>
            <w:noWrap/>
            <w:vAlign w:val="center"/>
          </w:tcPr>
          <w:p w14:paraId="59C93C19">
            <w:pPr>
              <w:widowControl/>
              <w:jc w:val="left"/>
              <w:rPr>
                <w:rFonts w:hint="eastAsia" w:ascii="宋体" w:hAnsi="宋体" w:cs="宋体"/>
                <w:color w:val="000000"/>
                <w:kern w:val="0"/>
                <w:sz w:val="24"/>
                <w:szCs w:val="24"/>
              </w:rPr>
            </w:pPr>
            <w:r>
              <w:rPr>
                <w:rFonts w:hint="eastAsia" w:ascii="宋体" w:hAnsi="宋体" w:cs="宋体"/>
                <w:b/>
                <w:bCs/>
                <w:color w:val="000000"/>
                <w:kern w:val="0"/>
                <w:sz w:val="24"/>
                <w:szCs w:val="24"/>
              </w:rPr>
              <w:t>儿童肿瘤全转录组测序分析</w:t>
            </w:r>
          </w:p>
        </w:tc>
        <w:tc>
          <w:tcPr>
            <w:tcW w:w="1499" w:type="dxa"/>
            <w:shd w:val="clear" w:color="auto" w:fill="FFFFFF"/>
            <w:noWrap/>
            <w:vAlign w:val="center"/>
          </w:tcPr>
          <w:p w14:paraId="763C8CBC">
            <w:pPr>
              <w:widowControl/>
              <w:jc w:val="left"/>
              <w:rPr>
                <w:rFonts w:ascii="宋体" w:hAnsi="宋体" w:cs="宋体"/>
                <w:kern w:val="0"/>
                <w:sz w:val="24"/>
                <w:szCs w:val="24"/>
                <w:lang w:eastAsia="zh-Hans"/>
              </w:rPr>
            </w:pPr>
            <w:r>
              <w:rPr>
                <w:rFonts w:hint="eastAsia" w:ascii="宋体" w:hAnsi="宋体" w:cs="宋体"/>
                <w:kern w:val="0"/>
                <w:sz w:val="22"/>
              </w:rPr>
              <w:t>儿童血液肿瘤（ALL,AML等）</w:t>
            </w:r>
            <w:r>
              <w:rPr>
                <w:rFonts w:hint="eastAsia" w:ascii="宋体" w:hAnsi="宋体" w:cs="宋体"/>
                <w:kern w:val="0"/>
                <w:sz w:val="22"/>
                <w:lang w:eastAsia="zh-CN"/>
              </w:rPr>
              <w:t>、</w:t>
            </w:r>
            <w:r>
              <w:rPr>
                <w:rFonts w:hint="eastAsia" w:ascii="宋体" w:hAnsi="宋体" w:cs="宋体"/>
                <w:kern w:val="0"/>
                <w:sz w:val="22"/>
              </w:rPr>
              <w:t>泛肿瘤（神母，肾母，软组织肉瘤等）</w:t>
            </w:r>
          </w:p>
        </w:tc>
        <w:tc>
          <w:tcPr>
            <w:tcW w:w="3078" w:type="dxa"/>
            <w:shd w:val="clear" w:color="auto" w:fill="FFFFFF"/>
            <w:noWrap/>
            <w:vAlign w:val="center"/>
          </w:tcPr>
          <w:p w14:paraId="623A011E">
            <w:pPr>
              <w:widowControl/>
              <w:jc w:val="left"/>
              <w:rPr>
                <w:rFonts w:hint="eastAsia" w:ascii="宋体" w:hAnsi="宋体" w:cs="宋体"/>
                <w:kern w:val="0"/>
                <w:sz w:val="24"/>
                <w:szCs w:val="24"/>
                <w:lang w:eastAsia="zh-Hans"/>
              </w:rPr>
            </w:pPr>
            <w:r>
              <w:rPr>
                <w:rFonts w:hint="eastAsia" w:ascii="宋体" w:hAnsi="宋体" w:cs="宋体"/>
                <w:kern w:val="0"/>
                <w:sz w:val="22"/>
              </w:rPr>
              <w:t>可检测RNA层面的所有突变、融合及部分基因CNV变异，辅助疾病诊断分型、靶向药选择，如NTRK融合阳性患者可选择</w:t>
            </w:r>
            <w:bookmarkStart w:id="1" w:name="OLE_LINK1"/>
            <w:r>
              <w:rPr>
                <w:rFonts w:hint="eastAsia" w:ascii="宋体" w:hAnsi="宋体" w:cs="宋体"/>
                <w:kern w:val="0"/>
                <w:sz w:val="22"/>
              </w:rPr>
              <w:t>NTRK抑制剂恩曲替尼</w:t>
            </w:r>
            <w:bookmarkEnd w:id="1"/>
            <w:r>
              <w:rPr>
                <w:rFonts w:hint="eastAsia" w:ascii="宋体" w:hAnsi="宋体" w:cs="宋体"/>
                <w:kern w:val="0"/>
                <w:sz w:val="22"/>
              </w:rPr>
              <w:t>治疗；发现新的融合基因</w:t>
            </w:r>
          </w:p>
        </w:tc>
        <w:tc>
          <w:tcPr>
            <w:tcW w:w="1264" w:type="dxa"/>
            <w:shd w:val="clear" w:color="auto" w:fill="FFFFFF"/>
            <w:vAlign w:val="center"/>
          </w:tcPr>
          <w:p w14:paraId="06BE3405">
            <w:pPr>
              <w:widowControl/>
              <w:jc w:val="left"/>
              <w:rPr>
                <w:rFonts w:hint="eastAsia" w:ascii="宋体" w:hAnsi="宋体" w:cs="宋体"/>
                <w:color w:val="000000"/>
                <w:kern w:val="0"/>
                <w:sz w:val="24"/>
                <w:szCs w:val="24"/>
              </w:rPr>
            </w:pPr>
            <w:r>
              <w:rPr>
                <w:rFonts w:hint="eastAsia" w:ascii="宋体" w:hAnsi="宋体" w:cs="宋体"/>
                <w:kern w:val="0"/>
                <w:sz w:val="22"/>
              </w:rPr>
              <w:t>全转录组</w:t>
            </w:r>
          </w:p>
        </w:tc>
        <w:tc>
          <w:tcPr>
            <w:tcW w:w="964" w:type="dxa"/>
            <w:shd w:val="clear" w:color="auto" w:fill="FFFFFF"/>
            <w:vAlign w:val="center"/>
          </w:tcPr>
          <w:p w14:paraId="6D8E0A35">
            <w:pPr>
              <w:widowControl/>
              <w:jc w:val="left"/>
              <w:rPr>
                <w:rFonts w:hint="eastAsia" w:ascii="宋体" w:hAnsi="宋体" w:cs="宋体"/>
                <w:color w:val="000000"/>
                <w:kern w:val="0"/>
                <w:sz w:val="24"/>
                <w:szCs w:val="24"/>
              </w:rPr>
            </w:pPr>
            <w:r>
              <w:rPr>
                <w:rFonts w:hint="eastAsia" w:ascii="宋体" w:hAnsi="宋体" w:cs="宋体"/>
                <w:kern w:val="0"/>
                <w:sz w:val="22"/>
              </w:rPr>
              <w:t>NGS</w:t>
            </w:r>
          </w:p>
        </w:tc>
        <w:tc>
          <w:tcPr>
            <w:tcW w:w="1840" w:type="dxa"/>
            <w:shd w:val="clear" w:color="auto" w:fill="FFFFFF"/>
            <w:noWrap/>
            <w:vAlign w:val="center"/>
          </w:tcPr>
          <w:p w14:paraId="351923F3">
            <w:pPr>
              <w:widowControl/>
              <w:rPr>
                <w:rFonts w:hint="eastAsia" w:ascii="宋体" w:hAnsi="宋体" w:eastAsia="宋体" w:cs="宋体"/>
                <w:color w:val="000000"/>
                <w:kern w:val="0"/>
                <w:sz w:val="24"/>
                <w:szCs w:val="24"/>
                <w:lang w:eastAsia="zh-CN"/>
              </w:rPr>
            </w:pPr>
            <w:r>
              <w:rPr>
                <w:rFonts w:hint="eastAsia" w:ascii="宋体" w:hAnsi="宋体" w:cs="宋体"/>
                <w:kern w:val="0"/>
                <w:sz w:val="22"/>
              </w:rPr>
              <w:t>辅助儿童血液肿瘤诊断、分型、预后分层及用药指导，并发现新的变异</w:t>
            </w:r>
            <w:r>
              <w:rPr>
                <w:rFonts w:hint="eastAsia" w:ascii="宋体" w:hAnsi="宋体" w:cs="宋体"/>
                <w:kern w:val="0"/>
                <w:sz w:val="22"/>
                <w:lang w:eastAsia="zh-CN"/>
              </w:rPr>
              <w:t>；</w:t>
            </w:r>
            <w:r>
              <w:rPr>
                <w:rFonts w:hint="eastAsia" w:ascii="宋体" w:hAnsi="宋体" w:cs="宋体"/>
                <w:kern w:val="0"/>
                <w:sz w:val="22"/>
              </w:rPr>
              <w:t>检测泛癌种的突变和融合，辅助疾病诊断分型、靶向药选择，同时可以发现新的融合基因，有助于临床积累数据</w:t>
            </w:r>
          </w:p>
        </w:tc>
        <w:tc>
          <w:tcPr>
            <w:tcW w:w="2211" w:type="dxa"/>
            <w:shd w:val="clear" w:color="auto" w:fill="FFFFFF"/>
            <w:noWrap/>
            <w:vAlign w:val="center"/>
          </w:tcPr>
          <w:p w14:paraId="3E253FEA">
            <w:pPr>
              <w:widowControl/>
              <w:rPr>
                <w:rFonts w:hint="eastAsia" w:ascii="宋体" w:hAnsi="宋体" w:cs="宋体"/>
                <w:color w:val="000000"/>
                <w:kern w:val="0"/>
                <w:sz w:val="24"/>
                <w:szCs w:val="24"/>
              </w:rPr>
            </w:pPr>
            <w:r>
              <w:rPr>
                <w:rFonts w:hint="eastAsia" w:ascii="宋体" w:hAnsi="宋体" w:cs="宋体"/>
                <w:kern w:val="0"/>
                <w:sz w:val="22"/>
              </w:rPr>
              <w:t>1、样本要求：外周血/骨髓/新鲜组织样本；</w:t>
            </w:r>
            <w:r>
              <w:rPr>
                <w:rFonts w:hint="eastAsia" w:ascii="宋体" w:hAnsi="宋体" w:cs="宋体"/>
                <w:kern w:val="0"/>
                <w:sz w:val="22"/>
              </w:rPr>
              <w:br w:type="textWrapping"/>
            </w:r>
            <w:r>
              <w:rPr>
                <w:rFonts w:hint="eastAsia" w:ascii="宋体" w:hAnsi="宋体" w:cs="宋体"/>
                <w:kern w:val="0"/>
                <w:sz w:val="22"/>
              </w:rPr>
              <w:t>2、使用去核糖体RNA和链特异性方式建库；</w:t>
            </w:r>
            <w:r>
              <w:rPr>
                <w:rFonts w:hint="eastAsia" w:ascii="宋体" w:hAnsi="宋体" w:cs="宋体"/>
                <w:kern w:val="0"/>
                <w:sz w:val="22"/>
              </w:rPr>
              <w:br w:type="textWrapping"/>
            </w:r>
            <w:r>
              <w:rPr>
                <w:rFonts w:hint="eastAsia" w:ascii="宋体" w:hAnsi="宋体" w:cs="宋体"/>
                <w:kern w:val="0"/>
                <w:sz w:val="22"/>
              </w:rPr>
              <w:t>3、测序数据量≥15G；</w:t>
            </w:r>
            <w:r>
              <w:rPr>
                <w:rFonts w:hint="eastAsia" w:ascii="宋体" w:hAnsi="宋体" w:cs="宋体"/>
                <w:kern w:val="0"/>
                <w:sz w:val="22"/>
              </w:rPr>
              <w:br w:type="textWrapping"/>
            </w:r>
            <w:r>
              <w:rPr>
                <w:rFonts w:hint="eastAsia" w:ascii="宋体" w:hAnsi="宋体" w:cs="宋体"/>
                <w:kern w:val="0"/>
                <w:sz w:val="22"/>
              </w:rPr>
              <w:t>4、检测内容：实体瘤至少包括SNV、indel、fusion；血液肿瘤至少包括SNV、indel、fusion、化疗药物基因SNP分型、重要基因表达、ALL和AML分子亚型聚类分析等。</w:t>
            </w:r>
          </w:p>
        </w:tc>
        <w:tc>
          <w:tcPr>
            <w:tcW w:w="1255" w:type="dxa"/>
            <w:shd w:val="clear" w:color="auto" w:fill="FFFFFF"/>
            <w:noWrap/>
            <w:vAlign w:val="center"/>
          </w:tcPr>
          <w:p w14:paraId="3C66D8E0">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kern w:val="0"/>
                <w:sz w:val="24"/>
                <w:szCs w:val="24"/>
              </w:rPr>
              <w:t>18个自然日</w:t>
            </w:r>
          </w:p>
        </w:tc>
      </w:tr>
      <w:tr w14:paraId="0E95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9" w:type="dxa"/>
            <w:shd w:val="clear" w:color="auto" w:fill="FFFFFF"/>
            <w:noWrap/>
            <w:vAlign w:val="center"/>
          </w:tcPr>
          <w:p w14:paraId="26EAB35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06" w:type="dxa"/>
            <w:shd w:val="clear" w:color="auto" w:fill="FFFFFF"/>
            <w:noWrap/>
            <w:vAlign w:val="center"/>
          </w:tcPr>
          <w:p w14:paraId="2C5D7F15">
            <w:pPr>
              <w:widowControl/>
              <w:jc w:val="left"/>
              <w:rPr>
                <w:rFonts w:hint="eastAsia" w:ascii="宋体" w:hAnsi="宋体" w:cs="宋体"/>
                <w:color w:val="000000"/>
                <w:kern w:val="0"/>
                <w:sz w:val="24"/>
                <w:szCs w:val="24"/>
              </w:rPr>
            </w:pPr>
            <w:bookmarkStart w:id="2" w:name="OLE_LINK13"/>
            <w:r>
              <w:rPr>
                <w:rFonts w:hint="eastAsia" w:ascii="宋体" w:hAnsi="宋体" w:cs="宋体"/>
                <w:b/>
                <w:bCs/>
                <w:color w:val="000000"/>
                <w:kern w:val="0"/>
                <w:sz w:val="24"/>
                <w:szCs w:val="24"/>
              </w:rPr>
              <w:t>儿童脑肿瘤分子分型</w:t>
            </w:r>
            <w:bookmarkEnd w:id="2"/>
            <w:r>
              <w:rPr>
                <w:rFonts w:hint="eastAsia" w:ascii="宋体" w:hAnsi="宋体" w:cs="宋体"/>
                <w:b/>
                <w:bCs/>
                <w:kern w:val="0"/>
                <w:sz w:val="22"/>
              </w:rPr>
              <w:t>(甲基化版)</w:t>
            </w:r>
          </w:p>
        </w:tc>
        <w:tc>
          <w:tcPr>
            <w:tcW w:w="1499" w:type="dxa"/>
            <w:shd w:val="clear" w:color="auto" w:fill="auto"/>
            <w:noWrap/>
            <w:vAlign w:val="center"/>
          </w:tcPr>
          <w:p w14:paraId="63F3D2CF">
            <w:pPr>
              <w:widowControl/>
              <w:jc w:val="center"/>
              <w:rPr>
                <w:rFonts w:hint="eastAsia" w:ascii="宋体" w:hAnsi="宋体" w:eastAsia="宋体" w:cs="宋体"/>
                <w:kern w:val="0"/>
                <w:sz w:val="22"/>
                <w:lang w:val="en-US" w:eastAsia="zh-CN" w:bidi="ar-SA"/>
              </w:rPr>
            </w:pPr>
            <w:bookmarkStart w:id="3" w:name="OLE_LINK9"/>
            <w:r>
              <w:rPr>
                <w:rFonts w:hint="eastAsia" w:ascii="宋体" w:hAnsi="宋体" w:cs="宋体"/>
                <w:kern w:val="0"/>
                <w:sz w:val="22"/>
              </w:rPr>
              <w:t>儿童脑肿瘤髓母细胞瘤，ATRT等</w:t>
            </w:r>
          </w:p>
          <w:bookmarkEnd w:id="3"/>
        </w:tc>
        <w:tc>
          <w:tcPr>
            <w:tcW w:w="3078" w:type="dxa"/>
            <w:shd w:val="clear" w:color="auto" w:fill="auto"/>
            <w:noWrap/>
            <w:vAlign w:val="center"/>
          </w:tcPr>
          <w:p w14:paraId="4613A42A">
            <w:pPr>
              <w:widowControl/>
              <w:jc w:val="center"/>
              <w:rPr>
                <w:rFonts w:hint="eastAsia" w:ascii="宋体" w:hAnsi="宋体" w:eastAsia="宋体" w:cs="宋体"/>
                <w:kern w:val="0"/>
                <w:sz w:val="22"/>
                <w:lang w:val="en-US" w:eastAsia="zh-CN" w:bidi="ar-SA"/>
              </w:rPr>
            </w:pPr>
            <w:r>
              <w:rPr>
                <w:rFonts w:hint="eastAsia" w:ascii="宋体" w:hAnsi="宋体" w:cs="宋体"/>
                <w:kern w:val="0"/>
                <w:sz w:val="22"/>
              </w:rPr>
              <w:t>全基因组甲基化检测，可预测髓母5分型（WNT、TP53野生型SHH、TP53突变型SHH、Group 3型和Group 4型），对于G3和G4型，可进一步预测subtype1-8分型等儿童脑肿瘤</w:t>
            </w:r>
          </w:p>
        </w:tc>
        <w:tc>
          <w:tcPr>
            <w:tcW w:w="1264" w:type="dxa"/>
            <w:shd w:val="clear" w:color="auto" w:fill="auto"/>
            <w:vAlign w:val="center"/>
          </w:tcPr>
          <w:p w14:paraId="710432B6">
            <w:pPr>
              <w:widowControl/>
              <w:jc w:val="center"/>
              <w:rPr>
                <w:rFonts w:hint="eastAsia" w:ascii="宋体" w:hAnsi="宋体" w:eastAsia="宋体" w:cs="宋体"/>
                <w:kern w:val="0"/>
                <w:sz w:val="22"/>
                <w:lang w:val="en-US" w:eastAsia="zh-CN" w:bidi="ar-SA"/>
              </w:rPr>
            </w:pPr>
            <w:r>
              <w:rPr>
                <w:rFonts w:hint="eastAsia" w:ascii="宋体" w:hAnsi="宋体" w:cs="宋体"/>
                <w:kern w:val="0"/>
                <w:sz w:val="22"/>
              </w:rPr>
              <w:t>全基因组</w:t>
            </w:r>
          </w:p>
        </w:tc>
        <w:tc>
          <w:tcPr>
            <w:tcW w:w="964" w:type="dxa"/>
            <w:shd w:val="clear" w:color="auto" w:fill="auto"/>
            <w:vAlign w:val="center"/>
          </w:tcPr>
          <w:p w14:paraId="634E395C">
            <w:pPr>
              <w:widowControl/>
              <w:jc w:val="center"/>
              <w:rPr>
                <w:rFonts w:hint="eastAsia" w:ascii="宋体" w:hAnsi="宋体" w:eastAsia="宋体" w:cs="宋体"/>
                <w:kern w:val="0"/>
                <w:sz w:val="22"/>
                <w:lang w:val="en-US" w:eastAsia="zh-CN" w:bidi="ar-SA"/>
              </w:rPr>
            </w:pPr>
            <w:r>
              <w:rPr>
                <w:rFonts w:hint="eastAsia" w:ascii="宋体" w:hAnsi="宋体" w:cs="宋体"/>
                <w:kern w:val="0"/>
                <w:sz w:val="22"/>
              </w:rPr>
              <w:t>全基因组甲基化芯片</w:t>
            </w:r>
          </w:p>
        </w:tc>
        <w:tc>
          <w:tcPr>
            <w:tcW w:w="1840" w:type="dxa"/>
            <w:shd w:val="clear" w:color="auto" w:fill="auto"/>
            <w:noWrap/>
            <w:vAlign w:val="center"/>
          </w:tcPr>
          <w:p w14:paraId="28287B18">
            <w:pPr>
              <w:widowControl/>
              <w:jc w:val="center"/>
              <w:rPr>
                <w:rFonts w:hint="eastAsia" w:ascii="宋体" w:hAnsi="宋体" w:eastAsia="宋体" w:cs="宋体"/>
                <w:kern w:val="0"/>
                <w:sz w:val="22"/>
                <w:lang w:val="en-US" w:eastAsia="zh-CN" w:bidi="ar-SA"/>
              </w:rPr>
            </w:pPr>
            <w:r>
              <w:rPr>
                <w:rFonts w:hint="eastAsia" w:ascii="宋体" w:hAnsi="宋体" w:cs="宋体"/>
                <w:kern w:val="0"/>
                <w:sz w:val="22"/>
              </w:rPr>
              <w:t>髓母细胞瘤，ATRT等分子分型，精细化的分型有助于患者危险度分层，制定个性化的治疗方案</w:t>
            </w:r>
          </w:p>
        </w:tc>
        <w:tc>
          <w:tcPr>
            <w:tcW w:w="2211" w:type="dxa"/>
            <w:shd w:val="clear" w:color="auto" w:fill="FFFFFF"/>
            <w:noWrap/>
            <w:vAlign w:val="center"/>
          </w:tcPr>
          <w:p w14:paraId="3407169F">
            <w:pPr>
              <w:widowControl/>
              <w:rPr>
                <w:rFonts w:hint="eastAsia" w:ascii="宋体" w:hAnsi="宋体" w:cs="宋体"/>
                <w:color w:val="000000"/>
                <w:kern w:val="0"/>
                <w:sz w:val="24"/>
                <w:szCs w:val="24"/>
              </w:rPr>
            </w:pPr>
            <w:r>
              <w:rPr>
                <w:rFonts w:hint="eastAsia" w:ascii="宋体" w:hAnsi="宋体" w:cs="宋体"/>
                <w:kern w:val="0"/>
                <w:sz w:val="22"/>
              </w:rPr>
              <w:t>1.甲基化标记数量≥90万个，且全面覆盖已知的增强子、超级增强子、CTCF 结合域以及使用ATAC-seq和ChIP-seq鉴定的与原发性肿瘤相关的染色质开放区域；</w:t>
            </w:r>
            <w:r>
              <w:rPr>
                <w:rFonts w:hint="eastAsia" w:ascii="宋体" w:hAnsi="宋体" w:cs="宋体"/>
                <w:kern w:val="0"/>
                <w:sz w:val="22"/>
              </w:rPr>
              <w:br w:type="textWrapping"/>
            </w:r>
            <w:r>
              <w:rPr>
                <w:rFonts w:hint="eastAsia" w:ascii="宋体" w:hAnsi="宋体" w:cs="宋体"/>
                <w:kern w:val="0"/>
                <w:sz w:val="22"/>
              </w:rPr>
              <w:t>2.基于DNA甲基化聚类分析，辅助不少于80种脑肿瘤分子亚型的区分和鉴定；</w:t>
            </w:r>
            <w:r>
              <w:rPr>
                <w:rFonts w:hint="eastAsia" w:ascii="宋体" w:hAnsi="宋体" w:cs="宋体"/>
                <w:kern w:val="0"/>
                <w:sz w:val="22"/>
              </w:rPr>
              <w:br w:type="textWrapping"/>
            </w:r>
            <w:r>
              <w:rPr>
                <w:rFonts w:hint="eastAsia" w:ascii="宋体" w:hAnsi="宋体" w:cs="宋体"/>
                <w:kern w:val="0"/>
                <w:sz w:val="22"/>
              </w:rPr>
              <w:t>3.CNV分析：要求同时能提供CNV分析，分析染色体臂的拷贝数变异；</w:t>
            </w:r>
            <w:r>
              <w:rPr>
                <w:rFonts w:hint="eastAsia" w:ascii="宋体" w:hAnsi="宋体" w:cs="宋体"/>
                <w:kern w:val="0"/>
                <w:sz w:val="22"/>
              </w:rPr>
              <w:br w:type="textWrapping"/>
            </w:r>
            <w:r>
              <w:rPr>
                <w:rFonts w:hint="eastAsia" w:ascii="宋体" w:hAnsi="宋体" w:cs="宋体"/>
                <w:kern w:val="0"/>
                <w:sz w:val="22"/>
              </w:rPr>
              <w:t>4.MGMT甲基化分析：要求同时能提供MGMT甲基化水平，辅助替莫唑胺的疗效判断。</w:t>
            </w:r>
          </w:p>
        </w:tc>
        <w:tc>
          <w:tcPr>
            <w:tcW w:w="1255" w:type="dxa"/>
            <w:shd w:val="clear" w:color="auto" w:fill="FFFFFF"/>
            <w:noWrap/>
            <w:vAlign w:val="center"/>
          </w:tcPr>
          <w:p w14:paraId="192B4BFF">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kern w:val="0"/>
                <w:sz w:val="24"/>
                <w:szCs w:val="24"/>
              </w:rPr>
              <w:t>30个自然日</w:t>
            </w:r>
          </w:p>
        </w:tc>
      </w:tr>
      <w:tr w14:paraId="6D8D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9" w:type="dxa"/>
            <w:shd w:val="clear" w:color="auto" w:fill="FFFFFF"/>
            <w:noWrap/>
            <w:vAlign w:val="center"/>
          </w:tcPr>
          <w:p w14:paraId="63BD151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06" w:type="dxa"/>
            <w:shd w:val="clear" w:color="auto" w:fill="FFFFFF"/>
            <w:noWrap/>
            <w:vAlign w:val="center"/>
          </w:tcPr>
          <w:p w14:paraId="67DFDDC9">
            <w:pPr>
              <w:widowControl/>
              <w:jc w:val="left"/>
              <w:rPr>
                <w:rFonts w:hint="eastAsia" w:ascii="宋体" w:hAnsi="宋体" w:cs="宋体"/>
                <w:color w:val="000000"/>
                <w:kern w:val="0"/>
                <w:sz w:val="24"/>
                <w:szCs w:val="24"/>
              </w:rPr>
            </w:pPr>
            <w:r>
              <w:rPr>
                <w:rFonts w:hint="eastAsia" w:ascii="宋体" w:hAnsi="宋体" w:cs="宋体"/>
                <w:b/>
                <w:bCs/>
                <w:kern w:val="0"/>
                <w:sz w:val="22"/>
              </w:rPr>
              <w:t>儿童实体瘤全基因组芯片检测</w:t>
            </w:r>
          </w:p>
        </w:tc>
        <w:tc>
          <w:tcPr>
            <w:tcW w:w="1499" w:type="dxa"/>
            <w:shd w:val="clear" w:color="auto" w:fill="FFFFFF"/>
            <w:noWrap/>
            <w:vAlign w:val="center"/>
          </w:tcPr>
          <w:p w14:paraId="632F5498">
            <w:pPr>
              <w:widowControl/>
              <w:jc w:val="center"/>
              <w:rPr>
                <w:rFonts w:hint="eastAsia" w:ascii="宋体" w:hAnsi="宋体" w:cs="宋体"/>
                <w:kern w:val="0"/>
                <w:sz w:val="24"/>
                <w:szCs w:val="24"/>
              </w:rPr>
            </w:pPr>
            <w:r>
              <w:rPr>
                <w:rFonts w:hint="eastAsia" w:ascii="宋体" w:hAnsi="宋体" w:cs="宋体"/>
                <w:kern w:val="0"/>
                <w:sz w:val="22"/>
              </w:rPr>
              <w:t>泛肿瘤（神母，肾母等）</w:t>
            </w:r>
          </w:p>
        </w:tc>
        <w:tc>
          <w:tcPr>
            <w:tcW w:w="3078" w:type="dxa"/>
            <w:shd w:val="clear" w:color="auto" w:fill="FFFFFF"/>
            <w:noWrap/>
            <w:vAlign w:val="center"/>
          </w:tcPr>
          <w:p w14:paraId="124C6993">
            <w:pPr>
              <w:widowControl/>
              <w:jc w:val="center"/>
              <w:rPr>
                <w:rFonts w:hint="eastAsia" w:ascii="宋体" w:hAnsi="宋体" w:cs="宋体"/>
                <w:color w:val="000000"/>
                <w:kern w:val="0"/>
                <w:sz w:val="24"/>
                <w:szCs w:val="24"/>
              </w:rPr>
            </w:pPr>
            <w:r>
              <w:rPr>
                <w:rFonts w:hint="eastAsia" w:ascii="宋体" w:hAnsi="宋体" w:cs="宋体"/>
                <w:kern w:val="0"/>
                <w:sz w:val="22"/>
              </w:rPr>
              <w:t>一次检测全染色体拷贝数变异（CNV），杂合性缺失（LOH），单亲二倍体（UPD）</w:t>
            </w:r>
          </w:p>
        </w:tc>
        <w:tc>
          <w:tcPr>
            <w:tcW w:w="1264" w:type="dxa"/>
            <w:shd w:val="clear" w:color="auto" w:fill="FFFFFF"/>
            <w:vAlign w:val="center"/>
          </w:tcPr>
          <w:p w14:paraId="12433A5B">
            <w:pPr>
              <w:widowControl/>
              <w:jc w:val="center"/>
              <w:rPr>
                <w:rFonts w:hint="eastAsia" w:ascii="宋体" w:hAnsi="宋体" w:cs="宋体"/>
                <w:color w:val="000000"/>
                <w:kern w:val="0"/>
                <w:sz w:val="24"/>
                <w:szCs w:val="24"/>
              </w:rPr>
            </w:pPr>
            <w:r>
              <w:rPr>
                <w:rFonts w:hint="eastAsia" w:ascii="宋体" w:hAnsi="宋体" w:cs="宋体"/>
                <w:kern w:val="0"/>
                <w:sz w:val="22"/>
              </w:rPr>
              <w:t>全基因组</w:t>
            </w:r>
          </w:p>
        </w:tc>
        <w:tc>
          <w:tcPr>
            <w:tcW w:w="964" w:type="dxa"/>
            <w:shd w:val="clear" w:color="auto" w:fill="FFFFFF"/>
            <w:vAlign w:val="center"/>
          </w:tcPr>
          <w:p w14:paraId="27E8CED7">
            <w:pPr>
              <w:widowControl/>
              <w:jc w:val="center"/>
              <w:rPr>
                <w:rFonts w:hint="eastAsia" w:ascii="宋体" w:hAnsi="宋体" w:cs="宋体"/>
                <w:color w:val="000000"/>
                <w:kern w:val="0"/>
                <w:sz w:val="24"/>
                <w:szCs w:val="24"/>
              </w:rPr>
            </w:pPr>
            <w:r>
              <w:rPr>
                <w:rFonts w:hint="eastAsia" w:ascii="宋体" w:hAnsi="宋体" w:cs="宋体"/>
                <w:kern w:val="0"/>
                <w:sz w:val="22"/>
              </w:rPr>
              <w:t>全基因组snp芯片</w:t>
            </w:r>
          </w:p>
        </w:tc>
        <w:tc>
          <w:tcPr>
            <w:tcW w:w="1840" w:type="dxa"/>
            <w:shd w:val="clear" w:color="auto" w:fill="FFFFFF"/>
            <w:noWrap/>
            <w:vAlign w:val="center"/>
          </w:tcPr>
          <w:p w14:paraId="3D3EE8A9">
            <w:pPr>
              <w:widowControl/>
              <w:jc w:val="center"/>
              <w:rPr>
                <w:rFonts w:hint="eastAsia" w:ascii="宋体" w:hAnsi="宋体" w:cs="宋体"/>
                <w:color w:val="000000"/>
                <w:kern w:val="0"/>
                <w:sz w:val="24"/>
                <w:szCs w:val="24"/>
              </w:rPr>
            </w:pPr>
            <w:r>
              <w:rPr>
                <w:rFonts w:hint="eastAsia" w:ascii="宋体" w:hAnsi="宋体" w:cs="宋体"/>
                <w:kern w:val="0"/>
                <w:sz w:val="22"/>
              </w:rPr>
              <w:t>检测泛癌种的拷贝数异常，辅助儿童实体肿瘤的临床诊断、危险度分层和治疗方案选择</w:t>
            </w:r>
          </w:p>
        </w:tc>
        <w:tc>
          <w:tcPr>
            <w:tcW w:w="2211" w:type="dxa"/>
            <w:shd w:val="clear" w:color="auto" w:fill="FFFFFF"/>
            <w:noWrap/>
            <w:vAlign w:val="center"/>
          </w:tcPr>
          <w:p w14:paraId="3170705D">
            <w:pPr>
              <w:widowControl/>
              <w:jc w:val="center"/>
              <w:rPr>
                <w:rFonts w:hint="eastAsia" w:ascii="宋体" w:hAnsi="宋体" w:cs="宋体"/>
                <w:color w:val="000000"/>
                <w:kern w:val="0"/>
                <w:sz w:val="24"/>
                <w:szCs w:val="24"/>
              </w:rPr>
            </w:pPr>
            <w:r>
              <w:rPr>
                <w:rFonts w:hint="eastAsia" w:ascii="宋体" w:hAnsi="宋体" w:cs="宋体"/>
                <w:kern w:val="0"/>
                <w:sz w:val="22"/>
              </w:rPr>
              <w:t>1.基于SNP Array方法，SNP标记数量≥85万个；</w:t>
            </w:r>
            <w:r>
              <w:rPr>
                <w:rFonts w:hint="eastAsia" w:ascii="宋体" w:hAnsi="宋体" w:cs="宋体"/>
                <w:kern w:val="0"/>
                <w:sz w:val="22"/>
              </w:rPr>
              <w:br w:type="textWrapping"/>
            </w:r>
            <w:r>
              <w:rPr>
                <w:rFonts w:hint="eastAsia" w:ascii="宋体" w:hAnsi="宋体" w:cs="宋体"/>
                <w:kern w:val="0"/>
                <w:sz w:val="22"/>
              </w:rPr>
              <w:t>2.兼容FFPE低质量样本，对于低质量样本，自建修复方法和CNV基线数据，数据样本不少于1000个；</w:t>
            </w:r>
            <w:r>
              <w:rPr>
                <w:rFonts w:hint="eastAsia" w:ascii="宋体" w:hAnsi="宋体" w:cs="宋体"/>
                <w:kern w:val="0"/>
                <w:sz w:val="22"/>
              </w:rPr>
              <w:br w:type="textWrapping"/>
            </w:r>
            <w:r>
              <w:rPr>
                <w:rFonts w:hint="eastAsia" w:ascii="宋体" w:hAnsi="宋体" w:cs="宋体"/>
                <w:kern w:val="0"/>
                <w:sz w:val="22"/>
              </w:rPr>
              <w:t>3.可检测CNV（&gt;100kb）、胚胎嵌合（&gt;20%）、单亲二倍体、非平衡易位、单倍体、拷贝数中性杂合性缺失（CN-LOH）；</w:t>
            </w:r>
            <w:r>
              <w:rPr>
                <w:rFonts w:hint="eastAsia" w:ascii="宋体" w:hAnsi="宋体" w:cs="宋体"/>
                <w:kern w:val="0"/>
                <w:sz w:val="22"/>
              </w:rPr>
              <w:br w:type="textWrapping"/>
            </w:r>
            <w:r>
              <w:rPr>
                <w:rFonts w:hint="eastAsia" w:ascii="宋体" w:hAnsi="宋体" w:cs="宋体"/>
                <w:kern w:val="0"/>
                <w:sz w:val="22"/>
              </w:rPr>
              <w:t>4.可提示DNA倍性，SCA异常以及整条染色体异常</w:t>
            </w:r>
          </w:p>
        </w:tc>
        <w:tc>
          <w:tcPr>
            <w:tcW w:w="1255" w:type="dxa"/>
            <w:shd w:val="clear" w:color="auto" w:fill="FFFFFF"/>
            <w:noWrap/>
            <w:vAlign w:val="center"/>
          </w:tcPr>
          <w:p w14:paraId="076E07C5">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kern w:val="0"/>
                <w:sz w:val="24"/>
                <w:szCs w:val="24"/>
              </w:rPr>
              <w:t>18个自然日</w:t>
            </w:r>
          </w:p>
        </w:tc>
      </w:tr>
      <w:tr w14:paraId="7739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9" w:type="dxa"/>
            <w:shd w:val="clear" w:color="auto" w:fill="FFFFFF"/>
            <w:noWrap/>
            <w:vAlign w:val="center"/>
          </w:tcPr>
          <w:p w14:paraId="51910217">
            <w:pPr>
              <w:widowControl/>
              <w:jc w:val="center"/>
              <w:rPr>
                <w:rFonts w:hint="eastAsia" w:ascii="宋体" w:hAnsi="宋体" w:cs="宋体"/>
                <w:color w:val="000000"/>
                <w:kern w:val="0"/>
                <w:sz w:val="24"/>
                <w:szCs w:val="24"/>
              </w:rPr>
            </w:pPr>
            <w:bookmarkStart w:id="4" w:name="_Hlk185862868"/>
            <w:r>
              <w:rPr>
                <w:rFonts w:hint="eastAsia" w:ascii="宋体" w:hAnsi="宋体" w:cs="宋体"/>
                <w:color w:val="000000"/>
                <w:kern w:val="0"/>
                <w:sz w:val="24"/>
                <w:szCs w:val="24"/>
              </w:rPr>
              <w:t>4</w:t>
            </w:r>
          </w:p>
        </w:tc>
        <w:tc>
          <w:tcPr>
            <w:tcW w:w="1406" w:type="dxa"/>
            <w:shd w:val="clear" w:color="auto" w:fill="FFFFFF"/>
            <w:noWrap/>
            <w:vAlign w:val="center"/>
          </w:tcPr>
          <w:p w14:paraId="430A0898">
            <w:pPr>
              <w:widowControl/>
              <w:jc w:val="left"/>
              <w:rPr>
                <w:rFonts w:hint="eastAsia" w:ascii="宋体" w:hAnsi="宋体" w:cs="宋体"/>
                <w:color w:val="000000"/>
                <w:kern w:val="0"/>
                <w:sz w:val="24"/>
                <w:szCs w:val="24"/>
              </w:rPr>
            </w:pPr>
            <w:r>
              <w:rPr>
                <w:rFonts w:hint="eastAsia" w:ascii="宋体" w:hAnsi="宋体" w:cs="宋体"/>
                <w:b/>
                <w:bCs/>
                <w:kern w:val="0"/>
                <w:sz w:val="22"/>
              </w:rPr>
              <w:t>泛儿童实体肿瘤基因检测（panel）</w:t>
            </w:r>
          </w:p>
        </w:tc>
        <w:tc>
          <w:tcPr>
            <w:tcW w:w="1499" w:type="dxa"/>
            <w:shd w:val="clear" w:color="auto" w:fill="FFFFFF"/>
            <w:noWrap/>
            <w:vAlign w:val="center"/>
          </w:tcPr>
          <w:p w14:paraId="0A36FF30">
            <w:pPr>
              <w:widowControl/>
              <w:jc w:val="center"/>
              <w:rPr>
                <w:rFonts w:hint="eastAsia" w:ascii="宋体" w:hAnsi="宋体" w:cs="宋体"/>
                <w:kern w:val="0"/>
                <w:sz w:val="24"/>
                <w:szCs w:val="24"/>
                <w:highlight w:val="none"/>
              </w:rPr>
            </w:pPr>
            <w:r>
              <w:rPr>
                <w:rFonts w:hint="eastAsia" w:ascii="宋体" w:hAnsi="宋体" w:cs="宋体"/>
                <w:kern w:val="0"/>
                <w:sz w:val="22"/>
                <w:highlight w:val="none"/>
              </w:rPr>
              <w:t>儿童实体泛肿瘤</w:t>
            </w:r>
          </w:p>
        </w:tc>
        <w:tc>
          <w:tcPr>
            <w:tcW w:w="3078" w:type="dxa"/>
            <w:shd w:val="clear" w:color="auto" w:fill="FFFFFF"/>
            <w:noWrap/>
            <w:vAlign w:val="center"/>
          </w:tcPr>
          <w:p w14:paraId="72F879B2">
            <w:pPr>
              <w:widowControl/>
              <w:jc w:val="center"/>
              <w:rPr>
                <w:rFonts w:hint="eastAsia" w:ascii="宋体" w:hAnsi="宋体" w:cs="宋体"/>
                <w:color w:val="000000"/>
                <w:kern w:val="0"/>
                <w:sz w:val="24"/>
                <w:szCs w:val="24"/>
                <w:highlight w:val="none"/>
              </w:rPr>
            </w:pPr>
            <w:r>
              <w:rPr>
                <w:rFonts w:hint="eastAsia" w:ascii="宋体" w:hAnsi="宋体" w:cs="宋体"/>
                <w:kern w:val="0"/>
                <w:sz w:val="22"/>
                <w:highlight w:val="none"/>
              </w:rPr>
              <w:t>通过（DNA+RNA）NGS技术一次性检测561 个突变、 350 个融合基因、11 个微卫星（MS）位点、 66 个化疗单核苷酸多态性（SNP）位点；包含体细胞变异检测，胚系变异检测，微卫星不稳定性分析，肿瘤突变负荷分析等</w:t>
            </w:r>
          </w:p>
        </w:tc>
        <w:tc>
          <w:tcPr>
            <w:tcW w:w="1264" w:type="dxa"/>
            <w:shd w:val="clear" w:color="auto" w:fill="FFFFFF"/>
            <w:vAlign w:val="center"/>
          </w:tcPr>
          <w:p w14:paraId="1B647DB2">
            <w:pPr>
              <w:widowControl/>
              <w:jc w:val="center"/>
              <w:rPr>
                <w:rFonts w:hint="eastAsia" w:ascii="宋体" w:hAnsi="宋体" w:cs="宋体"/>
                <w:color w:val="000000"/>
                <w:kern w:val="0"/>
                <w:sz w:val="24"/>
                <w:szCs w:val="24"/>
                <w:highlight w:val="none"/>
              </w:rPr>
            </w:pPr>
            <w:r>
              <w:rPr>
                <w:rFonts w:hint="eastAsia" w:ascii="宋体" w:hAnsi="宋体" w:cs="宋体"/>
                <w:kern w:val="0"/>
                <w:sz w:val="22"/>
                <w:highlight w:val="none"/>
              </w:rPr>
              <w:t>561 个突变、 350 个融合基因、11 个微卫星（MS）位点、 66 个化疗单核苷酸多态性（SNP）位点</w:t>
            </w:r>
          </w:p>
        </w:tc>
        <w:tc>
          <w:tcPr>
            <w:tcW w:w="964" w:type="dxa"/>
            <w:shd w:val="clear" w:color="auto" w:fill="FFFFFF"/>
            <w:vAlign w:val="center"/>
          </w:tcPr>
          <w:p w14:paraId="112FD506">
            <w:pPr>
              <w:widowControl/>
              <w:jc w:val="center"/>
              <w:rPr>
                <w:rFonts w:hint="eastAsia" w:ascii="宋体" w:hAnsi="宋体" w:cs="宋体"/>
                <w:color w:val="000000"/>
                <w:kern w:val="0"/>
                <w:sz w:val="24"/>
                <w:szCs w:val="24"/>
                <w:highlight w:val="none"/>
              </w:rPr>
            </w:pPr>
            <w:r>
              <w:rPr>
                <w:rFonts w:hint="eastAsia" w:ascii="宋体" w:hAnsi="宋体" w:cs="宋体"/>
                <w:kern w:val="0"/>
                <w:sz w:val="22"/>
                <w:highlight w:val="none"/>
              </w:rPr>
              <w:t>NGS</w:t>
            </w:r>
          </w:p>
        </w:tc>
        <w:tc>
          <w:tcPr>
            <w:tcW w:w="1840" w:type="dxa"/>
            <w:shd w:val="clear" w:color="auto" w:fill="FFFFFF"/>
            <w:noWrap/>
            <w:vAlign w:val="center"/>
          </w:tcPr>
          <w:p w14:paraId="56F67124">
            <w:pPr>
              <w:widowControl/>
              <w:jc w:val="center"/>
              <w:rPr>
                <w:rFonts w:hint="eastAsia" w:ascii="宋体" w:hAnsi="宋体" w:cs="宋体"/>
                <w:color w:val="000000"/>
                <w:kern w:val="0"/>
                <w:sz w:val="24"/>
                <w:szCs w:val="24"/>
                <w:highlight w:val="none"/>
              </w:rPr>
            </w:pPr>
            <w:r>
              <w:rPr>
                <w:rFonts w:hint="eastAsia" w:ascii="宋体" w:hAnsi="宋体" w:cs="宋体"/>
                <w:kern w:val="0"/>
                <w:sz w:val="22"/>
                <w:highlight w:val="none"/>
              </w:rPr>
              <w:t>辅助泛肿瘤的诊断、 靶向药的选择、预后评估、免疫疗效预测、实体肿瘤遗传易感基因检测和化疗药物基因组学检测</w:t>
            </w:r>
          </w:p>
        </w:tc>
        <w:tc>
          <w:tcPr>
            <w:tcW w:w="2211" w:type="dxa"/>
            <w:shd w:val="clear" w:color="auto" w:fill="FFFFFF"/>
            <w:noWrap/>
            <w:vAlign w:val="center"/>
          </w:tcPr>
          <w:p w14:paraId="475F4732">
            <w:pPr>
              <w:widowControl/>
              <w:jc w:val="center"/>
              <w:rPr>
                <w:rFonts w:hint="eastAsia" w:ascii="宋体" w:hAnsi="宋体" w:cs="宋体"/>
                <w:color w:val="000000"/>
                <w:kern w:val="0"/>
                <w:sz w:val="24"/>
                <w:szCs w:val="24"/>
                <w:highlight w:val="none"/>
              </w:rPr>
            </w:pPr>
            <w:r>
              <w:rPr>
                <w:rFonts w:hint="eastAsia" w:ascii="宋体" w:hAnsi="宋体" w:cs="宋体"/>
                <w:kern w:val="0"/>
                <w:sz w:val="22"/>
                <w:highlight w:val="none"/>
              </w:rPr>
              <w:t>1.检测至少包含500个基因突变基因，3000对融合基因，探针覆盖区域≥3.5Mb；</w:t>
            </w:r>
            <w:r>
              <w:rPr>
                <w:rFonts w:hint="eastAsia" w:ascii="宋体" w:hAnsi="宋体" w:cs="宋体"/>
                <w:kern w:val="0"/>
                <w:sz w:val="22"/>
                <w:highlight w:val="none"/>
              </w:rPr>
              <w:br w:type="textWrapping"/>
            </w:r>
            <w:r>
              <w:rPr>
                <w:rFonts w:hint="eastAsia" w:ascii="宋体" w:hAnsi="宋体" w:cs="宋体"/>
                <w:kern w:val="0"/>
                <w:sz w:val="22"/>
                <w:highlight w:val="none"/>
              </w:rPr>
              <w:t>2.检测内容除SNV、indel、fusion外，还应包括TMB、MSI、化疗用药位点；</w:t>
            </w:r>
            <w:r>
              <w:rPr>
                <w:rFonts w:hint="eastAsia" w:ascii="宋体" w:hAnsi="宋体" w:cs="宋体"/>
                <w:kern w:val="0"/>
                <w:sz w:val="22"/>
                <w:highlight w:val="none"/>
              </w:rPr>
              <w:br w:type="textWrapping"/>
            </w:r>
            <w:r>
              <w:rPr>
                <w:rFonts w:hint="eastAsia" w:ascii="宋体" w:hAnsi="宋体" w:cs="宋体"/>
                <w:kern w:val="0"/>
                <w:sz w:val="22"/>
                <w:highlight w:val="none"/>
              </w:rPr>
              <w:t>3.探针覆盖度≥98%，10X覆盖度≥98%，捕获效率≥70%，DNA平均测序深度≥2000X，RNA数据量≥4G；</w:t>
            </w:r>
            <w:r>
              <w:rPr>
                <w:rFonts w:hint="eastAsia" w:ascii="宋体" w:hAnsi="宋体" w:cs="宋体"/>
                <w:kern w:val="0"/>
                <w:sz w:val="22"/>
                <w:highlight w:val="none"/>
              </w:rPr>
              <w:br w:type="textWrapping"/>
            </w:r>
            <w:r>
              <w:rPr>
                <w:rFonts w:hint="eastAsia" w:ascii="宋体" w:hAnsi="宋体" w:cs="宋体"/>
                <w:kern w:val="0"/>
                <w:sz w:val="22"/>
                <w:highlight w:val="none"/>
              </w:rPr>
              <w:t>4. 最低可检测&gt;1%的SNV，&gt;5%的indel，&gt;3条reads数的融合基因。</w:t>
            </w:r>
          </w:p>
        </w:tc>
        <w:tc>
          <w:tcPr>
            <w:tcW w:w="1255" w:type="dxa"/>
            <w:shd w:val="clear" w:color="auto" w:fill="FFFFFF"/>
            <w:noWrap/>
            <w:vAlign w:val="center"/>
          </w:tcPr>
          <w:p w14:paraId="18F260A2">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kern w:val="0"/>
                <w:sz w:val="24"/>
                <w:szCs w:val="24"/>
              </w:rPr>
              <w:t>19个自然日</w:t>
            </w:r>
          </w:p>
        </w:tc>
      </w:tr>
      <w:bookmarkEnd w:id="4"/>
      <w:tr w14:paraId="7EFC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9" w:type="dxa"/>
            <w:shd w:val="clear" w:color="auto" w:fill="FFFFFF"/>
            <w:noWrap/>
            <w:vAlign w:val="center"/>
          </w:tcPr>
          <w:p w14:paraId="52B4984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406" w:type="dxa"/>
            <w:shd w:val="clear" w:color="auto" w:fill="FFFFFF"/>
            <w:noWrap/>
            <w:vAlign w:val="center"/>
          </w:tcPr>
          <w:p w14:paraId="7542926A">
            <w:pPr>
              <w:widowControl/>
              <w:jc w:val="left"/>
              <w:rPr>
                <w:rFonts w:hint="eastAsia" w:ascii="宋体" w:hAnsi="宋体" w:cs="宋体"/>
                <w:color w:val="000000"/>
                <w:kern w:val="0"/>
                <w:sz w:val="24"/>
                <w:szCs w:val="24"/>
              </w:rPr>
            </w:pPr>
            <w:r>
              <w:rPr>
                <w:rFonts w:hint="eastAsia" w:ascii="宋体" w:hAnsi="宋体" w:cs="宋体"/>
                <w:b/>
                <w:bCs/>
                <w:kern w:val="0"/>
                <w:sz w:val="22"/>
              </w:rPr>
              <w:t>数字定量pcr监测（基因突变/融合）</w:t>
            </w:r>
          </w:p>
        </w:tc>
        <w:tc>
          <w:tcPr>
            <w:tcW w:w="1499" w:type="dxa"/>
            <w:shd w:val="clear" w:color="auto" w:fill="FFFFFF"/>
            <w:noWrap/>
            <w:vAlign w:val="center"/>
          </w:tcPr>
          <w:p w14:paraId="22CC00D9">
            <w:pPr>
              <w:widowControl/>
              <w:jc w:val="center"/>
              <w:rPr>
                <w:rFonts w:hint="eastAsia" w:ascii="宋体" w:hAnsi="宋体" w:cs="宋体"/>
                <w:kern w:val="0"/>
                <w:sz w:val="24"/>
                <w:szCs w:val="24"/>
              </w:rPr>
            </w:pPr>
            <w:r>
              <w:rPr>
                <w:rFonts w:hint="eastAsia" w:ascii="宋体" w:hAnsi="宋体" w:cs="宋体"/>
                <w:kern w:val="0"/>
                <w:sz w:val="22"/>
              </w:rPr>
              <w:t>泛肿瘤、血液病，遗传病等</w:t>
            </w:r>
          </w:p>
        </w:tc>
        <w:tc>
          <w:tcPr>
            <w:tcW w:w="3078" w:type="dxa"/>
            <w:shd w:val="clear" w:color="auto" w:fill="FFFFFF"/>
            <w:noWrap/>
            <w:vAlign w:val="center"/>
          </w:tcPr>
          <w:p w14:paraId="15F7D64F">
            <w:pPr>
              <w:widowControl/>
              <w:jc w:val="center"/>
              <w:rPr>
                <w:rFonts w:hint="eastAsia" w:ascii="宋体" w:hAnsi="宋体" w:cs="宋体"/>
                <w:color w:val="000000"/>
                <w:kern w:val="0"/>
                <w:sz w:val="24"/>
                <w:szCs w:val="24"/>
              </w:rPr>
            </w:pPr>
            <w:r>
              <w:rPr>
                <w:rFonts w:hint="eastAsia" w:ascii="宋体" w:hAnsi="宋体" w:cs="宋体"/>
                <w:kern w:val="0"/>
                <w:sz w:val="22"/>
              </w:rPr>
              <w:t>数字定量pcr监测（基因突变/融合）</w:t>
            </w:r>
          </w:p>
        </w:tc>
        <w:tc>
          <w:tcPr>
            <w:tcW w:w="1264" w:type="dxa"/>
            <w:shd w:val="clear" w:color="auto" w:fill="FFFFFF"/>
            <w:vAlign w:val="center"/>
          </w:tcPr>
          <w:p w14:paraId="45146428">
            <w:pPr>
              <w:widowControl/>
              <w:jc w:val="center"/>
              <w:rPr>
                <w:rFonts w:hint="eastAsia" w:ascii="宋体" w:hAnsi="宋体" w:cs="宋体"/>
                <w:color w:val="000000"/>
                <w:kern w:val="0"/>
                <w:sz w:val="24"/>
                <w:szCs w:val="24"/>
              </w:rPr>
            </w:pPr>
            <w:r>
              <w:rPr>
                <w:rFonts w:hint="eastAsia" w:ascii="宋体" w:hAnsi="宋体" w:cs="宋体"/>
                <w:kern w:val="0"/>
                <w:sz w:val="22"/>
              </w:rPr>
              <w:t>单个基因突变或者融合基因</w:t>
            </w:r>
          </w:p>
        </w:tc>
        <w:tc>
          <w:tcPr>
            <w:tcW w:w="964" w:type="dxa"/>
            <w:shd w:val="clear" w:color="auto" w:fill="FFFFFF"/>
            <w:vAlign w:val="center"/>
          </w:tcPr>
          <w:p w14:paraId="2D62534B">
            <w:pPr>
              <w:widowControl/>
              <w:jc w:val="center"/>
              <w:rPr>
                <w:rFonts w:hint="eastAsia" w:ascii="宋体" w:hAnsi="宋体" w:cs="宋体"/>
                <w:color w:val="000000"/>
                <w:kern w:val="0"/>
                <w:sz w:val="24"/>
                <w:szCs w:val="24"/>
              </w:rPr>
            </w:pPr>
            <w:r>
              <w:rPr>
                <w:rFonts w:hint="eastAsia" w:ascii="宋体" w:hAnsi="宋体" w:cs="宋体"/>
                <w:kern w:val="0"/>
                <w:sz w:val="22"/>
              </w:rPr>
              <w:t>数字pcr</w:t>
            </w:r>
          </w:p>
        </w:tc>
        <w:tc>
          <w:tcPr>
            <w:tcW w:w="1840" w:type="dxa"/>
            <w:shd w:val="clear" w:color="auto" w:fill="FFFFFF"/>
            <w:noWrap/>
            <w:vAlign w:val="center"/>
          </w:tcPr>
          <w:p w14:paraId="7CCC1876">
            <w:pPr>
              <w:widowControl/>
              <w:jc w:val="center"/>
              <w:rPr>
                <w:rFonts w:hint="eastAsia" w:ascii="宋体" w:hAnsi="宋体" w:cs="宋体"/>
                <w:color w:val="000000"/>
                <w:kern w:val="0"/>
                <w:sz w:val="24"/>
                <w:szCs w:val="24"/>
              </w:rPr>
            </w:pPr>
            <w:r>
              <w:rPr>
                <w:rFonts w:hint="eastAsia" w:ascii="宋体" w:hAnsi="宋体" w:cs="宋体"/>
                <w:kern w:val="0"/>
                <w:sz w:val="22"/>
              </w:rPr>
              <w:t>数字PCR可精确且深度地检测患者体内融合基因和基因突变，实时反映肿瘤细胞负荷，有助于疗效评估、微小残留监测及早期预测分子复发，检测结果可作为分子级缓解的临床参考。检测下限达到10-6</w:t>
            </w:r>
          </w:p>
        </w:tc>
        <w:tc>
          <w:tcPr>
            <w:tcW w:w="2211" w:type="dxa"/>
            <w:shd w:val="clear" w:color="auto" w:fill="FFFFFF"/>
            <w:noWrap/>
            <w:vAlign w:val="center"/>
          </w:tcPr>
          <w:p w14:paraId="3CD35E8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r>
              <w:rPr>
                <w:rFonts w:hint="eastAsia" w:ascii="宋体" w:hAnsi="宋体" w:cs="宋体"/>
                <w:kern w:val="0"/>
                <w:sz w:val="22"/>
              </w:rPr>
              <w:t>1.样本要求：包括外周血/骨髓样本、脑脊液、新鲜组织等</w:t>
            </w:r>
            <w:r>
              <w:rPr>
                <w:rFonts w:hint="eastAsia" w:ascii="宋体" w:hAnsi="宋体" w:cs="宋体"/>
                <w:kern w:val="0"/>
                <w:sz w:val="22"/>
              </w:rPr>
              <w:br w:type="textWrapping"/>
            </w:r>
            <w:r>
              <w:rPr>
                <w:rFonts w:hint="eastAsia" w:ascii="宋体" w:hAnsi="宋体" w:cs="宋体"/>
                <w:kern w:val="0"/>
                <w:sz w:val="22"/>
              </w:rPr>
              <w:t>2.检测参数：单次上机检测技术参数需达到检测灵敏低至0.001%，基因突变内参拷贝数≧5000，融合基因内参拷贝数≧10000，使用FAM/VIC双色荧光检测；</w:t>
            </w:r>
            <w:r>
              <w:rPr>
                <w:rFonts w:hint="eastAsia" w:ascii="宋体" w:hAnsi="宋体" w:cs="宋体"/>
                <w:kern w:val="0"/>
                <w:sz w:val="22"/>
              </w:rPr>
              <w:br w:type="textWrapping"/>
            </w:r>
            <w:r>
              <w:rPr>
                <w:rFonts w:hint="eastAsia" w:ascii="宋体" w:hAnsi="宋体" w:cs="宋体"/>
                <w:kern w:val="0"/>
                <w:sz w:val="22"/>
              </w:rPr>
              <w:t>3.能利用数字PCR技术检测儿童血液肿瘤靶点基因变异检测的证明材料（请列出能够提供检测的基因靶点清单），同时报告中能够展示同一位点多种样本类型的长期动态监测图</w:t>
            </w:r>
          </w:p>
        </w:tc>
        <w:tc>
          <w:tcPr>
            <w:tcW w:w="1255" w:type="dxa"/>
            <w:shd w:val="clear" w:color="auto" w:fill="FFFFFF"/>
            <w:noWrap/>
            <w:vAlign w:val="center"/>
          </w:tcPr>
          <w:p w14:paraId="25A6C65B">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个自然日</w:t>
            </w:r>
          </w:p>
        </w:tc>
      </w:tr>
    </w:tbl>
    <w:p w14:paraId="6F810B80">
      <w:pPr>
        <w:widowControl/>
        <w:numPr>
          <w:ilvl w:val="0"/>
          <w:numId w:val="0"/>
        </w:numPr>
        <w:spacing w:line="360" w:lineRule="auto"/>
        <w:jc w:val="left"/>
        <w:rPr>
          <w:rFonts w:hint="eastAsia" w:ascii="宋体" w:hAnsi="宋体" w:cs="宋体"/>
          <w:b/>
          <w:kern w:val="0"/>
          <w:sz w:val="24"/>
          <w:szCs w:val="24"/>
        </w:rPr>
      </w:pPr>
    </w:p>
    <w:p w14:paraId="3D26FADB">
      <w:pPr>
        <w:widowControl/>
        <w:numPr>
          <w:ilvl w:val="0"/>
          <w:numId w:val="0"/>
        </w:numPr>
        <w:spacing w:line="360" w:lineRule="auto"/>
        <w:jc w:val="left"/>
        <w:rPr>
          <w:rFonts w:hint="eastAsia" w:ascii="宋体" w:hAnsi="宋体" w:cs="宋体"/>
          <w:b/>
          <w:kern w:val="0"/>
          <w:sz w:val="24"/>
          <w:szCs w:val="24"/>
        </w:rPr>
      </w:pPr>
    </w:p>
    <w:p w14:paraId="7738D22E">
      <w:pPr>
        <w:widowControl/>
        <w:numPr>
          <w:ilvl w:val="0"/>
          <w:numId w:val="1"/>
        </w:numPr>
        <w:spacing w:line="360" w:lineRule="auto"/>
        <w:ind w:left="0" w:leftChars="0" w:firstLine="0" w:firstLineChars="0"/>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本项目特定资格要求：</w:t>
      </w:r>
    </w:p>
    <w:p w14:paraId="0F890903">
      <w:pPr>
        <w:widowControl/>
        <w:numPr>
          <w:numId w:val="0"/>
        </w:numPr>
        <w:spacing w:line="360" w:lineRule="auto"/>
        <w:ind w:leftChars="0"/>
        <w:jc w:val="left"/>
        <w:rPr>
          <w:kern w:val="0"/>
          <w:sz w:val="24"/>
        </w:rPr>
      </w:pPr>
      <w:r>
        <w:rPr>
          <w:rFonts w:hint="eastAsia"/>
          <w:kern w:val="0"/>
          <w:sz w:val="24"/>
        </w:rPr>
        <w:t xml:space="preserve"> </w:t>
      </w:r>
      <w:r>
        <w:rPr>
          <w:rFonts w:hint="eastAsia"/>
          <w:kern w:val="0"/>
          <w:sz w:val="24"/>
          <w:lang w:val="en-US" w:eastAsia="zh-CN"/>
        </w:rPr>
        <w:t>1.</w:t>
      </w:r>
      <w:r>
        <w:rPr>
          <w:rFonts w:hint="eastAsia"/>
          <w:kern w:val="0"/>
          <w:sz w:val="24"/>
        </w:rPr>
        <w:t>供应商须具有卫生部门核发且在有效期内的《医疗机构执业许可证》第三方独立医学检验室。</w:t>
      </w:r>
      <w:bookmarkStart w:id="6" w:name="_GoBack"/>
      <w:bookmarkEnd w:id="6"/>
    </w:p>
    <w:p w14:paraId="0EE53E97">
      <w:pPr>
        <w:widowControl/>
        <w:numPr>
          <w:ilvl w:val="0"/>
          <w:numId w:val="0"/>
        </w:numPr>
        <w:spacing w:line="360" w:lineRule="auto"/>
        <w:jc w:val="left"/>
        <w:rPr>
          <w:rFonts w:hint="eastAsia" w:ascii="宋体" w:hAnsi="宋体" w:cs="宋体"/>
          <w:b/>
          <w:kern w:val="0"/>
          <w:sz w:val="24"/>
          <w:szCs w:val="24"/>
        </w:rPr>
      </w:pPr>
      <w:r>
        <w:rPr>
          <w:rFonts w:hint="eastAsia"/>
          <w:kern w:val="0"/>
          <w:sz w:val="24"/>
          <w:lang w:val="en-US" w:eastAsia="zh-CN"/>
        </w:rPr>
        <w:t>2.</w:t>
      </w:r>
      <w:r>
        <w:rPr>
          <w:rFonts w:hint="eastAsia" w:ascii="宋体" w:hAnsi="宋体" w:cs="宋体"/>
          <w:sz w:val="24"/>
          <w:szCs w:val="24"/>
        </w:rPr>
        <w:t>供应商须具备《</w:t>
      </w:r>
      <w:bookmarkStart w:id="5" w:name="OLE_LINK8"/>
      <w:r>
        <w:rPr>
          <w:rFonts w:hint="eastAsia" w:ascii="宋体" w:hAnsi="宋体" w:cs="宋体"/>
          <w:sz w:val="24"/>
          <w:szCs w:val="24"/>
        </w:rPr>
        <w:t>临床基因扩增检验实验室技术审核合格证</w:t>
      </w:r>
      <w:bookmarkEnd w:id="5"/>
      <w:r>
        <w:rPr>
          <w:rFonts w:hint="eastAsia" w:ascii="宋体" w:hAnsi="宋体" w:cs="宋体"/>
          <w:sz w:val="24"/>
          <w:szCs w:val="24"/>
        </w:rPr>
        <w:t>》或《临床基因扩增检验项目登记备案》。</w:t>
      </w:r>
    </w:p>
    <w:p w14:paraId="16B3DB97">
      <w:pPr>
        <w:widowControl/>
        <w:numPr>
          <w:ilvl w:val="0"/>
          <w:numId w:val="0"/>
        </w:numPr>
        <w:spacing w:line="360" w:lineRule="auto"/>
        <w:jc w:val="left"/>
        <w:rPr>
          <w:rFonts w:hint="eastAsia" w:ascii="宋体" w:hAnsi="宋体" w:cs="宋体"/>
          <w:b/>
          <w:kern w:val="0"/>
          <w:sz w:val="24"/>
          <w:szCs w:val="24"/>
        </w:rPr>
      </w:pPr>
    </w:p>
    <w:p w14:paraId="7110DFD3">
      <w:pPr>
        <w:widowControl/>
        <w:numPr>
          <w:ilvl w:val="0"/>
          <w:numId w:val="0"/>
        </w:numPr>
        <w:spacing w:line="360" w:lineRule="auto"/>
        <w:jc w:val="left"/>
        <w:rPr>
          <w:rFonts w:hint="eastAsia" w:ascii="宋体" w:hAnsi="宋体" w:cs="宋体"/>
          <w:b/>
          <w:kern w:val="0"/>
          <w:sz w:val="24"/>
          <w:szCs w:val="24"/>
        </w:rPr>
      </w:pPr>
    </w:p>
    <w:p w14:paraId="0D6A0A89">
      <w:pPr>
        <w:widowControl/>
        <w:numPr>
          <w:ilvl w:val="0"/>
          <w:numId w:val="0"/>
        </w:numPr>
        <w:spacing w:line="360" w:lineRule="auto"/>
        <w:jc w:val="left"/>
        <w:rPr>
          <w:rFonts w:hint="eastAsia" w:ascii="宋体" w:hAnsi="宋体" w:cs="宋体"/>
          <w:b/>
          <w:kern w:val="0"/>
          <w:sz w:val="24"/>
          <w:szCs w:val="24"/>
        </w:rPr>
      </w:pPr>
    </w:p>
    <w:p w14:paraId="360C2B5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63064"/>
    <w:multiLevelType w:val="singleLevel"/>
    <w:tmpl w:val="AFA630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C1E9B"/>
    <w:rsid w:val="0AF630D3"/>
    <w:rsid w:val="1A07032F"/>
    <w:rsid w:val="2ACD66C6"/>
    <w:rsid w:val="4A4C1E9B"/>
    <w:rsid w:val="4BFF72F3"/>
    <w:rsid w:val="59AD4E2E"/>
    <w:rsid w:val="5B6B0AF7"/>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b/>
      <w:sz w:val="18"/>
      <w:szCs w:val="24"/>
    </w:rPr>
  </w:style>
  <w:style w:type="character" w:styleId="6">
    <w:name w:val="annotation reference"/>
    <w:qFormat/>
    <w:uiPriority w:val="99"/>
    <w:rPr>
      <w:rFonts w:eastAsia="宋体"/>
      <w:kern w:val="2"/>
      <w:sz w:val="21"/>
      <w:szCs w:val="21"/>
      <w:lang w:val="en-US" w:eastAsia="zh-CN" w:bidi="ar-SA"/>
    </w:rPr>
  </w:style>
  <w:style w:type="character" w:customStyle="1" w:styleId="7">
    <w:name w:val="msoins"/>
    <w:qFormat/>
    <w:uiPriority w:val="0"/>
    <w:rPr>
      <w:color w:val="00808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2965</Words>
  <Characters>3344</Characters>
  <Lines>0</Lines>
  <Paragraphs>0</Paragraphs>
  <TotalTime>0</TotalTime>
  <ScaleCrop>false</ScaleCrop>
  <LinksUpToDate>false</LinksUpToDate>
  <CharactersWithSpaces>3363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2024-12-27T15:38:00Z</dcterms:created>
  <dc:creator>杨俐君</dc:creator>
  <cp:lastModifiedBy>Administrator</cp:lastModifiedBy>
  <dcterms:modified xsi:type="dcterms:W3CDTF">2024-12-29T12:27:06Z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4D7C2EF99E5E46308DDDEE3D59375392_13</vt:lpwstr>
  </property>
  <property fmtid="{D5CDD505-2E9C-101B-9397-08002B2CF9AE}" pid="4" name="KSOTemplateDocerSaveRecord">
    <vt:lpwstr>eyJoZGlkIjoiNTFiMjBiMTlkZjU0MmFjYmRhMDhlMWFlNTEzNTNjZDkiLCJ1c2VySWQiOiI2NDA4MzE2NjgifQ==</vt:lpwstr>
  </property>
</Properties>
</file>