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259045B4"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w:t>
      </w:r>
      <w:r w:rsidR="00796FFC">
        <w:rPr>
          <w:rFonts w:ascii="黑体" w:eastAsia="黑体" w:hAnsi="宋体"/>
          <w:b/>
          <w:sz w:val="36"/>
          <w:szCs w:val="36"/>
          <w:u w:val="single"/>
        </w:rPr>
        <w:t>4</w:t>
      </w:r>
      <w:r w:rsidR="00F13047">
        <w:rPr>
          <w:rFonts w:ascii="黑体" w:eastAsia="黑体" w:hAnsi="宋体"/>
          <w:b/>
          <w:sz w:val="36"/>
          <w:szCs w:val="36"/>
          <w:u w:val="single"/>
        </w:rPr>
        <w:t>639</w:t>
      </w:r>
    </w:p>
    <w:p w14:paraId="729A2CC5" w14:textId="6D466B99" w:rsidR="00356F07" w:rsidRDefault="00356F07"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rPr>
        <w:t>项目名称：</w:t>
      </w:r>
      <w:r w:rsidR="00CD3CD9">
        <w:rPr>
          <w:rFonts w:ascii="黑体" w:eastAsia="黑体" w:hAnsi="宋体" w:hint="eastAsia"/>
          <w:b/>
          <w:sz w:val="36"/>
          <w:szCs w:val="36"/>
          <w:u w:val="single"/>
        </w:rPr>
        <w:t>2</w:t>
      </w:r>
      <w:r w:rsidR="00FB65AA">
        <w:rPr>
          <w:rFonts w:ascii="黑体" w:eastAsia="黑体" w:hAnsi="宋体" w:hint="eastAsia"/>
          <w:b/>
          <w:sz w:val="36"/>
          <w:szCs w:val="36"/>
          <w:u w:val="single"/>
        </w:rPr>
        <w:t>号楼手术室更衣区装饰装修项目</w:t>
      </w:r>
      <w:r w:rsidR="00CD3CD9">
        <w:rPr>
          <w:rFonts w:ascii="黑体" w:eastAsia="黑体" w:hAnsi="宋体" w:hint="eastAsia"/>
          <w:b/>
          <w:sz w:val="36"/>
          <w:szCs w:val="36"/>
          <w:u w:val="single"/>
        </w:rPr>
        <w:t>、28号楼</w:t>
      </w:r>
      <w:proofErr w:type="gramStart"/>
      <w:r w:rsidR="00CD3CD9">
        <w:rPr>
          <w:rFonts w:ascii="黑体" w:eastAsia="黑体" w:hAnsi="宋体" w:hint="eastAsia"/>
          <w:b/>
          <w:sz w:val="36"/>
          <w:szCs w:val="36"/>
          <w:u w:val="single"/>
        </w:rPr>
        <w:t>镜朗国际</w:t>
      </w:r>
      <w:proofErr w:type="gramEnd"/>
      <w:r w:rsidR="00CD3CD9">
        <w:rPr>
          <w:rFonts w:ascii="黑体" w:eastAsia="黑体" w:hAnsi="宋体" w:hint="eastAsia"/>
          <w:b/>
          <w:sz w:val="36"/>
          <w:szCs w:val="36"/>
          <w:u w:val="single"/>
        </w:rPr>
        <w:t>医疗部装饰装修项目工程施工监理</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5A7AA81E" w:rsidR="00356F07" w:rsidRDefault="00356F07" w:rsidP="00356F07">
      <w:pPr>
        <w:jc w:val="center"/>
        <w:rPr>
          <w:rFonts w:ascii="宋体" w:hAnsi="宋体"/>
          <w:b/>
          <w:sz w:val="32"/>
        </w:rPr>
      </w:pPr>
      <w:r>
        <w:rPr>
          <w:rFonts w:ascii="黑体" w:eastAsia="黑体" w:hAnsi="宋体" w:hint="eastAsia"/>
          <w:sz w:val="30"/>
        </w:rPr>
        <w:t>二〇二</w:t>
      </w:r>
      <w:r w:rsidR="00F13047">
        <w:rPr>
          <w:rFonts w:ascii="黑体" w:eastAsia="黑体" w:hAnsi="宋体" w:hint="eastAsia"/>
          <w:sz w:val="30"/>
        </w:rPr>
        <w:t>五</w:t>
      </w:r>
      <w:r>
        <w:rPr>
          <w:rFonts w:ascii="黑体" w:eastAsia="黑体" w:hAnsi="宋体" w:hint="eastAsia"/>
          <w:sz w:val="30"/>
        </w:rPr>
        <w:t>年</w:t>
      </w:r>
      <w:r w:rsidR="00F13047">
        <w:rPr>
          <w:rFonts w:ascii="黑体" w:eastAsia="黑体" w:hAnsi="宋体" w:hint="eastAsia"/>
          <w:sz w:val="30"/>
        </w:rPr>
        <w:t>一</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1BF5BE17"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D3CD9">
        <w:rPr>
          <w:rFonts w:ascii="宋体" w:hAnsi="宋体" w:hint="eastAsia"/>
          <w:sz w:val="24"/>
        </w:rPr>
        <w:t>2</w:t>
      </w:r>
      <w:r w:rsidR="00FB65AA">
        <w:rPr>
          <w:rFonts w:ascii="宋体" w:hAnsi="宋体" w:hint="eastAsia"/>
          <w:sz w:val="24"/>
        </w:rPr>
        <w:t>号楼手术室更衣区装饰装修项目</w:t>
      </w:r>
      <w:bookmarkStart w:id="0" w:name="_GoBack"/>
      <w:bookmarkEnd w:id="0"/>
      <w:r w:rsidR="00CD3CD9">
        <w:rPr>
          <w:rFonts w:ascii="宋体" w:hAnsi="宋体" w:hint="eastAsia"/>
          <w:sz w:val="24"/>
        </w:rPr>
        <w:t>、28号楼</w:t>
      </w:r>
      <w:proofErr w:type="gramStart"/>
      <w:r w:rsidR="00CD3CD9">
        <w:rPr>
          <w:rFonts w:ascii="宋体" w:hAnsi="宋体" w:hint="eastAsia"/>
          <w:sz w:val="24"/>
        </w:rPr>
        <w:t>镜朗国际</w:t>
      </w:r>
      <w:proofErr w:type="gramEnd"/>
      <w:r w:rsidR="00CD3CD9">
        <w:rPr>
          <w:rFonts w:ascii="宋体" w:hAnsi="宋体" w:hint="eastAsia"/>
          <w:sz w:val="24"/>
        </w:rPr>
        <w:t>医疗部装饰装修项目工程施工监理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BJGC2</w:t>
      </w:r>
      <w:r w:rsidR="00796FFC">
        <w:rPr>
          <w:rFonts w:ascii="宋体" w:hAnsi="宋体"/>
          <w:sz w:val="24"/>
          <w:u w:val="single"/>
        </w:rPr>
        <w:t>4</w:t>
      </w:r>
      <w:r w:rsidR="00F13047">
        <w:rPr>
          <w:rFonts w:ascii="宋体" w:hAnsi="宋体"/>
          <w:sz w:val="24"/>
          <w:u w:val="single"/>
        </w:rPr>
        <w:t>639</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4D82D6C6" w14:textId="4A1F0AEA" w:rsidR="00CD3CD9"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CD3CD9">
        <w:rPr>
          <w:rFonts w:ascii="宋体" w:hAnsi="宋体" w:hint="eastAsia"/>
          <w:sz w:val="24"/>
          <w:lang w:eastAsia="zh-CN"/>
        </w:rPr>
        <w:t>2</w:t>
      </w:r>
      <w:r w:rsidR="00FB65AA">
        <w:rPr>
          <w:rFonts w:ascii="宋体" w:hAnsi="宋体" w:hint="eastAsia"/>
          <w:sz w:val="24"/>
          <w:lang w:eastAsia="zh-CN"/>
        </w:rPr>
        <w:t>号楼手术室更衣区装饰装修项目</w:t>
      </w:r>
      <w:r w:rsidR="00CD3CD9">
        <w:rPr>
          <w:rFonts w:ascii="宋体" w:hAnsi="宋体" w:hint="eastAsia"/>
          <w:sz w:val="24"/>
          <w:lang w:eastAsia="zh-CN"/>
        </w:rPr>
        <w:t>、28号楼</w:t>
      </w:r>
      <w:proofErr w:type="gramStart"/>
      <w:r w:rsidR="00CD3CD9">
        <w:rPr>
          <w:rFonts w:ascii="宋体" w:hAnsi="宋体" w:hint="eastAsia"/>
          <w:sz w:val="24"/>
          <w:lang w:eastAsia="zh-CN"/>
        </w:rPr>
        <w:t>镜朗国际</w:t>
      </w:r>
      <w:proofErr w:type="gramEnd"/>
      <w:r w:rsidR="00CD3CD9">
        <w:rPr>
          <w:rFonts w:ascii="宋体" w:hAnsi="宋体" w:hint="eastAsia"/>
          <w:sz w:val="24"/>
          <w:lang w:eastAsia="zh-CN"/>
        </w:rPr>
        <w:t>医疗部装饰装修项目工程施工监理</w:t>
      </w:r>
    </w:p>
    <w:p w14:paraId="7A1328F9" w14:textId="23C4BC91"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22D73D7D" w14:textId="750EEBED"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812"/>
        <w:gridCol w:w="1544"/>
        <w:gridCol w:w="3380"/>
      </w:tblGrid>
      <w:tr w:rsidR="00115439" w:rsidRPr="00115439" w14:paraId="3F24F8E5" w14:textId="77777777" w:rsidTr="00115439">
        <w:tc>
          <w:tcPr>
            <w:tcW w:w="2471" w:type="pct"/>
          </w:tcPr>
          <w:p w14:paraId="7E8ECA2A" w14:textId="77777777" w:rsidR="00115439" w:rsidRPr="00115439" w:rsidRDefault="00115439" w:rsidP="00B91EA4">
            <w:pPr>
              <w:widowControl/>
              <w:jc w:val="center"/>
              <w:rPr>
                <w:rFonts w:ascii="宋体" w:hAnsi="宋体"/>
                <w:sz w:val="24"/>
              </w:rPr>
            </w:pPr>
            <w:r w:rsidRPr="00115439">
              <w:rPr>
                <w:rFonts w:ascii="宋体" w:hAnsi="宋体" w:hint="eastAsia"/>
                <w:sz w:val="24"/>
              </w:rPr>
              <w:t>项目名</w:t>
            </w:r>
          </w:p>
        </w:tc>
        <w:tc>
          <w:tcPr>
            <w:tcW w:w="793" w:type="pct"/>
          </w:tcPr>
          <w:p w14:paraId="46EEAFDC" w14:textId="1EF12B87" w:rsidR="00115439" w:rsidRPr="00115439" w:rsidRDefault="00F13047" w:rsidP="00B91EA4">
            <w:pPr>
              <w:widowControl/>
              <w:jc w:val="center"/>
              <w:rPr>
                <w:rFonts w:ascii="宋体" w:hAnsi="宋体"/>
                <w:sz w:val="24"/>
              </w:rPr>
            </w:pPr>
            <w:r>
              <w:rPr>
                <w:rFonts w:ascii="宋体" w:hAnsi="宋体" w:hint="eastAsia"/>
                <w:sz w:val="24"/>
              </w:rPr>
              <w:t>施工合同</w:t>
            </w:r>
            <w:r w:rsidR="00115439" w:rsidRPr="00115439">
              <w:rPr>
                <w:rFonts w:ascii="宋体" w:hAnsi="宋体" w:hint="eastAsia"/>
                <w:sz w:val="24"/>
              </w:rPr>
              <w:t>金额</w:t>
            </w:r>
            <w:r w:rsidR="00115439">
              <w:rPr>
                <w:rFonts w:ascii="宋体" w:hAnsi="宋体" w:hint="eastAsia"/>
                <w:sz w:val="24"/>
              </w:rPr>
              <w:t>（元）</w:t>
            </w:r>
          </w:p>
        </w:tc>
        <w:tc>
          <w:tcPr>
            <w:tcW w:w="1736" w:type="pct"/>
          </w:tcPr>
          <w:p w14:paraId="4DDD557A" w14:textId="77777777" w:rsidR="00115439" w:rsidRPr="00115439" w:rsidRDefault="00115439" w:rsidP="00B91EA4">
            <w:pPr>
              <w:widowControl/>
              <w:jc w:val="center"/>
              <w:rPr>
                <w:rFonts w:ascii="宋体" w:hAnsi="宋体"/>
                <w:sz w:val="24"/>
              </w:rPr>
            </w:pPr>
            <w:r w:rsidRPr="00115439">
              <w:rPr>
                <w:rFonts w:ascii="宋体" w:hAnsi="宋体" w:hint="eastAsia"/>
                <w:sz w:val="24"/>
              </w:rPr>
              <w:t>计划工期</w:t>
            </w:r>
          </w:p>
        </w:tc>
      </w:tr>
      <w:tr w:rsidR="00A02E34" w:rsidRPr="00115439" w14:paraId="575E209E" w14:textId="77777777" w:rsidTr="00115439">
        <w:tc>
          <w:tcPr>
            <w:tcW w:w="2471" w:type="pct"/>
          </w:tcPr>
          <w:p w14:paraId="086D3F4A" w14:textId="77665D1F" w:rsidR="00A02E34" w:rsidRPr="00115439" w:rsidRDefault="00F13047" w:rsidP="00A02E34">
            <w:pPr>
              <w:widowControl/>
              <w:jc w:val="center"/>
              <w:rPr>
                <w:rFonts w:ascii="宋体" w:hAnsi="宋体"/>
                <w:sz w:val="24"/>
              </w:rPr>
            </w:pPr>
            <w:r>
              <w:rPr>
                <w:rFonts w:ascii="宋体" w:hAnsi="宋体" w:hint="eastAsia"/>
                <w:sz w:val="24"/>
              </w:rPr>
              <w:t>2</w:t>
            </w:r>
            <w:r w:rsidR="00FB65AA">
              <w:rPr>
                <w:rFonts w:ascii="宋体" w:hAnsi="宋体" w:hint="eastAsia"/>
                <w:sz w:val="24"/>
              </w:rPr>
              <w:t>号楼手术室更衣区装饰装修项目</w:t>
            </w:r>
          </w:p>
        </w:tc>
        <w:tc>
          <w:tcPr>
            <w:tcW w:w="793" w:type="pct"/>
          </w:tcPr>
          <w:p w14:paraId="6221A20B" w14:textId="05A5581A" w:rsidR="00A02E34" w:rsidRPr="00115439" w:rsidRDefault="00100EAA" w:rsidP="00A02E34">
            <w:pPr>
              <w:widowControl/>
              <w:jc w:val="center"/>
              <w:rPr>
                <w:rFonts w:ascii="宋体" w:hAnsi="宋体"/>
                <w:sz w:val="24"/>
              </w:rPr>
            </w:pPr>
            <w:r>
              <w:rPr>
                <w:rFonts w:ascii="宋体" w:hAnsi="宋体"/>
                <w:sz w:val="24"/>
              </w:rPr>
              <w:t>1228742</w:t>
            </w:r>
          </w:p>
        </w:tc>
        <w:tc>
          <w:tcPr>
            <w:tcW w:w="1736" w:type="pct"/>
          </w:tcPr>
          <w:p w14:paraId="3F52679F" w14:textId="22921B3D" w:rsidR="00A02E34" w:rsidRPr="00DF5815" w:rsidRDefault="00A02E34" w:rsidP="00100EAA">
            <w:pPr>
              <w:widowControl/>
              <w:jc w:val="center"/>
              <w:rPr>
                <w:rFonts w:ascii="宋体" w:hAnsi="宋体"/>
                <w:sz w:val="24"/>
              </w:rPr>
            </w:pPr>
            <w:r w:rsidRPr="00DF5815">
              <w:rPr>
                <w:rFonts w:ascii="宋体" w:hAnsi="宋体"/>
                <w:sz w:val="24"/>
              </w:rPr>
              <w:t>202</w:t>
            </w:r>
            <w:r w:rsidR="00100EAA">
              <w:rPr>
                <w:rFonts w:ascii="宋体" w:hAnsi="宋体"/>
                <w:sz w:val="24"/>
              </w:rPr>
              <w:t>5</w:t>
            </w:r>
            <w:r w:rsidRPr="00DF5815">
              <w:rPr>
                <w:rFonts w:ascii="宋体" w:hAnsi="宋体"/>
                <w:sz w:val="24"/>
              </w:rPr>
              <w:t>.</w:t>
            </w:r>
            <w:r w:rsidR="00100EAA">
              <w:rPr>
                <w:rFonts w:ascii="宋体" w:hAnsi="宋体"/>
                <w:sz w:val="24"/>
              </w:rPr>
              <w:t>3.1-2025.5</w:t>
            </w:r>
            <w:r w:rsidRPr="00DF5815">
              <w:rPr>
                <w:rFonts w:ascii="宋体" w:hAnsi="宋体"/>
                <w:sz w:val="24"/>
              </w:rPr>
              <w:t>.1</w:t>
            </w:r>
            <w:r w:rsidR="00100EAA">
              <w:rPr>
                <w:rFonts w:ascii="宋体" w:hAnsi="宋体"/>
                <w:sz w:val="24"/>
              </w:rPr>
              <w:t>0</w:t>
            </w:r>
          </w:p>
        </w:tc>
      </w:tr>
      <w:tr w:rsidR="00A02E34" w:rsidRPr="00115439" w14:paraId="65865EE8" w14:textId="77777777" w:rsidTr="00115439">
        <w:tc>
          <w:tcPr>
            <w:tcW w:w="2471" w:type="pct"/>
          </w:tcPr>
          <w:p w14:paraId="51162FC7" w14:textId="06C8BC40" w:rsidR="00A02E34" w:rsidRPr="00115439" w:rsidRDefault="00F13047" w:rsidP="00A02E34">
            <w:pPr>
              <w:widowControl/>
              <w:jc w:val="center"/>
              <w:rPr>
                <w:rFonts w:ascii="宋体" w:hAnsi="宋体"/>
                <w:sz w:val="24"/>
              </w:rPr>
            </w:pPr>
            <w:r>
              <w:rPr>
                <w:rFonts w:ascii="宋体" w:hAnsi="宋体" w:hint="eastAsia"/>
                <w:sz w:val="24"/>
              </w:rPr>
              <w:t>28</w:t>
            </w:r>
            <w:r w:rsidR="00FB65AA">
              <w:rPr>
                <w:rFonts w:ascii="宋体" w:hAnsi="宋体" w:hint="eastAsia"/>
                <w:sz w:val="24"/>
              </w:rPr>
              <w:t>号楼</w:t>
            </w:r>
            <w:proofErr w:type="gramStart"/>
            <w:r w:rsidR="00FB65AA">
              <w:rPr>
                <w:rFonts w:ascii="宋体" w:hAnsi="宋体" w:hint="eastAsia"/>
                <w:sz w:val="24"/>
              </w:rPr>
              <w:t>镜朗国际</w:t>
            </w:r>
            <w:proofErr w:type="gramEnd"/>
            <w:r w:rsidR="00FB65AA">
              <w:rPr>
                <w:rFonts w:ascii="宋体" w:hAnsi="宋体" w:hint="eastAsia"/>
                <w:sz w:val="24"/>
              </w:rPr>
              <w:t>医疗部装饰装修项目</w:t>
            </w:r>
          </w:p>
        </w:tc>
        <w:tc>
          <w:tcPr>
            <w:tcW w:w="793" w:type="pct"/>
          </w:tcPr>
          <w:p w14:paraId="5B33D216" w14:textId="34D0E80F" w:rsidR="00A02E34" w:rsidRPr="00115439" w:rsidRDefault="00100EAA" w:rsidP="00A02E34">
            <w:pPr>
              <w:widowControl/>
              <w:jc w:val="center"/>
              <w:rPr>
                <w:rFonts w:ascii="宋体" w:hAnsi="宋体"/>
                <w:sz w:val="24"/>
              </w:rPr>
            </w:pPr>
            <w:r>
              <w:rPr>
                <w:rFonts w:ascii="宋体" w:hAnsi="宋体"/>
                <w:sz w:val="24"/>
              </w:rPr>
              <w:t>3685081.52</w:t>
            </w:r>
          </w:p>
        </w:tc>
        <w:tc>
          <w:tcPr>
            <w:tcW w:w="1736" w:type="pct"/>
          </w:tcPr>
          <w:p w14:paraId="6E0F8C4D" w14:textId="33ACB4A1" w:rsidR="00A02E34" w:rsidRPr="00DF5815" w:rsidRDefault="00A02E34" w:rsidP="00100EAA">
            <w:pPr>
              <w:widowControl/>
              <w:jc w:val="center"/>
              <w:rPr>
                <w:rFonts w:ascii="宋体" w:hAnsi="宋体"/>
                <w:sz w:val="24"/>
              </w:rPr>
            </w:pPr>
            <w:r w:rsidRPr="00DF5815">
              <w:rPr>
                <w:rFonts w:ascii="宋体" w:hAnsi="宋体"/>
                <w:sz w:val="24"/>
              </w:rPr>
              <w:t>2</w:t>
            </w:r>
            <w:r w:rsidR="00100EAA">
              <w:rPr>
                <w:rFonts w:ascii="宋体" w:hAnsi="宋体"/>
                <w:sz w:val="24"/>
              </w:rPr>
              <w:t>025.02.15-2025.6</w:t>
            </w:r>
            <w:r w:rsidR="00D61698" w:rsidRPr="00DF5815">
              <w:rPr>
                <w:rFonts w:ascii="宋体" w:hAnsi="宋体"/>
                <w:sz w:val="24"/>
              </w:rPr>
              <w:t>.15</w:t>
            </w:r>
          </w:p>
        </w:tc>
      </w:tr>
    </w:tbl>
    <w:p w14:paraId="237B9902" w14:textId="77777777" w:rsidR="00115439" w:rsidRDefault="00115439" w:rsidP="0014582C">
      <w:pPr>
        <w:pStyle w:val="ac"/>
        <w:spacing w:afterLines="0" w:line="360" w:lineRule="auto"/>
        <w:ind w:firstLine="480"/>
        <w:rPr>
          <w:rFonts w:ascii="宋体" w:hAnsi="宋体"/>
          <w:bCs/>
          <w:sz w:val="24"/>
          <w:szCs w:val="24"/>
          <w:lang w:eastAsia="zh-CN"/>
        </w:rPr>
      </w:pPr>
    </w:p>
    <w:p w14:paraId="0DCD855B" w14:textId="1875819A"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0F14DAE9"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w:t>
      </w:r>
      <w:r w:rsidR="00DD18EF">
        <w:rPr>
          <w:rFonts w:ascii="宋体" w:hAnsi="宋体" w:hint="eastAsia"/>
          <w:bCs/>
          <w:sz w:val="24"/>
          <w:szCs w:val="24"/>
          <w:lang w:eastAsia="zh-CN"/>
        </w:rPr>
        <w:t>总</w:t>
      </w:r>
      <w:r w:rsidR="003E5086" w:rsidRPr="004077EA">
        <w:rPr>
          <w:rFonts w:ascii="宋体" w:hAnsi="宋体" w:hint="eastAsia"/>
          <w:bCs/>
          <w:sz w:val="24"/>
          <w:szCs w:val="24"/>
          <w:lang w:eastAsia="zh-CN"/>
        </w:rPr>
        <w:t>限价：</w:t>
      </w:r>
      <w:r w:rsidR="00DD18EF">
        <w:rPr>
          <w:rFonts w:ascii="宋体" w:hAnsi="宋体" w:hint="eastAsia"/>
          <w:bCs/>
          <w:sz w:val="24"/>
          <w:szCs w:val="24"/>
          <w:lang w:eastAsia="zh-CN"/>
        </w:rPr>
        <w:t>1</w:t>
      </w:r>
      <w:r w:rsidR="00DD18EF">
        <w:rPr>
          <w:rFonts w:ascii="宋体" w:hAnsi="宋体"/>
          <w:bCs/>
          <w:sz w:val="24"/>
          <w:szCs w:val="24"/>
          <w:lang w:eastAsia="zh-CN"/>
        </w:rPr>
        <w:t>49017.48</w:t>
      </w:r>
      <w:r w:rsidR="003E5086" w:rsidRPr="004077EA">
        <w:rPr>
          <w:rFonts w:ascii="宋体" w:hAnsi="宋体" w:hint="eastAsia"/>
          <w:bCs/>
          <w:sz w:val="24"/>
          <w:szCs w:val="24"/>
          <w:lang w:eastAsia="zh-CN"/>
        </w:rPr>
        <w:t>元</w:t>
      </w:r>
      <w:r w:rsidR="00DD18EF">
        <w:rPr>
          <w:rFonts w:ascii="宋体" w:hAnsi="宋体" w:hint="eastAsia"/>
          <w:bCs/>
          <w:sz w:val="24"/>
          <w:szCs w:val="24"/>
          <w:lang w:eastAsia="zh-CN"/>
        </w:rPr>
        <w:t>，其中</w:t>
      </w:r>
      <w:r w:rsidR="00DD18EF">
        <w:rPr>
          <w:rFonts w:ascii="宋体" w:hAnsi="宋体" w:hint="eastAsia"/>
          <w:sz w:val="24"/>
          <w:lang w:eastAsia="zh-CN"/>
        </w:rPr>
        <w:t>2号楼手术室更衣区装饰装修项目工程施工监理限价：4</w:t>
      </w:r>
      <w:r w:rsidR="00DD18EF">
        <w:rPr>
          <w:rFonts w:ascii="宋体" w:hAnsi="宋体"/>
          <w:sz w:val="24"/>
          <w:lang w:eastAsia="zh-CN"/>
        </w:rPr>
        <w:t>0700</w:t>
      </w:r>
      <w:r w:rsidR="00DD18EF">
        <w:rPr>
          <w:rFonts w:ascii="宋体" w:hAnsi="宋体" w:hint="eastAsia"/>
          <w:sz w:val="24"/>
          <w:lang w:eastAsia="zh-CN"/>
        </w:rPr>
        <w:t>元，28号楼</w:t>
      </w:r>
      <w:proofErr w:type="gramStart"/>
      <w:r w:rsidR="00DD18EF">
        <w:rPr>
          <w:rFonts w:ascii="宋体" w:hAnsi="宋体" w:hint="eastAsia"/>
          <w:sz w:val="24"/>
          <w:lang w:eastAsia="zh-CN"/>
        </w:rPr>
        <w:t>镜朗国际</w:t>
      </w:r>
      <w:proofErr w:type="gramEnd"/>
      <w:r w:rsidR="00DD18EF">
        <w:rPr>
          <w:rFonts w:ascii="宋体" w:hAnsi="宋体" w:hint="eastAsia"/>
          <w:sz w:val="24"/>
          <w:lang w:eastAsia="zh-CN"/>
        </w:rPr>
        <w:t>医疗部装饰装修项目工程施工监理限价：</w:t>
      </w:r>
      <w:r w:rsidR="00DD18EF" w:rsidRPr="00DD18EF">
        <w:rPr>
          <w:rFonts w:ascii="宋体" w:hAnsi="宋体" w:hint="eastAsia"/>
          <w:sz w:val="24"/>
          <w:lang w:eastAsia="zh-CN"/>
        </w:rPr>
        <w:t>1</w:t>
      </w:r>
      <w:r w:rsidR="00DD18EF">
        <w:rPr>
          <w:rFonts w:ascii="宋体" w:hAnsi="宋体"/>
          <w:sz w:val="24"/>
          <w:lang w:eastAsia="zh-CN"/>
        </w:rPr>
        <w:t>0</w:t>
      </w:r>
      <w:r w:rsidR="00DD18EF" w:rsidRPr="00DD18EF">
        <w:rPr>
          <w:rFonts w:ascii="宋体" w:hAnsi="宋体"/>
          <w:sz w:val="24"/>
          <w:lang w:eastAsia="zh-CN"/>
        </w:rPr>
        <w:t>8317</w:t>
      </w:r>
      <w:r w:rsidR="00DD18EF">
        <w:rPr>
          <w:rFonts w:ascii="宋体" w:hAnsi="宋体"/>
          <w:sz w:val="24"/>
          <w:lang w:eastAsia="zh-CN"/>
        </w:rPr>
        <w:t>.</w:t>
      </w:r>
      <w:r w:rsidR="00DD18EF" w:rsidRPr="00DD18EF">
        <w:rPr>
          <w:rFonts w:ascii="宋体" w:hAnsi="宋体"/>
          <w:sz w:val="24"/>
          <w:lang w:eastAsia="zh-CN"/>
        </w:rPr>
        <w:t>48</w:t>
      </w:r>
      <w:r w:rsidR="00DD18EF">
        <w:rPr>
          <w:rFonts w:ascii="宋体" w:hAnsi="宋体" w:hint="eastAsia"/>
          <w:sz w:val="24"/>
          <w:lang w:eastAsia="zh-CN"/>
        </w:rPr>
        <w:t>元。</w:t>
      </w:r>
    </w:p>
    <w:p w14:paraId="273ED8E0" w14:textId="77777777"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2E914461"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15F908FE" w14:textId="1AB305C0" w:rsidR="0044035F" w:rsidRPr="0044035F" w:rsidRDefault="0044035F" w:rsidP="00ED7E83">
      <w:pPr>
        <w:pStyle w:val="ac"/>
        <w:spacing w:after="156" w:line="360" w:lineRule="auto"/>
        <w:ind w:firstLine="480"/>
        <w:rPr>
          <w:rFonts w:ascii="宋体" w:hAnsi="宋体" w:hint="eastAsia"/>
          <w:sz w:val="24"/>
          <w:szCs w:val="24"/>
          <w:lang w:eastAsia="zh-CN"/>
        </w:rPr>
      </w:pPr>
      <w:r>
        <w:rPr>
          <w:rFonts w:ascii="宋体" w:hAnsi="宋体" w:hint="eastAsia"/>
          <w:sz w:val="24"/>
          <w:szCs w:val="24"/>
          <w:lang w:eastAsia="zh-CN"/>
        </w:rPr>
        <w:t>两个</w:t>
      </w:r>
      <w:r w:rsidRPr="0044035F">
        <w:rPr>
          <w:rFonts w:ascii="宋体" w:hAnsi="宋体" w:hint="eastAsia"/>
          <w:sz w:val="24"/>
          <w:szCs w:val="24"/>
          <w:lang w:eastAsia="zh-CN"/>
        </w:rPr>
        <w:t>项目</w:t>
      </w:r>
      <w:r>
        <w:rPr>
          <w:rFonts w:ascii="宋体" w:hAnsi="宋体" w:hint="eastAsia"/>
          <w:sz w:val="24"/>
          <w:szCs w:val="24"/>
          <w:lang w:eastAsia="zh-CN"/>
        </w:rPr>
        <w:t>均</w:t>
      </w:r>
      <w:r w:rsidRPr="0044035F">
        <w:rPr>
          <w:rFonts w:ascii="宋体" w:hAnsi="宋体" w:hint="eastAsia"/>
          <w:sz w:val="24"/>
          <w:szCs w:val="24"/>
          <w:lang w:eastAsia="zh-CN"/>
        </w:rPr>
        <w:t>涉及报建报审，相应监理需要进行备案。监理相应项目数量等需满足报建项目相关要求。</w:t>
      </w:r>
    </w:p>
    <w:p w14:paraId="4A15723D" w14:textId="47564117" w:rsidR="006E30BA" w:rsidRPr="00D95970" w:rsidRDefault="00F664B7" w:rsidP="00FB65AA">
      <w:pPr>
        <w:pStyle w:val="ac"/>
        <w:spacing w:after="156" w:line="360" w:lineRule="auto"/>
        <w:ind w:firstLine="480"/>
        <w:rPr>
          <w:rFonts w:hAnsi="宋体"/>
          <w:b/>
          <w:sz w:val="24"/>
          <w:szCs w:val="24"/>
        </w:rPr>
      </w:pPr>
      <w:r w:rsidRPr="00D95970">
        <w:rPr>
          <w:rFonts w:hAnsi="宋体" w:hint="eastAsia"/>
          <w:sz w:val="24"/>
          <w:lang w:eastAsia="zh-CN"/>
        </w:rPr>
        <w:t xml:space="preserve">    </w:t>
      </w:r>
      <w:proofErr w:type="spellStart"/>
      <w:r w:rsidR="00057AA1">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roofErr w:type="spellEnd"/>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lastRenderedPageBreak/>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30291A18"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185A1E">
        <w:rPr>
          <w:rFonts w:ascii="宋体" w:hAnsi="宋体" w:cs="宋体"/>
          <w:sz w:val="24"/>
        </w:rPr>
        <w:t>4</w:t>
      </w:r>
      <w:r w:rsidR="00356F07" w:rsidRPr="00624C28">
        <w:rPr>
          <w:rFonts w:ascii="宋体" w:hAnsi="宋体" w:cs="宋体" w:hint="eastAsia"/>
          <w:sz w:val="24"/>
        </w:rPr>
        <w:t>年</w:t>
      </w:r>
      <w:r w:rsidR="002704A7">
        <w:rPr>
          <w:rFonts w:ascii="宋体" w:hAnsi="宋体" w:cs="宋体" w:hint="eastAsia"/>
          <w:sz w:val="24"/>
        </w:rPr>
        <w:t>1</w:t>
      </w:r>
      <w:r w:rsidR="002010D3">
        <w:rPr>
          <w:rFonts w:ascii="宋体" w:hAnsi="宋体" w:cs="宋体" w:hint="eastAsia"/>
          <w:sz w:val="24"/>
        </w:rPr>
        <w:t>月</w:t>
      </w:r>
      <w:r w:rsidR="002704A7">
        <w:rPr>
          <w:rFonts w:ascii="宋体" w:hAnsi="宋体" w:cs="宋体"/>
          <w:sz w:val="24"/>
        </w:rPr>
        <w:t>21</w:t>
      </w:r>
      <w:r w:rsidR="00356F07" w:rsidRPr="00624C28">
        <w:rPr>
          <w:rFonts w:ascii="宋体" w:hAnsi="宋体" w:cs="宋体" w:hint="eastAsia"/>
          <w:sz w:val="24"/>
        </w:rPr>
        <w:t xml:space="preserve">日 </w:t>
      </w:r>
      <w:r w:rsidR="00B84A45">
        <w:rPr>
          <w:rFonts w:ascii="宋体" w:hAnsi="宋体" w:cs="宋体"/>
          <w:sz w:val="24"/>
        </w:rPr>
        <w:t>1</w:t>
      </w:r>
      <w:r w:rsidR="002704A7">
        <w:rPr>
          <w:rFonts w:ascii="宋体" w:hAnsi="宋体" w:cs="宋体"/>
          <w:sz w:val="24"/>
        </w:rPr>
        <w:t>7</w:t>
      </w:r>
      <w:r w:rsidR="00356F07" w:rsidRPr="00624C28">
        <w:rPr>
          <w:rFonts w:ascii="宋体" w:hAnsi="宋体" w:cs="宋体" w:hint="eastAsia"/>
          <w:sz w:val="24"/>
        </w:rPr>
        <w:t>:</w:t>
      </w:r>
      <w:r w:rsidR="002704A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3DABACFC"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2704A7">
        <w:rPr>
          <w:rFonts w:ascii="宋体" w:hAnsi="宋体"/>
          <w:sz w:val="24"/>
        </w:rPr>
        <w:t>5</w:t>
      </w:r>
      <w:r w:rsidRPr="00624C28">
        <w:rPr>
          <w:rFonts w:ascii="宋体" w:hAnsi="宋体"/>
          <w:sz w:val="24"/>
        </w:rPr>
        <w:t>年</w:t>
      </w:r>
      <w:r w:rsidR="002704A7">
        <w:rPr>
          <w:rFonts w:ascii="宋体" w:hAnsi="宋体"/>
          <w:sz w:val="24"/>
        </w:rPr>
        <w:t>1</w:t>
      </w:r>
      <w:r w:rsidR="002704A7">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C08F2" w14:textId="77777777" w:rsidR="00F83B3B" w:rsidRDefault="00F83B3B" w:rsidP="00356F07">
      <w:r>
        <w:separator/>
      </w:r>
    </w:p>
  </w:endnote>
  <w:endnote w:type="continuationSeparator" w:id="0">
    <w:p w14:paraId="1B7AE4B8" w14:textId="77777777" w:rsidR="00F83B3B" w:rsidRDefault="00F83B3B"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F83B3B">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310BF5DB" w:rsidR="00E12441" w:rsidRDefault="00E12441">
                <w:pPr>
                  <w:pStyle w:val="a5"/>
                </w:pPr>
                <w:r>
                  <w:fldChar w:fldCharType="begin"/>
                </w:r>
                <w:r>
                  <w:instrText xml:space="preserve"> PAGE  \* MERGEFORMAT </w:instrText>
                </w:r>
                <w:r>
                  <w:fldChar w:fldCharType="separate"/>
                </w:r>
                <w:r w:rsidR="00FB65AA">
                  <w:rPr>
                    <w:noProof/>
                  </w:rPr>
                  <w:t>9</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42330151" w:rsidR="00EF2A4D" w:rsidRDefault="00EF2A4D">
                          <w:pPr>
                            <w:pStyle w:val="a5"/>
                          </w:pPr>
                          <w:r>
                            <w:fldChar w:fldCharType="begin"/>
                          </w:r>
                          <w:r>
                            <w:instrText xml:space="preserve"> PAGE  \* MERGEFORMAT </w:instrText>
                          </w:r>
                          <w:r>
                            <w:fldChar w:fldCharType="separate"/>
                          </w:r>
                          <w:r w:rsidR="0044035F">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42330151" w:rsidR="00EF2A4D" w:rsidRDefault="00EF2A4D">
                    <w:pPr>
                      <w:pStyle w:val="a5"/>
                    </w:pPr>
                    <w:r>
                      <w:fldChar w:fldCharType="begin"/>
                    </w:r>
                    <w:r>
                      <w:instrText xml:space="preserve"> PAGE  \* MERGEFORMAT </w:instrText>
                    </w:r>
                    <w:r>
                      <w:fldChar w:fldCharType="separate"/>
                    </w:r>
                    <w:r w:rsidR="0044035F">
                      <w:rPr>
                        <w:noProof/>
                      </w:rP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7AB7114A" w:rsidR="00EF2A4D" w:rsidRDefault="00EF2A4D">
                          <w:pPr>
                            <w:pStyle w:val="a5"/>
                            <w:ind w:left="420"/>
                            <w:jc w:val="center"/>
                          </w:pPr>
                          <w:r>
                            <w:fldChar w:fldCharType="begin"/>
                          </w:r>
                          <w:r>
                            <w:instrText xml:space="preserve"> PAGE   \* MERGEFORMAT </w:instrText>
                          </w:r>
                          <w:r>
                            <w:fldChar w:fldCharType="separate"/>
                          </w:r>
                          <w:r w:rsidR="00FB65AA" w:rsidRPr="00FB65AA">
                            <w:rPr>
                              <w:noProof/>
                              <w:lang w:val="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7AB7114A" w:rsidR="00EF2A4D" w:rsidRDefault="00EF2A4D">
                    <w:pPr>
                      <w:pStyle w:val="a5"/>
                      <w:ind w:left="420"/>
                      <w:jc w:val="center"/>
                    </w:pPr>
                    <w:r>
                      <w:fldChar w:fldCharType="begin"/>
                    </w:r>
                    <w:r>
                      <w:instrText xml:space="preserve"> PAGE   \* MERGEFORMAT </w:instrText>
                    </w:r>
                    <w:r>
                      <w:fldChar w:fldCharType="separate"/>
                    </w:r>
                    <w:r w:rsidR="00FB65AA" w:rsidRPr="00FB65AA">
                      <w:rPr>
                        <w:noProof/>
                        <w:lang w:val="zh-CN"/>
                      </w:rPr>
                      <w:t>9</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1446" w14:textId="77777777" w:rsidR="00F83B3B" w:rsidRDefault="00F83B3B" w:rsidP="00356F07">
      <w:r>
        <w:separator/>
      </w:r>
    </w:p>
  </w:footnote>
  <w:footnote w:type="continuationSeparator" w:id="0">
    <w:p w14:paraId="6B0B757F" w14:textId="77777777" w:rsidR="00F83B3B" w:rsidRDefault="00F83B3B"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0F0CF3"/>
    <w:rsid w:val="00100EAA"/>
    <w:rsid w:val="001135CC"/>
    <w:rsid w:val="00115439"/>
    <w:rsid w:val="001304A7"/>
    <w:rsid w:val="00135C31"/>
    <w:rsid w:val="00135D83"/>
    <w:rsid w:val="0014582C"/>
    <w:rsid w:val="001469D5"/>
    <w:rsid w:val="00150767"/>
    <w:rsid w:val="00154DBE"/>
    <w:rsid w:val="00185A1E"/>
    <w:rsid w:val="0019751F"/>
    <w:rsid w:val="001A3B84"/>
    <w:rsid w:val="001B516D"/>
    <w:rsid w:val="001D4CA3"/>
    <w:rsid w:val="002010D3"/>
    <w:rsid w:val="00252904"/>
    <w:rsid w:val="002704A7"/>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5086"/>
    <w:rsid w:val="003F23C3"/>
    <w:rsid w:val="003F4183"/>
    <w:rsid w:val="00403E18"/>
    <w:rsid w:val="004077EA"/>
    <w:rsid w:val="00435BF8"/>
    <w:rsid w:val="0044035F"/>
    <w:rsid w:val="00442C93"/>
    <w:rsid w:val="004435FF"/>
    <w:rsid w:val="00451FA3"/>
    <w:rsid w:val="004578A9"/>
    <w:rsid w:val="00480CCD"/>
    <w:rsid w:val="0049589B"/>
    <w:rsid w:val="004D6A49"/>
    <w:rsid w:val="004E4AA1"/>
    <w:rsid w:val="00537F77"/>
    <w:rsid w:val="005678A2"/>
    <w:rsid w:val="00573AEE"/>
    <w:rsid w:val="00591C00"/>
    <w:rsid w:val="005F000C"/>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46D17"/>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61602"/>
    <w:rsid w:val="00963322"/>
    <w:rsid w:val="0099341A"/>
    <w:rsid w:val="00995416"/>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7F7F"/>
    <w:rsid w:val="00C80AAE"/>
    <w:rsid w:val="00C94CC7"/>
    <w:rsid w:val="00CD2C0B"/>
    <w:rsid w:val="00CD3CD9"/>
    <w:rsid w:val="00CE1176"/>
    <w:rsid w:val="00D129BE"/>
    <w:rsid w:val="00D17FB7"/>
    <w:rsid w:val="00D43470"/>
    <w:rsid w:val="00D44643"/>
    <w:rsid w:val="00D61698"/>
    <w:rsid w:val="00D83EF7"/>
    <w:rsid w:val="00D84E68"/>
    <w:rsid w:val="00D93BC3"/>
    <w:rsid w:val="00D955BF"/>
    <w:rsid w:val="00D95970"/>
    <w:rsid w:val="00D978E2"/>
    <w:rsid w:val="00DB1B38"/>
    <w:rsid w:val="00DD18EF"/>
    <w:rsid w:val="00DE58B1"/>
    <w:rsid w:val="00DF105A"/>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13047"/>
    <w:rsid w:val="00F20B7C"/>
    <w:rsid w:val="00F32931"/>
    <w:rsid w:val="00F332C5"/>
    <w:rsid w:val="00F56FB3"/>
    <w:rsid w:val="00F624CB"/>
    <w:rsid w:val="00F664B7"/>
    <w:rsid w:val="00F8235D"/>
    <w:rsid w:val="00F83B3B"/>
    <w:rsid w:val="00F91403"/>
    <w:rsid w:val="00FB65AA"/>
    <w:rsid w:val="00FD2BC7"/>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12</cp:revision>
  <cp:lastPrinted>2023-12-01T05:35:00Z</cp:lastPrinted>
  <dcterms:created xsi:type="dcterms:W3CDTF">2024-09-10T05:56:00Z</dcterms:created>
  <dcterms:modified xsi:type="dcterms:W3CDTF">2025-01-17T00:45:00Z</dcterms:modified>
</cp:coreProperties>
</file>