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7F196">
      <w:pPr>
        <w:pStyle w:val="2"/>
        <w:numPr>
          <w:ilvl w:val="0"/>
          <w:numId w:val="2"/>
        </w:numPr>
        <w:tabs>
          <w:tab w:val="left" w:pos="360"/>
          <w:tab w:val="clear" w:pos="3810"/>
        </w:tabs>
        <w:adjustRightInd/>
        <w:spacing w:before="100" w:after="100" w:line="440" w:lineRule="exact"/>
        <w:ind w:left="0" w:firstLine="0"/>
        <w:jc w:val="left"/>
        <w:textAlignment w:val="auto"/>
        <w:rPr>
          <w:b/>
          <w:sz w:val="24"/>
          <w:szCs w:val="24"/>
        </w:rPr>
      </w:pPr>
      <w:bookmarkStart w:id="4" w:name="_GoBack"/>
      <w:bookmarkEnd w:id="4"/>
      <w:bookmarkStart w:id="0" w:name="PO_PURCHASE_REQUIREMENT_FILE28186_2"/>
      <w:bookmarkStart w:id="1" w:name="PO_PURCHASE_REQUIREMENT_FILE36649_2"/>
      <w:r>
        <w:rPr>
          <w:rFonts w:hint="eastAsia"/>
          <w:b/>
          <w:sz w:val="24"/>
          <w:szCs w:val="24"/>
        </w:rPr>
        <w:t>主要功能及工作原理：</w:t>
      </w:r>
    </w:p>
    <w:p w14:paraId="4EBC13E8">
      <w:pPr>
        <w:spacing w:line="360" w:lineRule="auto"/>
        <w:ind w:firstLine="480" w:firstLineChars="200"/>
        <w:rPr>
          <w:rFonts w:hint="eastAsia" w:ascii="宋体" w:hAnsi="宋体"/>
          <w:sz w:val="24"/>
        </w:rPr>
      </w:pPr>
      <w:r>
        <w:rPr>
          <w:rFonts w:hint="eastAsia" w:ascii="宋体" w:hAnsi="宋体"/>
          <w:sz w:val="24"/>
        </w:rPr>
        <w:t>用于患者麻醉监护</w:t>
      </w:r>
    </w:p>
    <w:p w14:paraId="20549468">
      <w:pPr>
        <w:pStyle w:val="2"/>
        <w:numPr>
          <w:ilvl w:val="0"/>
          <w:numId w:val="2"/>
        </w:numPr>
        <w:tabs>
          <w:tab w:val="left" w:pos="360"/>
          <w:tab w:val="clear" w:pos="3810"/>
        </w:tabs>
        <w:adjustRightInd/>
        <w:spacing w:before="100" w:after="100" w:line="440" w:lineRule="exact"/>
        <w:ind w:left="0" w:firstLine="0"/>
        <w:jc w:val="left"/>
        <w:textAlignment w:val="auto"/>
        <w:rPr>
          <w:b/>
          <w:sz w:val="24"/>
          <w:szCs w:val="24"/>
        </w:rPr>
      </w:pPr>
      <w:r>
        <w:rPr>
          <w:rFonts w:hint="eastAsia"/>
          <w:b/>
          <w:sz w:val="24"/>
          <w:szCs w:val="24"/>
        </w:rPr>
        <w:t>应用场景：</w:t>
      </w:r>
    </w:p>
    <w:p w14:paraId="67CE2D8D">
      <w:pPr>
        <w:spacing w:line="360" w:lineRule="auto"/>
        <w:ind w:firstLine="480" w:firstLineChars="200"/>
        <w:rPr>
          <w:rFonts w:hint="eastAsia" w:ascii="宋体" w:hAnsi="宋体" w:cs="等线"/>
          <w:sz w:val="24"/>
        </w:rPr>
      </w:pPr>
      <w:r>
        <w:rPr>
          <w:rFonts w:hint="eastAsia" w:ascii="宋体" w:hAnsi="宋体" w:cs="等线"/>
          <w:sz w:val="24"/>
        </w:rPr>
        <w:t>需要全麻的手术患者生命体征监护</w:t>
      </w:r>
    </w:p>
    <w:p w14:paraId="6BB656E8">
      <w:pPr>
        <w:pStyle w:val="2"/>
        <w:numPr>
          <w:ilvl w:val="0"/>
          <w:numId w:val="2"/>
        </w:numPr>
        <w:tabs>
          <w:tab w:val="left" w:pos="360"/>
          <w:tab w:val="clear" w:pos="3810"/>
        </w:tabs>
        <w:adjustRightInd/>
        <w:spacing w:before="100" w:after="100" w:line="360" w:lineRule="auto"/>
        <w:ind w:left="0" w:firstLine="0"/>
        <w:jc w:val="left"/>
        <w:textAlignment w:val="auto"/>
        <w:rPr>
          <w:b/>
          <w:sz w:val="24"/>
          <w:szCs w:val="24"/>
        </w:rPr>
      </w:pPr>
      <w:bookmarkStart w:id="2" w:name="_Toc70385203"/>
      <w:bookmarkStart w:id="3" w:name="_Toc72184668"/>
      <w:r>
        <w:rPr>
          <w:rFonts w:hint="eastAsia"/>
          <w:b/>
          <w:sz w:val="24"/>
          <w:szCs w:val="24"/>
        </w:rPr>
        <w:t>配置清单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3207"/>
        <w:gridCol w:w="1604"/>
      </w:tblGrid>
      <w:tr w14:paraId="71E1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shd w:val="clear" w:color="auto" w:fill="D9D9D9"/>
            <w:vAlign w:val="center"/>
          </w:tcPr>
          <w:p w14:paraId="4D30F692">
            <w:pPr>
              <w:jc w:val="center"/>
              <w:rPr>
                <w:sz w:val="24"/>
              </w:rPr>
            </w:pPr>
            <w:r>
              <w:rPr>
                <w:rFonts w:hint="eastAsia"/>
                <w:sz w:val="24"/>
              </w:rPr>
              <w:t>序号</w:t>
            </w:r>
          </w:p>
        </w:tc>
        <w:tc>
          <w:tcPr>
            <w:tcW w:w="3207" w:type="dxa"/>
            <w:shd w:val="clear" w:color="auto" w:fill="D9D9D9"/>
            <w:vAlign w:val="center"/>
          </w:tcPr>
          <w:p w14:paraId="6A701547">
            <w:pPr>
              <w:jc w:val="center"/>
              <w:rPr>
                <w:sz w:val="24"/>
              </w:rPr>
            </w:pPr>
            <w:r>
              <w:rPr>
                <w:rFonts w:hint="eastAsia"/>
                <w:sz w:val="24"/>
              </w:rPr>
              <w:t>名称</w:t>
            </w:r>
          </w:p>
        </w:tc>
        <w:tc>
          <w:tcPr>
            <w:tcW w:w="1604" w:type="dxa"/>
            <w:shd w:val="clear" w:color="auto" w:fill="D9D9D9"/>
            <w:vAlign w:val="center"/>
          </w:tcPr>
          <w:p w14:paraId="68ED479E">
            <w:pPr>
              <w:jc w:val="center"/>
              <w:rPr>
                <w:sz w:val="24"/>
              </w:rPr>
            </w:pPr>
            <w:r>
              <w:rPr>
                <w:rFonts w:hint="eastAsia"/>
                <w:sz w:val="24"/>
              </w:rPr>
              <w:t>数量</w:t>
            </w:r>
          </w:p>
        </w:tc>
      </w:tr>
      <w:tr w14:paraId="4A00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tcPr>
          <w:p w14:paraId="6CF17642">
            <w:pPr>
              <w:jc w:val="center"/>
              <w:rPr>
                <w:rFonts w:hint="eastAsia" w:ascii="宋体" w:hAnsi="宋体" w:cs="宋体"/>
                <w:sz w:val="24"/>
              </w:rPr>
            </w:pPr>
            <w:r>
              <w:rPr>
                <w:rFonts w:hint="eastAsia" w:ascii="宋体" w:hAnsi="宋体" w:cs="宋体"/>
                <w:sz w:val="24"/>
              </w:rPr>
              <w:t>1</w:t>
            </w:r>
          </w:p>
        </w:tc>
        <w:tc>
          <w:tcPr>
            <w:tcW w:w="3207" w:type="dxa"/>
            <w:shd w:val="clear" w:color="auto" w:fill="auto"/>
          </w:tcPr>
          <w:p w14:paraId="0652C3AE">
            <w:pPr>
              <w:jc w:val="center"/>
              <w:rPr>
                <w:rFonts w:hint="eastAsia" w:ascii="宋体" w:hAnsi="宋体" w:cs="宋体"/>
                <w:sz w:val="24"/>
              </w:rPr>
            </w:pPr>
            <w:r>
              <w:rPr>
                <w:rFonts w:hint="eastAsia" w:ascii="宋体" w:hAnsi="宋体" w:cs="宋体"/>
                <w:sz w:val="24"/>
              </w:rPr>
              <w:t>麻醉监护仪主机</w:t>
            </w:r>
          </w:p>
        </w:tc>
        <w:tc>
          <w:tcPr>
            <w:tcW w:w="1604" w:type="dxa"/>
            <w:shd w:val="clear" w:color="auto" w:fill="auto"/>
          </w:tcPr>
          <w:p w14:paraId="3029ADDF">
            <w:pPr>
              <w:jc w:val="center"/>
              <w:rPr>
                <w:rFonts w:hint="eastAsia" w:ascii="宋体" w:hAnsi="宋体" w:cs="宋体"/>
                <w:sz w:val="24"/>
              </w:rPr>
            </w:pPr>
            <w:r>
              <w:rPr>
                <w:rFonts w:hint="eastAsia" w:ascii="宋体" w:hAnsi="宋体" w:cs="宋体"/>
                <w:sz w:val="24"/>
              </w:rPr>
              <w:t>5台</w:t>
            </w:r>
          </w:p>
        </w:tc>
      </w:tr>
      <w:tr w14:paraId="7798B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tcPr>
          <w:p w14:paraId="01A5A473">
            <w:pPr>
              <w:jc w:val="center"/>
              <w:rPr>
                <w:rFonts w:hint="eastAsia" w:ascii="宋体" w:hAnsi="宋体" w:cs="宋体"/>
                <w:sz w:val="24"/>
              </w:rPr>
            </w:pPr>
            <w:r>
              <w:rPr>
                <w:rFonts w:hint="eastAsia" w:ascii="宋体" w:hAnsi="宋体" w:cs="宋体"/>
                <w:sz w:val="24"/>
              </w:rPr>
              <w:t>2</w:t>
            </w:r>
          </w:p>
        </w:tc>
        <w:tc>
          <w:tcPr>
            <w:tcW w:w="3207" w:type="dxa"/>
            <w:shd w:val="clear" w:color="auto" w:fill="auto"/>
          </w:tcPr>
          <w:p w14:paraId="4AA27BD6">
            <w:pPr>
              <w:jc w:val="center"/>
              <w:rPr>
                <w:rFonts w:hint="eastAsia" w:ascii="宋体" w:hAnsi="宋体" w:cs="宋体"/>
                <w:sz w:val="24"/>
              </w:rPr>
            </w:pPr>
            <w:r>
              <w:rPr>
                <w:rFonts w:hint="eastAsia" w:ascii="宋体" w:hAnsi="宋体" w:cs="宋体"/>
                <w:sz w:val="24"/>
              </w:rPr>
              <w:t>气体模块</w:t>
            </w:r>
          </w:p>
        </w:tc>
        <w:tc>
          <w:tcPr>
            <w:tcW w:w="1604" w:type="dxa"/>
            <w:shd w:val="clear" w:color="auto" w:fill="auto"/>
          </w:tcPr>
          <w:p w14:paraId="56759317">
            <w:pPr>
              <w:jc w:val="center"/>
              <w:rPr>
                <w:rFonts w:hint="eastAsia" w:ascii="宋体" w:hAnsi="宋体" w:cs="宋体"/>
                <w:sz w:val="24"/>
              </w:rPr>
            </w:pPr>
            <w:r>
              <w:rPr>
                <w:rFonts w:hint="eastAsia" w:ascii="宋体" w:hAnsi="宋体" w:cs="宋体"/>
                <w:sz w:val="24"/>
              </w:rPr>
              <w:t>5个</w:t>
            </w:r>
          </w:p>
        </w:tc>
      </w:tr>
      <w:tr w14:paraId="36C2E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tcPr>
          <w:p w14:paraId="37AC5C03">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3207" w:type="dxa"/>
            <w:shd w:val="clear" w:color="auto" w:fill="auto"/>
          </w:tcPr>
          <w:p w14:paraId="6A529DA7">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SPI疼痛指数监测</w:t>
            </w:r>
          </w:p>
        </w:tc>
        <w:tc>
          <w:tcPr>
            <w:tcW w:w="1604" w:type="dxa"/>
            <w:shd w:val="clear" w:color="auto" w:fill="auto"/>
          </w:tcPr>
          <w:p w14:paraId="7E770334">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5套</w:t>
            </w:r>
          </w:p>
        </w:tc>
      </w:tr>
      <w:tr w14:paraId="0C596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tcPr>
          <w:p w14:paraId="7AF87D62">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3207" w:type="dxa"/>
            <w:shd w:val="clear" w:color="auto" w:fill="auto"/>
          </w:tcPr>
          <w:p w14:paraId="29EF235F">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熵指数监测模块</w:t>
            </w:r>
          </w:p>
        </w:tc>
        <w:tc>
          <w:tcPr>
            <w:tcW w:w="1604" w:type="dxa"/>
            <w:shd w:val="clear" w:color="auto" w:fill="auto"/>
          </w:tcPr>
          <w:p w14:paraId="562CB646">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1套</w:t>
            </w:r>
          </w:p>
        </w:tc>
      </w:tr>
      <w:bookmarkEnd w:id="2"/>
      <w:bookmarkEnd w:id="3"/>
    </w:tbl>
    <w:p w14:paraId="6DECBE84">
      <w:pPr>
        <w:pStyle w:val="2"/>
        <w:numPr>
          <w:ilvl w:val="0"/>
          <w:numId w:val="2"/>
        </w:numPr>
        <w:tabs>
          <w:tab w:val="left" w:pos="360"/>
          <w:tab w:val="clear" w:pos="3810"/>
        </w:tabs>
        <w:adjustRightInd/>
        <w:spacing w:before="100" w:after="100" w:line="360" w:lineRule="auto"/>
        <w:ind w:left="0" w:firstLine="0"/>
        <w:jc w:val="left"/>
        <w:textAlignment w:val="auto"/>
        <w:rPr>
          <w:b/>
          <w:sz w:val="24"/>
          <w:szCs w:val="24"/>
        </w:rPr>
      </w:pPr>
      <w:r>
        <w:rPr>
          <w:rFonts w:hint="eastAsia"/>
          <w:b/>
          <w:sz w:val="24"/>
          <w:szCs w:val="24"/>
        </w:rPr>
        <w:t>重要及一般技术参数：</w:t>
      </w:r>
    </w:p>
    <w:bookmarkEnd w:id="0"/>
    <w:bookmarkEnd w:id="1"/>
    <w:tbl>
      <w:tblPr>
        <w:tblStyle w:val="5"/>
        <w:tblpPr w:leftFromText="180" w:rightFromText="180" w:vertAnchor="text" w:horzAnchor="page" w:tblpXSpec="center" w:tblpY="290"/>
        <w:tblOverlap w:val="never"/>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7768"/>
      </w:tblGrid>
      <w:tr w14:paraId="01998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auto"/>
            <w:vAlign w:val="center"/>
          </w:tcPr>
          <w:p w14:paraId="2E55B08F">
            <w:pPr>
              <w:spacing w:line="360" w:lineRule="auto"/>
              <w:jc w:val="center"/>
              <w:rPr>
                <w:rFonts w:hint="eastAsia" w:ascii="宋体" w:hAnsi="宋体" w:cs="宋体"/>
                <w:b/>
                <w:sz w:val="24"/>
              </w:rPr>
            </w:pPr>
            <w:r>
              <w:rPr>
                <w:rFonts w:hint="eastAsia" w:ascii="宋体" w:hAnsi="宋体" w:cs="宋体"/>
                <w:b/>
                <w:sz w:val="24"/>
              </w:rPr>
              <w:t>序号</w:t>
            </w:r>
          </w:p>
        </w:tc>
        <w:tc>
          <w:tcPr>
            <w:tcW w:w="7768" w:type="dxa"/>
            <w:shd w:val="clear" w:color="auto" w:fill="auto"/>
          </w:tcPr>
          <w:p w14:paraId="2863394A">
            <w:pPr>
              <w:spacing w:line="360" w:lineRule="auto"/>
              <w:jc w:val="center"/>
              <w:rPr>
                <w:rFonts w:hint="eastAsia" w:ascii="宋体" w:hAnsi="宋体" w:cs="宋体"/>
                <w:b/>
                <w:sz w:val="24"/>
              </w:rPr>
            </w:pPr>
            <w:r>
              <w:rPr>
                <w:rFonts w:hint="eastAsia" w:ascii="宋体" w:hAnsi="宋体" w:cs="宋体"/>
                <w:b/>
                <w:sz w:val="24"/>
              </w:rPr>
              <w:t>需求描述</w:t>
            </w:r>
          </w:p>
        </w:tc>
      </w:tr>
      <w:tr w14:paraId="5797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9" w:type="dxa"/>
            <w:shd w:val="clear" w:color="auto" w:fill="auto"/>
          </w:tcPr>
          <w:p w14:paraId="7B21C249">
            <w:pPr>
              <w:spacing w:line="360" w:lineRule="auto"/>
              <w:rPr>
                <w:rFonts w:hint="eastAsia" w:ascii="宋体" w:hAnsi="宋体" w:cs="宋体"/>
                <w:sz w:val="24"/>
              </w:rPr>
            </w:pPr>
            <w:r>
              <w:rPr>
                <w:rFonts w:hint="eastAsia" w:ascii="宋体" w:hAnsi="宋体" w:cs="宋体"/>
                <w:sz w:val="24"/>
              </w:rPr>
              <w:t>1</w:t>
            </w:r>
          </w:p>
        </w:tc>
        <w:tc>
          <w:tcPr>
            <w:tcW w:w="7768" w:type="dxa"/>
            <w:shd w:val="clear" w:color="auto" w:fill="auto"/>
          </w:tcPr>
          <w:p w14:paraId="5927669A">
            <w:pPr>
              <w:spacing w:line="360" w:lineRule="auto"/>
              <w:rPr>
                <w:rFonts w:hint="eastAsia" w:ascii="宋体" w:hAnsi="宋体" w:cs="宋体"/>
                <w:sz w:val="24"/>
              </w:rPr>
            </w:pPr>
            <w:r>
              <w:rPr>
                <w:rFonts w:hint="eastAsia" w:ascii="宋体" w:hAnsi="宋体" w:cs="宋体"/>
                <w:sz w:val="24"/>
              </w:rPr>
              <w:t>整体要求</w:t>
            </w:r>
          </w:p>
        </w:tc>
      </w:tr>
      <w:tr w14:paraId="606CD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auto"/>
          </w:tcPr>
          <w:p w14:paraId="7D32D939">
            <w:pPr>
              <w:spacing w:line="360" w:lineRule="auto"/>
              <w:rPr>
                <w:rFonts w:hint="eastAsia" w:ascii="宋体" w:hAnsi="宋体" w:cs="宋体"/>
                <w:sz w:val="24"/>
              </w:rPr>
            </w:pPr>
            <w:r>
              <w:rPr>
                <w:rFonts w:hint="eastAsia" w:ascii="宋体" w:hAnsi="宋体" w:cs="宋体"/>
                <w:sz w:val="24"/>
              </w:rPr>
              <w:t>★1.1</w:t>
            </w:r>
          </w:p>
        </w:tc>
        <w:tc>
          <w:tcPr>
            <w:tcW w:w="7768" w:type="dxa"/>
            <w:shd w:val="clear" w:color="auto" w:fill="auto"/>
          </w:tcPr>
          <w:p w14:paraId="22C4513A">
            <w:pPr>
              <w:spacing w:line="360" w:lineRule="auto"/>
              <w:rPr>
                <w:rFonts w:hint="eastAsia" w:ascii="宋体" w:hAnsi="宋体" w:cs="宋体"/>
                <w:sz w:val="24"/>
              </w:rPr>
            </w:pPr>
            <w:r>
              <w:rPr>
                <w:rFonts w:hint="eastAsia" w:ascii="宋体" w:hAnsi="宋体" w:cs="宋体"/>
                <w:bCs/>
                <w:color w:val="000000" w:themeColor="text1"/>
                <w:kern w:val="0"/>
                <w:sz w:val="24"/>
                <w14:textFill>
                  <w14:solidFill>
                    <w14:schemeClr w14:val="tx1"/>
                  </w14:solidFill>
                </w14:textFill>
              </w:rPr>
              <w:t>≧15.6英寸医用级电容彩色触摸宽屏（16:10），显示器分辨率 1366 x 768像素，具有屏幕快照功能，可最多存储400张长达15秒波形数据。支持ST数据快照（包括新生儿），999个事件，提供技术支持资料。</w:t>
            </w:r>
          </w:p>
        </w:tc>
      </w:tr>
      <w:tr w14:paraId="3F04C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auto"/>
          </w:tcPr>
          <w:p w14:paraId="4AC3AD1E">
            <w:pPr>
              <w:spacing w:line="360" w:lineRule="auto"/>
              <w:rPr>
                <w:rFonts w:hint="eastAsia" w:ascii="宋体" w:hAnsi="宋体" w:cs="宋体"/>
                <w:sz w:val="24"/>
              </w:rPr>
            </w:pPr>
            <w:r>
              <w:rPr>
                <w:rFonts w:hint="eastAsia" w:ascii="宋体" w:hAnsi="宋体" w:cs="宋体"/>
                <w:sz w:val="24"/>
              </w:rPr>
              <w:t>★1.2</w:t>
            </w:r>
          </w:p>
        </w:tc>
        <w:tc>
          <w:tcPr>
            <w:tcW w:w="7768" w:type="dxa"/>
            <w:shd w:val="clear" w:color="auto" w:fill="auto"/>
          </w:tcPr>
          <w:p w14:paraId="4FD5254C">
            <w:pPr>
              <w:spacing w:line="360" w:lineRule="auto"/>
              <w:rPr>
                <w:rFonts w:hint="eastAsia" w:ascii="宋体" w:hAnsi="宋体" w:cs="宋体"/>
                <w:sz w:val="24"/>
              </w:rPr>
            </w:pPr>
            <w:r>
              <w:rPr>
                <w:rFonts w:hint="eastAsia" w:ascii="宋体" w:hAnsi="宋体" w:cs="宋体"/>
                <w:sz w:val="24"/>
              </w:rPr>
              <w:t>标配基本参数：心电、心率、血氧饱和度、呼吸、脉率、双体温、双有创、疼痛应激水平监测（手术体积描计指数），熵指数监测</w:t>
            </w:r>
          </w:p>
        </w:tc>
      </w:tr>
      <w:tr w14:paraId="16394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auto"/>
          </w:tcPr>
          <w:p w14:paraId="354B796B">
            <w:pPr>
              <w:spacing w:line="360" w:lineRule="auto"/>
              <w:rPr>
                <w:rFonts w:hint="eastAsia" w:ascii="宋体" w:hAnsi="宋体" w:cs="宋体"/>
                <w:sz w:val="24"/>
              </w:rPr>
            </w:pPr>
            <w:r>
              <w:rPr>
                <w:rFonts w:hint="eastAsia" w:ascii="宋体" w:hAnsi="宋体" w:cs="宋体"/>
                <w:sz w:val="24"/>
              </w:rPr>
              <w:t>2</w:t>
            </w:r>
          </w:p>
        </w:tc>
        <w:tc>
          <w:tcPr>
            <w:tcW w:w="7768" w:type="dxa"/>
            <w:shd w:val="clear" w:color="auto" w:fill="auto"/>
          </w:tcPr>
          <w:p w14:paraId="2B7DDAA2">
            <w:pPr>
              <w:spacing w:line="360" w:lineRule="auto"/>
              <w:rPr>
                <w:rFonts w:hint="eastAsia" w:ascii="宋体" w:hAnsi="宋体" w:cs="宋体"/>
                <w:sz w:val="24"/>
              </w:rPr>
            </w:pPr>
            <w:r>
              <w:rPr>
                <w:rFonts w:hint="eastAsia" w:ascii="宋体" w:hAnsi="宋体" w:cs="宋体"/>
                <w:sz w:val="24"/>
              </w:rPr>
              <w:t>功能要求</w:t>
            </w:r>
          </w:p>
        </w:tc>
      </w:tr>
      <w:tr w14:paraId="281C7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auto"/>
          </w:tcPr>
          <w:p w14:paraId="2F686A82">
            <w:pPr>
              <w:spacing w:line="360" w:lineRule="auto"/>
              <w:rPr>
                <w:rFonts w:hint="eastAsia" w:ascii="宋体" w:hAnsi="宋体" w:cs="宋体"/>
                <w:sz w:val="24"/>
              </w:rPr>
            </w:pPr>
            <w:r>
              <w:rPr>
                <w:rFonts w:hint="eastAsia" w:ascii="宋体" w:hAnsi="宋体" w:cs="宋体"/>
                <w:sz w:val="24"/>
              </w:rPr>
              <w:t>★2.1</w:t>
            </w:r>
          </w:p>
        </w:tc>
        <w:tc>
          <w:tcPr>
            <w:tcW w:w="7768" w:type="dxa"/>
            <w:shd w:val="clear" w:color="auto" w:fill="auto"/>
          </w:tcPr>
          <w:p w14:paraId="53CADA10">
            <w:pPr>
              <w:spacing w:line="360" w:lineRule="auto"/>
              <w:rPr>
                <w:rFonts w:hint="eastAsia" w:ascii="宋体" w:hAnsi="宋体" w:cs="宋体"/>
                <w:sz w:val="24"/>
              </w:rPr>
            </w:pPr>
            <w:r>
              <w:rPr>
                <w:rFonts w:hint="eastAsia" w:ascii="宋体" w:hAnsi="宋体" w:cs="宋体"/>
                <w:sz w:val="24"/>
              </w:rPr>
              <w:t>可通过数据传输显示麻醉机相关参数，实时显示该患者手术期间的呼气末二氧化碳变化曲线及数值、吸入二氧化碳和呼吸频率数值；呼气末氧气、吸入氧气和吸入呼出氧气浓度差数值；压力时间曲线及平均气道压、外源性呼气末正压力、气道峰值数值；流速时间曲线及分钟通气量、呼出潮气量数值，使用麻醉药物及最低肺泡有效浓度； 提供照片。ST段测量和分析可用于成人、儿童及新生儿，可支持选配原厂注册新生儿附件（提供证明文件技术支持资料）</w:t>
            </w:r>
          </w:p>
        </w:tc>
      </w:tr>
      <w:tr w14:paraId="3137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auto"/>
          </w:tcPr>
          <w:p w14:paraId="668E81D9">
            <w:pPr>
              <w:spacing w:line="360" w:lineRule="auto"/>
              <w:rPr>
                <w:rFonts w:hint="eastAsia" w:ascii="宋体" w:hAnsi="宋体" w:cs="宋体"/>
                <w:sz w:val="24"/>
              </w:rPr>
            </w:pPr>
            <w:r>
              <w:rPr>
                <w:rFonts w:hint="eastAsia" w:ascii="宋体" w:hAnsi="宋体" w:cs="宋体"/>
                <w:sz w:val="24"/>
              </w:rPr>
              <w:t>★2.2</w:t>
            </w:r>
          </w:p>
        </w:tc>
        <w:tc>
          <w:tcPr>
            <w:tcW w:w="7768" w:type="dxa"/>
            <w:shd w:val="clear" w:color="auto" w:fill="auto"/>
          </w:tcPr>
          <w:p w14:paraId="04183F0C">
            <w:pPr>
              <w:spacing w:line="360" w:lineRule="auto"/>
              <w:rPr>
                <w:rFonts w:hint="eastAsia" w:ascii="宋体" w:hAnsi="宋体" w:cs="宋体"/>
                <w:sz w:val="24"/>
              </w:rPr>
            </w:pPr>
            <w:r>
              <w:rPr>
                <w:rFonts w:hint="eastAsia" w:ascii="宋体" w:hAnsi="宋体" w:cs="宋体"/>
                <w:sz w:val="24"/>
              </w:rPr>
              <w:t>可采用Masimo SET SpO2技术，抗运动干扰、防低灌注，可监测血红蛋白，无创血压测量技术：采用双管路双脉冲步进式放气振荡法</w:t>
            </w:r>
          </w:p>
        </w:tc>
      </w:tr>
      <w:tr w14:paraId="4DE51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auto"/>
          </w:tcPr>
          <w:p w14:paraId="349E0000">
            <w:pPr>
              <w:spacing w:line="360" w:lineRule="auto"/>
              <w:rPr>
                <w:rFonts w:hint="eastAsia" w:ascii="宋体" w:hAnsi="宋体" w:cs="宋体"/>
                <w:sz w:val="24"/>
              </w:rPr>
            </w:pPr>
            <w:r>
              <w:rPr>
                <w:rFonts w:hint="eastAsia" w:ascii="宋体" w:hAnsi="宋体" w:cs="宋体"/>
                <w:sz w:val="24"/>
              </w:rPr>
              <w:t>2.3</w:t>
            </w:r>
          </w:p>
        </w:tc>
        <w:tc>
          <w:tcPr>
            <w:tcW w:w="7768" w:type="dxa"/>
            <w:shd w:val="clear" w:color="auto" w:fill="auto"/>
          </w:tcPr>
          <w:p w14:paraId="2C72DF16">
            <w:pPr>
              <w:spacing w:line="360" w:lineRule="auto"/>
              <w:rPr>
                <w:rFonts w:hint="eastAsia" w:ascii="宋体" w:hAnsi="宋体" w:cs="宋体"/>
                <w:sz w:val="24"/>
              </w:rPr>
            </w:pPr>
            <w:r>
              <w:rPr>
                <w:rFonts w:hint="eastAsia" w:ascii="宋体" w:hAnsi="宋体" w:cs="宋体"/>
                <w:kern w:val="0"/>
                <w:sz w:val="24"/>
              </w:rPr>
              <w:t>麻醉气体监测，水-气分离技术，隔离水蒸气、细菌和灰尘，精准测量的同时并延长设备使用寿命。</w:t>
            </w:r>
          </w:p>
        </w:tc>
      </w:tr>
      <w:tr w14:paraId="3E188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auto"/>
          </w:tcPr>
          <w:p w14:paraId="687F4607">
            <w:pPr>
              <w:spacing w:line="360" w:lineRule="auto"/>
              <w:rPr>
                <w:rFonts w:hint="eastAsia" w:ascii="宋体" w:hAnsi="宋体" w:cs="宋体"/>
                <w:sz w:val="24"/>
              </w:rPr>
            </w:pPr>
            <w:r>
              <w:rPr>
                <w:rFonts w:hint="eastAsia" w:ascii="宋体" w:hAnsi="宋体" w:cs="宋体"/>
                <w:sz w:val="24"/>
              </w:rPr>
              <w:t>▲2.4</w:t>
            </w:r>
          </w:p>
        </w:tc>
        <w:tc>
          <w:tcPr>
            <w:tcW w:w="7768" w:type="dxa"/>
            <w:shd w:val="clear" w:color="auto" w:fill="auto"/>
          </w:tcPr>
          <w:p w14:paraId="75AE62FD">
            <w:pPr>
              <w:spacing w:line="360" w:lineRule="auto"/>
              <w:rPr>
                <w:rFonts w:hint="eastAsia" w:ascii="宋体" w:hAnsi="宋体" w:cs="宋体"/>
                <w:sz w:val="24"/>
              </w:rPr>
            </w:pPr>
            <w:r>
              <w:rPr>
                <w:rFonts w:hint="eastAsia" w:ascii="宋体" w:hAnsi="宋体" w:cs="宋体"/>
                <w:bCs/>
                <w:color w:val="000000" w:themeColor="text1"/>
                <w:kern w:val="0"/>
                <w:sz w:val="24"/>
                <w14:textFill>
                  <w14:solidFill>
                    <w14:schemeClr w14:val="tx1"/>
                  </w14:solidFill>
                </w14:textFill>
              </w:rPr>
              <w:t>在同一模块下，双有创压力与双体温可同时监测，监测同一个有创压力时，可同屏同时显示收缩压变异率和脉压变异率，需提供截图证明</w:t>
            </w:r>
          </w:p>
        </w:tc>
      </w:tr>
      <w:tr w14:paraId="3FA51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auto"/>
          </w:tcPr>
          <w:p w14:paraId="4EC1D093">
            <w:pPr>
              <w:spacing w:line="360" w:lineRule="auto"/>
              <w:rPr>
                <w:rFonts w:hint="eastAsia" w:ascii="宋体" w:hAnsi="宋体" w:cs="宋体"/>
                <w:sz w:val="24"/>
              </w:rPr>
            </w:pPr>
            <w:r>
              <w:rPr>
                <w:rFonts w:hint="eastAsia" w:ascii="宋体" w:hAnsi="宋体" w:cs="宋体"/>
                <w:sz w:val="24"/>
              </w:rPr>
              <w:t>▲2.5</w:t>
            </w:r>
          </w:p>
        </w:tc>
        <w:tc>
          <w:tcPr>
            <w:tcW w:w="7768" w:type="dxa"/>
            <w:shd w:val="clear" w:color="auto" w:fill="auto"/>
          </w:tcPr>
          <w:p w14:paraId="7C6B68EC">
            <w:pPr>
              <w:spacing w:line="360" w:lineRule="auto"/>
              <w:rPr>
                <w:rFonts w:hint="eastAsia" w:ascii="宋体" w:hAnsi="宋体" w:cs="宋体"/>
                <w:bCs/>
                <w:kern w:val="0"/>
                <w:sz w:val="24"/>
              </w:rPr>
            </w:pPr>
            <w:r>
              <w:rPr>
                <w:rFonts w:hint="eastAsia" w:ascii="宋体" w:hAnsi="宋体" w:cs="宋体"/>
                <w:bCs/>
                <w:kern w:val="0"/>
                <w:sz w:val="24"/>
              </w:rPr>
              <w:t>疼痛应激水平监测数值和波形可同时显示，且该疼痛应激水平监测数值可以被手麻系统采集</w:t>
            </w:r>
          </w:p>
        </w:tc>
      </w:tr>
      <w:tr w14:paraId="13E4B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auto"/>
          </w:tcPr>
          <w:p w14:paraId="3B8552C4">
            <w:pPr>
              <w:spacing w:line="360" w:lineRule="auto"/>
              <w:rPr>
                <w:rFonts w:hint="eastAsia" w:ascii="宋体" w:hAnsi="宋体" w:cs="宋体"/>
                <w:sz w:val="24"/>
              </w:rPr>
            </w:pPr>
            <w:r>
              <w:rPr>
                <w:rFonts w:hint="eastAsia" w:ascii="宋体" w:hAnsi="宋体" w:cs="宋体"/>
                <w:sz w:val="24"/>
              </w:rPr>
              <w:t>2.6</w:t>
            </w:r>
          </w:p>
        </w:tc>
        <w:tc>
          <w:tcPr>
            <w:tcW w:w="7768" w:type="dxa"/>
            <w:shd w:val="clear" w:color="auto" w:fill="auto"/>
          </w:tcPr>
          <w:p w14:paraId="04C4FB2E">
            <w:pPr>
              <w:spacing w:line="360" w:lineRule="auto"/>
              <w:rPr>
                <w:rFonts w:hint="eastAsia" w:ascii="宋体" w:hAnsi="宋体" w:cs="宋体"/>
                <w:bCs/>
                <w:kern w:val="0"/>
                <w:sz w:val="24"/>
              </w:rPr>
            </w:pPr>
            <w:r>
              <w:rPr>
                <w:rFonts w:hint="eastAsia"/>
                <w:sz w:val="24"/>
              </w:rPr>
              <w:t>屏幕显示波形通道数≥12，数字区≥4</w:t>
            </w:r>
          </w:p>
        </w:tc>
      </w:tr>
      <w:tr w14:paraId="004CE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auto"/>
          </w:tcPr>
          <w:p w14:paraId="4916A0FE">
            <w:pPr>
              <w:spacing w:line="360" w:lineRule="auto"/>
              <w:rPr>
                <w:rFonts w:hint="eastAsia" w:ascii="宋体" w:hAnsi="宋体" w:cs="宋体"/>
                <w:sz w:val="24"/>
              </w:rPr>
            </w:pPr>
            <w:r>
              <w:rPr>
                <w:rFonts w:hint="eastAsia" w:ascii="宋体" w:hAnsi="宋体" w:cs="宋体"/>
                <w:sz w:val="24"/>
              </w:rPr>
              <w:t>★2.7</w:t>
            </w:r>
          </w:p>
        </w:tc>
        <w:tc>
          <w:tcPr>
            <w:tcW w:w="7768" w:type="dxa"/>
            <w:shd w:val="clear" w:color="auto" w:fill="auto"/>
          </w:tcPr>
          <w:p w14:paraId="042AFD87">
            <w:pPr>
              <w:spacing w:line="360" w:lineRule="auto"/>
              <w:rPr>
                <w:rFonts w:hint="eastAsia" w:ascii="宋体" w:hAnsi="宋体" w:cs="宋体"/>
                <w:bCs/>
                <w:kern w:val="0"/>
                <w:sz w:val="24"/>
              </w:rPr>
            </w:pPr>
            <w:r>
              <w:rPr>
                <w:rFonts w:hint="eastAsia"/>
                <w:sz w:val="24"/>
              </w:rPr>
              <w:t>可自动识别、分析5种吸入性麻醉气体及O2、CO2、N2O共计8种气体的实时吸入/呼出浓度，并提供实时MAC值及具有年龄特异性MACage值</w:t>
            </w:r>
          </w:p>
        </w:tc>
      </w:tr>
      <w:tr w14:paraId="091BF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auto"/>
          </w:tcPr>
          <w:p w14:paraId="20846904">
            <w:pPr>
              <w:spacing w:line="360" w:lineRule="auto"/>
              <w:rPr>
                <w:rFonts w:hint="eastAsia" w:ascii="宋体" w:hAnsi="宋体" w:cs="宋体"/>
                <w:sz w:val="24"/>
              </w:rPr>
            </w:pPr>
            <w:r>
              <w:rPr>
                <w:rFonts w:hint="eastAsia" w:ascii="宋体" w:hAnsi="宋体" w:cs="宋体"/>
                <w:sz w:val="24"/>
              </w:rPr>
              <w:t>2.8</w:t>
            </w:r>
          </w:p>
        </w:tc>
        <w:tc>
          <w:tcPr>
            <w:tcW w:w="7768" w:type="dxa"/>
            <w:shd w:val="clear" w:color="auto" w:fill="auto"/>
          </w:tcPr>
          <w:p w14:paraId="12BD741B">
            <w:pPr>
              <w:spacing w:line="360" w:lineRule="auto"/>
              <w:rPr>
                <w:rFonts w:hint="eastAsia" w:ascii="宋体" w:hAnsi="宋体" w:cs="宋体"/>
                <w:bCs/>
                <w:kern w:val="0"/>
                <w:sz w:val="24"/>
              </w:rPr>
            </w:pPr>
            <w:r>
              <w:rPr>
                <w:rFonts w:hint="eastAsia"/>
                <w:sz w:val="24"/>
              </w:rPr>
              <w:t>支持报警灯360°可视，并可支持手势声音报警静音功能</w:t>
            </w:r>
          </w:p>
        </w:tc>
      </w:tr>
      <w:tr w14:paraId="6409A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auto"/>
          </w:tcPr>
          <w:p w14:paraId="10639CBE">
            <w:pPr>
              <w:spacing w:line="360" w:lineRule="auto"/>
              <w:rPr>
                <w:rFonts w:hint="eastAsia" w:ascii="宋体" w:hAnsi="宋体" w:cs="宋体"/>
                <w:sz w:val="24"/>
              </w:rPr>
            </w:pPr>
            <w:r>
              <w:rPr>
                <w:rFonts w:hint="eastAsia" w:ascii="宋体" w:hAnsi="宋体" w:cs="宋体"/>
                <w:sz w:val="24"/>
              </w:rPr>
              <w:t>▲2.9</w:t>
            </w:r>
          </w:p>
        </w:tc>
        <w:tc>
          <w:tcPr>
            <w:tcW w:w="7768" w:type="dxa"/>
            <w:shd w:val="clear" w:color="auto" w:fill="auto"/>
          </w:tcPr>
          <w:p w14:paraId="5880E623">
            <w:pPr>
              <w:spacing w:line="360" w:lineRule="auto"/>
              <w:rPr>
                <w:rFonts w:hint="eastAsia" w:ascii="宋体" w:hAnsi="宋体" w:cs="宋体"/>
                <w:bCs/>
                <w:kern w:val="0"/>
                <w:sz w:val="24"/>
              </w:rPr>
            </w:pPr>
            <w:r>
              <w:rPr>
                <w:rFonts w:hint="eastAsia"/>
                <w:sz w:val="24"/>
              </w:rPr>
              <w:t>具有OxyCRG新生儿氧心呼吸图界面，快速反映新生儿生命体征变化</w:t>
            </w:r>
          </w:p>
        </w:tc>
      </w:tr>
      <w:tr w14:paraId="3EF9A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auto"/>
          </w:tcPr>
          <w:p w14:paraId="60645179">
            <w:pPr>
              <w:spacing w:line="360" w:lineRule="auto"/>
              <w:rPr>
                <w:rFonts w:hint="eastAsia" w:ascii="宋体" w:hAnsi="宋体" w:cs="宋体"/>
                <w:sz w:val="24"/>
              </w:rPr>
            </w:pPr>
            <w:r>
              <w:rPr>
                <w:rFonts w:hint="eastAsia" w:ascii="宋体" w:hAnsi="宋体" w:cs="宋体"/>
                <w:sz w:val="24"/>
              </w:rPr>
              <w:t>2.10</w:t>
            </w:r>
          </w:p>
        </w:tc>
        <w:tc>
          <w:tcPr>
            <w:tcW w:w="7768" w:type="dxa"/>
            <w:shd w:val="clear" w:color="auto" w:fill="auto"/>
          </w:tcPr>
          <w:p w14:paraId="03967B02">
            <w:pPr>
              <w:spacing w:line="360" w:lineRule="auto"/>
              <w:rPr>
                <w:rFonts w:hint="eastAsia" w:ascii="宋体" w:hAnsi="宋体" w:cs="宋体"/>
                <w:bCs/>
                <w:kern w:val="0"/>
                <w:sz w:val="24"/>
              </w:rPr>
            </w:pPr>
            <w:r>
              <w:rPr>
                <w:rFonts w:hint="eastAsia"/>
                <w:sz w:val="24"/>
              </w:rPr>
              <w:t>双有创压力与双体温可同时监测</w:t>
            </w:r>
          </w:p>
        </w:tc>
      </w:tr>
      <w:tr w14:paraId="7C765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auto"/>
          </w:tcPr>
          <w:p w14:paraId="0B55F47B">
            <w:pPr>
              <w:spacing w:line="360" w:lineRule="auto"/>
              <w:rPr>
                <w:rFonts w:hint="eastAsia" w:ascii="宋体" w:hAnsi="宋体" w:cs="宋体"/>
                <w:sz w:val="24"/>
              </w:rPr>
            </w:pPr>
            <w:r>
              <w:rPr>
                <w:rFonts w:hint="eastAsia" w:ascii="宋体" w:hAnsi="宋体" w:cs="宋体"/>
                <w:sz w:val="24"/>
              </w:rPr>
              <w:t>2.11</w:t>
            </w:r>
          </w:p>
        </w:tc>
        <w:tc>
          <w:tcPr>
            <w:tcW w:w="7768" w:type="dxa"/>
            <w:shd w:val="clear" w:color="auto" w:fill="auto"/>
          </w:tcPr>
          <w:p w14:paraId="7B90C8DA">
            <w:pPr>
              <w:spacing w:line="360" w:lineRule="auto"/>
              <w:rPr>
                <w:rFonts w:hint="eastAsia" w:ascii="宋体" w:hAnsi="宋体" w:cs="宋体"/>
                <w:bCs/>
                <w:kern w:val="0"/>
                <w:sz w:val="24"/>
              </w:rPr>
            </w:pPr>
            <w:r>
              <w:rPr>
                <w:rFonts w:hint="eastAsia"/>
                <w:sz w:val="24"/>
              </w:rPr>
              <w:t>无创血压适用于成人，小儿和新生儿，具备手动、序列、连续等多种测量模式，支持静脉阻滞功能。主界面同屏可显示6条测量记录</w:t>
            </w:r>
          </w:p>
        </w:tc>
      </w:tr>
      <w:tr w14:paraId="3E0E9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auto"/>
          </w:tcPr>
          <w:p w14:paraId="644A4C47">
            <w:pPr>
              <w:spacing w:line="360" w:lineRule="auto"/>
              <w:rPr>
                <w:rFonts w:hint="eastAsia" w:ascii="宋体" w:hAnsi="宋体" w:cs="宋体"/>
                <w:sz w:val="24"/>
              </w:rPr>
            </w:pPr>
            <w:r>
              <w:rPr>
                <w:rFonts w:hint="eastAsia" w:ascii="宋体" w:hAnsi="宋体" w:cs="宋体"/>
                <w:sz w:val="24"/>
              </w:rPr>
              <w:t>2.12</w:t>
            </w:r>
          </w:p>
        </w:tc>
        <w:tc>
          <w:tcPr>
            <w:tcW w:w="7768" w:type="dxa"/>
            <w:shd w:val="clear" w:color="auto" w:fill="auto"/>
          </w:tcPr>
          <w:p w14:paraId="115D2985">
            <w:pPr>
              <w:spacing w:line="360" w:lineRule="auto"/>
              <w:rPr>
                <w:rFonts w:hint="eastAsia" w:ascii="宋体" w:hAnsi="宋体" w:cs="宋体"/>
                <w:bCs/>
                <w:kern w:val="0"/>
                <w:sz w:val="24"/>
              </w:rPr>
            </w:pPr>
            <w:r>
              <w:rPr>
                <w:rFonts w:hint="eastAsia"/>
                <w:sz w:val="24"/>
              </w:rPr>
              <w:t>支持3/5/12导心电监测，支持房颤心律失常分析功能。标配抗干扰心电缆线。</w:t>
            </w:r>
          </w:p>
        </w:tc>
      </w:tr>
      <w:tr w14:paraId="7518C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auto"/>
          </w:tcPr>
          <w:p w14:paraId="5007F7E4">
            <w:pPr>
              <w:spacing w:line="360" w:lineRule="auto"/>
              <w:rPr>
                <w:rFonts w:hint="eastAsia" w:ascii="宋体" w:hAnsi="宋体" w:cs="宋体"/>
                <w:sz w:val="24"/>
              </w:rPr>
            </w:pPr>
            <w:r>
              <w:rPr>
                <w:rFonts w:hint="eastAsia" w:ascii="宋体" w:hAnsi="宋体" w:cs="宋体"/>
                <w:sz w:val="24"/>
              </w:rPr>
              <w:t>2.13</w:t>
            </w:r>
          </w:p>
        </w:tc>
        <w:tc>
          <w:tcPr>
            <w:tcW w:w="7768" w:type="dxa"/>
            <w:shd w:val="clear" w:color="auto" w:fill="auto"/>
          </w:tcPr>
          <w:p w14:paraId="5CBDB6C0">
            <w:pPr>
              <w:spacing w:line="360" w:lineRule="auto"/>
              <w:rPr>
                <w:rFonts w:hint="eastAsia" w:ascii="宋体" w:hAnsi="宋体" w:cs="宋体"/>
                <w:bCs/>
                <w:kern w:val="0"/>
                <w:sz w:val="24"/>
              </w:rPr>
            </w:pPr>
            <w:r>
              <w:rPr>
                <w:rFonts w:hint="eastAsia"/>
                <w:sz w:val="24"/>
              </w:rPr>
              <w:t>氧气测量技术：标配采用顺磁氧技术，无需氧电池支持</w:t>
            </w:r>
          </w:p>
        </w:tc>
      </w:tr>
    </w:tbl>
    <w:p w14:paraId="522B1025">
      <w:pPr>
        <w:rPr>
          <w:rFonts w:hint="eastAsia" w:ascii="宋体" w:hAnsi="宋体"/>
          <w:b/>
          <w:bCs/>
          <w:color w:val="FF0000"/>
          <w:sz w:val="24"/>
        </w:rPr>
      </w:pPr>
    </w:p>
    <w:p w14:paraId="591749F6">
      <w:pPr>
        <w:spacing w:line="360" w:lineRule="auto"/>
        <w:jc w:val="left"/>
        <w:rPr>
          <w:rFonts w:hint="eastAsia" w:ascii="宋体" w:hAnsi="宋体"/>
          <w:bCs/>
          <w:kern w:val="44"/>
          <w:sz w:val="24"/>
        </w:rPr>
      </w:pPr>
      <w:r>
        <w:rPr>
          <w:rFonts w:hint="eastAsia" w:ascii="宋体" w:hAnsi="宋体" w:cs="宋体"/>
          <w:b/>
          <w:kern w:val="0"/>
          <w:sz w:val="24"/>
        </w:rPr>
        <w:t>五、项目售后服务要求</w:t>
      </w:r>
    </w:p>
    <w:p w14:paraId="6D7D3922">
      <w:pPr>
        <w:spacing w:line="360" w:lineRule="auto"/>
        <w:jc w:val="left"/>
        <w:rPr>
          <w:rFonts w:hint="eastAsia" w:ascii="宋体" w:hAnsi="宋体" w:cs="宋体"/>
          <w:color w:val="000000"/>
          <w:kern w:val="0"/>
          <w:sz w:val="24"/>
          <w:lang w:bidi="ar"/>
        </w:rPr>
      </w:pPr>
      <w:r>
        <w:rPr>
          <w:rFonts w:hint="eastAsia" w:ascii="宋体" w:hAnsi="宋体" w:cs="宋体"/>
          <w:color w:val="000000"/>
          <w:kern w:val="0"/>
          <w:sz w:val="24"/>
          <w:lang w:bidi="ar"/>
        </w:rPr>
        <w:t>1.供货价为最终用户价，所有运费、保险均由投标方承担；</w:t>
      </w:r>
    </w:p>
    <w:p w14:paraId="7805B43A">
      <w:pPr>
        <w:spacing w:line="360" w:lineRule="auto"/>
        <w:jc w:val="left"/>
        <w:rPr>
          <w:rFonts w:hint="eastAsia" w:ascii="宋体" w:hAnsi="宋体" w:cs="宋体"/>
          <w:color w:val="000000"/>
          <w:kern w:val="0"/>
          <w:sz w:val="24"/>
          <w:lang w:bidi="ar"/>
        </w:rPr>
      </w:pPr>
      <w:r>
        <w:rPr>
          <w:rFonts w:hint="eastAsia" w:ascii="宋体" w:hAnsi="宋体" w:cs="宋体"/>
          <w:color w:val="000000"/>
          <w:kern w:val="0"/>
          <w:sz w:val="24"/>
          <w:lang w:bidi="ar"/>
        </w:rPr>
        <w:t>2.设备是全新的、未使用过的，并完全符合规定的质量、规格和性能的要求。</w:t>
      </w:r>
    </w:p>
    <w:p w14:paraId="0DDFFE0C">
      <w:pPr>
        <w:spacing w:line="360" w:lineRule="auto"/>
        <w:jc w:val="left"/>
        <w:rPr>
          <w:rFonts w:hint="eastAsia" w:ascii="宋体" w:hAnsi="宋体" w:cs="宋体"/>
          <w:color w:val="000000"/>
          <w:kern w:val="0"/>
          <w:sz w:val="24"/>
          <w:lang w:bidi="ar"/>
        </w:rPr>
      </w:pPr>
      <w:r>
        <w:rPr>
          <w:rFonts w:hint="eastAsia" w:ascii="宋体" w:hAnsi="宋体" w:cs="宋体"/>
          <w:color w:val="000000"/>
          <w:kern w:val="0"/>
          <w:sz w:val="24"/>
          <w:lang w:bidi="ar"/>
        </w:rPr>
        <w:t>3.所有设备均由投标方负责安装调试，货物送至2个工作日内安装。安装调试过程中一切费用均由投标方承担。安装完成后，对设备主要性能进行检测，并提供检测报告。若仪器安装后发现主要参数与标书或仪器说明书严重不符影响工作，应无条件退货，投标方承担全部损失；</w:t>
      </w:r>
    </w:p>
    <w:p w14:paraId="6521D844">
      <w:pPr>
        <w:spacing w:line="360" w:lineRule="auto"/>
        <w:jc w:val="left"/>
        <w:rPr>
          <w:rFonts w:hint="eastAsia" w:ascii="宋体" w:hAnsi="宋体" w:cs="宋体"/>
          <w:color w:val="000000"/>
          <w:kern w:val="0"/>
          <w:sz w:val="24"/>
          <w:lang w:bidi="ar"/>
        </w:rPr>
      </w:pPr>
      <w:r>
        <w:rPr>
          <w:rFonts w:hint="eastAsia" w:ascii="宋体" w:hAnsi="宋体" w:cs="宋体"/>
          <w:color w:val="000000"/>
          <w:kern w:val="0"/>
          <w:sz w:val="24"/>
          <w:lang w:bidi="ar"/>
        </w:rPr>
        <w:t>4.验收方案：设备安装、调试、培训后，经过一定时期的试运行，设备的各项性能指标均能达到招标要求的，视为验收通过，双方签署验收文件。</w:t>
      </w:r>
    </w:p>
    <w:p w14:paraId="5E729499">
      <w:pPr>
        <w:spacing w:line="360" w:lineRule="auto"/>
        <w:jc w:val="left"/>
        <w:rPr>
          <w:rFonts w:hint="eastAsia" w:ascii="宋体" w:hAnsi="宋体" w:cs="宋体"/>
          <w:color w:val="000000"/>
          <w:kern w:val="0"/>
          <w:sz w:val="24"/>
          <w:lang w:bidi="ar"/>
        </w:rPr>
      </w:pPr>
      <w:r>
        <w:rPr>
          <w:rFonts w:hint="eastAsia" w:ascii="宋体" w:hAnsi="宋体" w:cs="宋体"/>
          <w:color w:val="000000"/>
          <w:kern w:val="0"/>
          <w:sz w:val="24"/>
          <w:lang w:bidi="ar"/>
        </w:rPr>
        <w:t>5.保证对所售设备提供专业的7*24小时原厂技术服务和技术支持，2小时内予以答复，24小时内排除故障或提供应急措施，如在3天内无法修复，提供与该设备相同的备用机。</w:t>
      </w:r>
    </w:p>
    <w:p w14:paraId="6CBBA0FF">
      <w:pPr>
        <w:spacing w:line="360" w:lineRule="auto"/>
        <w:jc w:val="left"/>
        <w:rPr>
          <w:rFonts w:hint="eastAsia" w:ascii="宋体" w:hAnsi="宋体" w:cs="宋体"/>
          <w:color w:val="000000"/>
          <w:kern w:val="0"/>
          <w:sz w:val="24"/>
          <w:lang w:bidi="ar"/>
        </w:rPr>
      </w:pPr>
      <w:r>
        <w:rPr>
          <w:rFonts w:hint="eastAsia" w:ascii="宋体" w:hAnsi="宋体" w:cs="宋体"/>
          <w:color w:val="000000"/>
          <w:kern w:val="0"/>
          <w:sz w:val="24"/>
          <w:lang w:bidi="ar"/>
        </w:rPr>
        <w:t>6.供应商派原厂专业技术人员在项目现场对临床医生及技术人员提供正规的整套设备操作、维护、维修、检测等内容的培训，使招标方全面了解直至完全掌握设备的使用，在使用一段时间后可根据使用人员的要求另行安排培训计划；</w:t>
      </w:r>
    </w:p>
    <w:p w14:paraId="751C5AA8">
      <w:pPr>
        <w:spacing w:line="360" w:lineRule="auto"/>
        <w:jc w:val="left"/>
        <w:rPr>
          <w:rFonts w:hint="eastAsia" w:ascii="宋体" w:hAnsi="宋体" w:cs="宋体"/>
          <w:color w:val="000000"/>
          <w:kern w:val="0"/>
          <w:sz w:val="24"/>
          <w:lang w:bidi="ar"/>
        </w:rPr>
      </w:pPr>
      <w:r>
        <w:rPr>
          <w:rFonts w:hint="eastAsia" w:ascii="宋体" w:hAnsi="宋体"/>
          <w:bCs/>
          <w:sz w:val="24"/>
        </w:rPr>
        <w:t>★</w:t>
      </w:r>
      <w:r>
        <w:rPr>
          <w:rFonts w:hint="eastAsia" w:ascii="宋体" w:hAnsi="宋体" w:cs="宋体"/>
          <w:color w:val="000000"/>
          <w:kern w:val="0"/>
          <w:sz w:val="24"/>
          <w:lang w:bidi="ar"/>
        </w:rPr>
        <w:t>7.设备保修期≥验收合格后，所有投标设备及其附属易耗件（包括第三方外购设备及易耗件）原厂整机5年，在投标文件中提供原厂售后服务承诺函；</w:t>
      </w:r>
    </w:p>
    <w:p w14:paraId="5BCEE155">
      <w:pPr>
        <w:spacing w:line="360" w:lineRule="auto"/>
        <w:jc w:val="left"/>
        <w:rPr>
          <w:rFonts w:hint="eastAsia" w:ascii="宋体" w:hAnsi="宋体" w:cs="宋体"/>
          <w:color w:val="000000"/>
          <w:kern w:val="0"/>
          <w:sz w:val="24"/>
          <w:lang w:bidi="ar"/>
        </w:rPr>
      </w:pPr>
      <w:r>
        <w:rPr>
          <w:rFonts w:hint="eastAsia" w:ascii="宋体" w:hAnsi="宋体" w:cs="宋体"/>
          <w:color w:val="000000"/>
          <w:kern w:val="0"/>
          <w:sz w:val="24"/>
        </w:rPr>
        <w:t>8.凡保修期内出现的质量问题，投标方免费给予修理或调换，不再额外收取零配件费及人工费。如设备无法修复影响正常工作，投标方应负责将新的设备运至现场，并承担其风险和费用。如投标方在此期间未能履行此条约，致使招标人遭受损失，则由投标方承担直接和间接损失；如超出质保期后，年保修价格不超过中标金额的5%；</w:t>
      </w:r>
    </w:p>
    <w:p w14:paraId="2AA74EED">
      <w:pPr>
        <w:spacing w:line="360" w:lineRule="auto"/>
        <w:jc w:val="left"/>
        <w:rPr>
          <w:rFonts w:hint="eastAsia" w:ascii="宋体" w:hAnsi="宋体" w:cs="宋体"/>
          <w:color w:val="000000"/>
          <w:kern w:val="0"/>
          <w:sz w:val="24"/>
          <w:lang w:bidi="ar"/>
        </w:rPr>
      </w:pPr>
      <w:r>
        <w:rPr>
          <w:rFonts w:hint="eastAsia" w:ascii="宋体" w:hAnsi="宋体" w:cs="宋体"/>
          <w:color w:val="000000"/>
          <w:kern w:val="0"/>
          <w:sz w:val="24"/>
          <w:lang w:bidi="ar"/>
        </w:rPr>
        <w:t>9.提供终身软件升级、安装调试服务；</w:t>
      </w:r>
    </w:p>
    <w:p w14:paraId="6F8B93CA">
      <w:pPr>
        <w:spacing w:line="360" w:lineRule="auto"/>
        <w:jc w:val="left"/>
        <w:rPr>
          <w:rFonts w:hint="eastAsia" w:ascii="宋体" w:hAnsi="宋体" w:cs="宋体"/>
          <w:color w:val="000000"/>
          <w:kern w:val="0"/>
          <w:sz w:val="24"/>
          <w:lang w:bidi="ar"/>
        </w:rPr>
      </w:pPr>
      <w:r>
        <w:rPr>
          <w:rFonts w:hint="eastAsia" w:ascii="宋体" w:hAnsi="宋体" w:cs="宋体"/>
          <w:color w:val="000000"/>
          <w:kern w:val="0"/>
          <w:sz w:val="24"/>
          <w:lang w:bidi="ar"/>
        </w:rPr>
        <w:t>10.提供原厂技术援助：如提供操作手册，每年技术回访；</w:t>
      </w:r>
    </w:p>
    <w:p w14:paraId="58B1A757">
      <w:pPr>
        <w:spacing w:line="360" w:lineRule="auto"/>
        <w:jc w:val="left"/>
        <w:rPr>
          <w:rFonts w:hint="eastAsia" w:ascii="宋体" w:hAnsi="宋体" w:cs="宋体"/>
          <w:color w:val="000000"/>
          <w:kern w:val="0"/>
          <w:sz w:val="24"/>
          <w:lang w:bidi="ar"/>
        </w:rPr>
      </w:pPr>
      <w:r>
        <w:rPr>
          <w:rFonts w:hint="eastAsia" w:ascii="宋体" w:hAnsi="宋体" w:cs="宋体"/>
          <w:color w:val="000000"/>
          <w:kern w:val="0"/>
          <w:sz w:val="24"/>
          <w:lang w:bidi="ar"/>
        </w:rPr>
        <w:t>11.投标文件中分别提供随机易损件和易耗件清单（计入投标总价），和质保期结束后的备品备件、易损件和易耗件清单一览表（不计入投标总价）。</w:t>
      </w:r>
    </w:p>
    <w:p w14:paraId="326D914B">
      <w:pPr>
        <w:spacing w:line="360" w:lineRule="auto"/>
        <w:jc w:val="left"/>
        <w:rPr>
          <w:rFonts w:hint="eastAsia" w:ascii="宋体" w:hAnsi="宋体" w:cs="宋体"/>
          <w:color w:val="000000"/>
          <w:kern w:val="0"/>
          <w:sz w:val="24"/>
          <w:lang w:bidi="ar"/>
        </w:rPr>
      </w:pPr>
      <w:r>
        <w:rPr>
          <w:rFonts w:hint="eastAsia" w:ascii="宋体" w:hAnsi="宋体" w:cs="宋体"/>
          <w:color w:val="000000"/>
          <w:kern w:val="0"/>
          <w:sz w:val="24"/>
          <w:lang w:bidi="ar"/>
        </w:rPr>
        <w:t>12.备品备件供货价格：在投标文件中提供具体优惠折扣，并不得高于市场价。</w:t>
      </w:r>
    </w:p>
    <w:p w14:paraId="048080B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42"/>
    <w:multiLevelType w:val="multilevel"/>
    <w:tmpl w:val="00000042"/>
    <w:lvl w:ilvl="0" w:tentative="0">
      <w:start w:val="1"/>
      <w:numFmt w:val="chineseCountingThousand"/>
      <w:pStyle w:val="2"/>
      <w:lvlText w:val="%1、"/>
      <w:lvlJc w:val="left"/>
      <w:pPr>
        <w:tabs>
          <w:tab w:val="left" w:pos="3810"/>
        </w:tabs>
        <w:ind w:left="2730" w:firstLine="0"/>
      </w:pPr>
      <w:rPr>
        <w:rFonts w:hint="eastAsia"/>
        <w:b/>
        <w:i w:val="0"/>
        <w:sz w:val="32"/>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60C70DA6"/>
    <w:multiLevelType w:val="multilevel"/>
    <w:tmpl w:val="60C70DA6"/>
    <w:lvl w:ilvl="0" w:tentative="0">
      <w:start w:val="1"/>
      <w:numFmt w:val="chineseCountingThousand"/>
      <w:suff w:val="nothing"/>
      <w:lvlText w:val="%1、"/>
      <w:lvlJc w:val="left"/>
      <w:pPr>
        <w:ind w:left="420" w:hanging="420"/>
      </w:pPr>
      <w:rPr>
        <w:rFonts w:hint="eastAsia"/>
        <w:b/>
        <w:bCs/>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105"/>
    <w:rsid w:val="00120440"/>
    <w:rsid w:val="00167E05"/>
    <w:rsid w:val="001E1341"/>
    <w:rsid w:val="002B1074"/>
    <w:rsid w:val="00554332"/>
    <w:rsid w:val="005622DE"/>
    <w:rsid w:val="005C4C9E"/>
    <w:rsid w:val="00624F2E"/>
    <w:rsid w:val="00723C6D"/>
    <w:rsid w:val="00731306"/>
    <w:rsid w:val="00825817"/>
    <w:rsid w:val="008D614A"/>
    <w:rsid w:val="00925366"/>
    <w:rsid w:val="00AA497F"/>
    <w:rsid w:val="00B050A1"/>
    <w:rsid w:val="00B74944"/>
    <w:rsid w:val="00D66105"/>
    <w:rsid w:val="00EE020B"/>
    <w:rsid w:val="619D2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
    <w:pPr>
      <w:keepNext/>
      <w:keepLines/>
      <w:numPr>
        <w:ilvl w:val="0"/>
        <w:numId w:val="1"/>
      </w:numPr>
      <w:adjustRightInd w:val="0"/>
      <w:spacing w:before="240" w:after="120" w:line="400" w:lineRule="atLeast"/>
      <w:textAlignment w:val="baseline"/>
      <w:outlineLvl w:val="0"/>
    </w:pPr>
    <w:rPr>
      <w:rFonts w:ascii="宋体"/>
      <w:spacing w:val="20"/>
      <w:kern w:val="44"/>
      <w:sz w:val="30"/>
      <w:szCs w:val="20"/>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annotation reference"/>
    <w:qFormat/>
    <w:uiPriority w:val="0"/>
    <w:rPr>
      <w:sz w:val="21"/>
      <w:szCs w:val="21"/>
    </w:rPr>
  </w:style>
  <w:style w:type="character" w:customStyle="1" w:styleId="8">
    <w:name w:val="页眉 字符"/>
    <w:basedOn w:val="6"/>
    <w:link w:val="4"/>
    <w:uiPriority w:val="99"/>
    <w:rPr>
      <w:sz w:val="18"/>
      <w:szCs w:val="18"/>
    </w:rPr>
  </w:style>
  <w:style w:type="character" w:customStyle="1" w:styleId="9">
    <w:name w:val="页脚 字符"/>
    <w:basedOn w:val="6"/>
    <w:link w:val="3"/>
    <w:uiPriority w:val="99"/>
    <w:rPr>
      <w:sz w:val="18"/>
      <w:szCs w:val="18"/>
    </w:rPr>
  </w:style>
  <w:style w:type="character" w:customStyle="1" w:styleId="10">
    <w:name w:val="标题 1 字符"/>
    <w:basedOn w:val="6"/>
    <w:link w:val="2"/>
    <w:qFormat/>
    <w:uiPriority w:val="9"/>
    <w:rPr>
      <w:rFonts w:ascii="宋体" w:hAnsi="Times New Roman" w:eastAsia="宋体" w:cs="Times New Roman"/>
      <w:spacing w:val="20"/>
      <w:kern w:val="44"/>
      <w:sz w:val="3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1715</Words>
  <Characters>1825</Characters>
  <Lines>13</Lines>
  <Paragraphs>3</Paragraphs>
  <TotalTime>3</TotalTime>
  <ScaleCrop>false</ScaleCrop>
  <LinksUpToDate>false</LinksUpToDate>
  <CharactersWithSpaces>1831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2025-02-27T03:20:00Z</dcterms:created>
  <dc:creator>Yiming LI</dc:creator>
  <cp:lastModifiedBy>杨俐君</cp:lastModifiedBy>
  <dcterms:modified xsi:type="dcterms:W3CDTF">2025-02-27T07:51:20Z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C0FCBD39D7424F85B3DF908454425AC4_13</vt:lpwstr>
  </property>
</Properties>
</file>