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2955" w14:textId="77777777" w:rsidR="00DC0A6A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57BA5FB2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上海交通大学医学院附属新华医院骨科牵引</w:t>
      </w:r>
      <w:proofErr w:type="gramStart"/>
      <w:r w:rsidRPr="00321C5D">
        <w:rPr>
          <w:rFonts w:ascii="宋体" w:eastAsia="宋体" w:hAnsi="宋体" w:cs="宋体" w:hint="eastAsia"/>
          <w:sz w:val="24"/>
          <w:szCs w:val="24"/>
        </w:rPr>
        <w:t>床国内</w:t>
      </w:r>
      <w:proofErr w:type="gramEnd"/>
      <w:r w:rsidRPr="00321C5D">
        <w:rPr>
          <w:rFonts w:ascii="宋体" w:eastAsia="宋体" w:hAnsi="宋体" w:cs="宋体" w:hint="eastAsia"/>
          <w:sz w:val="24"/>
          <w:szCs w:val="24"/>
        </w:rPr>
        <w:t>公开招标采购项目</w:t>
      </w:r>
    </w:p>
    <w:p w14:paraId="23F603E3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2FFFD53C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321C5D" w:rsidRPr="00321C5D" w14:paraId="57D5E372" w14:textId="77777777">
        <w:trPr>
          <w:trHeight w:val="360"/>
        </w:trPr>
        <w:tc>
          <w:tcPr>
            <w:tcW w:w="1067" w:type="pct"/>
            <w:shd w:val="clear" w:color="000000" w:fill="auto"/>
            <w:noWrap/>
            <w:vAlign w:val="center"/>
          </w:tcPr>
          <w:p w14:paraId="04A43A5D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auto"/>
            <w:noWrap/>
            <w:vAlign w:val="center"/>
          </w:tcPr>
          <w:p w14:paraId="2B5FB3EA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auto"/>
            <w:noWrap/>
            <w:vAlign w:val="center"/>
          </w:tcPr>
          <w:p w14:paraId="1185DF58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321C5D" w:rsidRPr="00321C5D" w14:paraId="13CBA903" w14:textId="77777777">
        <w:trPr>
          <w:trHeight w:val="395"/>
        </w:trPr>
        <w:tc>
          <w:tcPr>
            <w:tcW w:w="1067" w:type="pct"/>
            <w:shd w:val="clear" w:color="000000" w:fill="auto"/>
            <w:noWrap/>
            <w:vAlign w:val="center"/>
          </w:tcPr>
          <w:p w14:paraId="43837A42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auto"/>
            <w:noWrap/>
            <w:vAlign w:val="center"/>
          </w:tcPr>
          <w:p w14:paraId="25F61AC2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骨科牵引床</w:t>
            </w:r>
          </w:p>
        </w:tc>
        <w:tc>
          <w:tcPr>
            <w:tcW w:w="1289" w:type="pct"/>
            <w:shd w:val="clear" w:color="000000" w:fill="auto"/>
            <w:noWrap/>
            <w:vAlign w:val="center"/>
          </w:tcPr>
          <w:p w14:paraId="6D6D43B7" w14:textId="77777777" w:rsidR="00DC0A6A" w:rsidRPr="00321C5D" w:rsidRDefault="00321C5D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071F905D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60F20312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人民币</w:t>
      </w:r>
      <w:r w:rsidRPr="00321C5D">
        <w:rPr>
          <w:rFonts w:ascii="宋体" w:eastAsia="宋体" w:hAnsi="宋体" w:cs="宋体" w:hint="eastAsia"/>
          <w:sz w:val="24"/>
          <w:szCs w:val="24"/>
        </w:rPr>
        <w:t>48.00</w:t>
      </w:r>
      <w:r w:rsidRPr="00321C5D">
        <w:rPr>
          <w:rFonts w:ascii="宋体" w:eastAsia="宋体" w:hAnsi="宋体" w:cs="宋体" w:hint="eastAsia"/>
          <w:sz w:val="24"/>
          <w:szCs w:val="24"/>
        </w:rPr>
        <w:t>万元</w:t>
      </w:r>
    </w:p>
    <w:p w14:paraId="3F6CA7B9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466B4A69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1D126EB2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672D604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3</w:t>
      </w:r>
      <w:r w:rsidRPr="00321C5D"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52D2834A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71039A60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5</w:t>
      </w:r>
      <w:r w:rsidRPr="00321C5D"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324655AE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6</w:t>
      </w:r>
      <w:r w:rsidRPr="00321C5D"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4F51B0FA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7</w:t>
      </w:r>
      <w:r w:rsidRPr="00321C5D"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 w:rsidRPr="00321C5D">
        <w:rPr>
          <w:rFonts w:ascii="宋体" w:eastAsia="宋体" w:hAnsi="宋体" w:cs="宋体" w:hint="eastAsia"/>
          <w:sz w:val="24"/>
          <w:szCs w:val="24"/>
        </w:rPr>
        <w:t>www.creditchina.gov.cn</w:t>
      </w:r>
      <w:r w:rsidRPr="00321C5D"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0BFF4C94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sz w:val="24"/>
          <w:szCs w:val="24"/>
        </w:rPr>
        <w:t>8</w:t>
      </w:r>
      <w:r w:rsidRPr="00321C5D"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5C297081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3CCDDB2E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405E5724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21C5D">
        <w:rPr>
          <w:rFonts w:ascii="宋体" w:eastAsia="宋体" w:hAnsi="宋体" w:cs="宋体" w:hint="eastAsia"/>
          <w:kern w:val="0"/>
          <w:sz w:val="24"/>
          <w:szCs w:val="24"/>
        </w:rPr>
        <w:t>用于骨科手术后患者的四肢牵引，帮助患者恢复。</w:t>
      </w:r>
    </w:p>
    <w:p w14:paraId="7E41DB56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至少包含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骨科病房</w:t>
      </w:r>
    </w:p>
    <w:p w14:paraId="3F887B96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p w14:paraId="59DB2A74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lastRenderedPageBreak/>
        <w:t>★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、外形尺寸：全长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2120mm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20mm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，全宽（含护栏）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970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20mm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；床面离地面高度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480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20mm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47F88EFD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、功能：背部升降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0-65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°，左腿升降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0-35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°，右腿升降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0-35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±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°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25925A80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3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、摇杆</w:t>
      </w:r>
    </w:p>
    <w:p w14:paraId="7AA6AB20" w14:textId="3C069A12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3.1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、螺杆：螺杆采用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T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形、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8E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级精度，配</w:t>
      </w:r>
      <w:r w:rsidR="00C96584" w:rsidRPr="00321C5D">
        <w:rPr>
          <w:rFonts w:ascii="宋体" w:eastAsia="宋体" w:hAnsi="宋体" w:cs="宋体" w:hint="eastAsia"/>
          <w:b/>
          <w:bCs/>
          <w:sz w:val="24"/>
          <w:szCs w:val="24"/>
        </w:rPr>
        <w:t>备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用二次滚压式加工而成的精密螺杆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螺母采用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POM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或铜螺母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材料，带自润滑效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果</w:t>
      </w:r>
    </w:p>
    <w:p w14:paraId="66FFE787" w14:textId="1660FAB6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3.2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摇杆具备双向过盈保护：当螺杆转动至最长或是最短的极限位置，既背板</w:t>
      </w:r>
      <w:r w:rsidR="00C96584" w:rsidRPr="00321C5D">
        <w:rPr>
          <w:rFonts w:ascii="宋体" w:eastAsia="宋体" w:hAnsi="宋体" w:cs="宋体" w:hint="eastAsia"/>
          <w:b/>
          <w:sz w:val="24"/>
          <w:szCs w:val="24"/>
        </w:rPr>
        <w:t>或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腿板达到</w:t>
      </w:r>
      <w:proofErr w:type="gramEnd"/>
      <w:r w:rsidRPr="00321C5D">
        <w:rPr>
          <w:rFonts w:ascii="宋体" w:eastAsia="宋体" w:hAnsi="宋体" w:cs="宋体" w:hint="eastAsia"/>
          <w:bCs/>
          <w:sz w:val="24"/>
          <w:szCs w:val="24"/>
        </w:rPr>
        <w:t>最高或最低位置时，螺杆与螺母相对产生空转现象，并伴有警示音。</w:t>
      </w:r>
    </w:p>
    <w:p w14:paraId="02621E75" w14:textId="5106F12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3.3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、摇杆的万向节位置配置浸塑工艺的保护套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，多方面的设计结合从而保护及延长摇杆的使用寿命。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实物图片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09371E03" w14:textId="6B70144F" w:rsidR="00DC0A6A" w:rsidRPr="00321C5D" w:rsidRDefault="0006698A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▲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>3.4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>、摇杆在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>负载条件下使用寿命达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 xml:space="preserve">15000 </w:t>
      </w:r>
      <w:r w:rsidR="00321C5D" w:rsidRPr="00321C5D">
        <w:rPr>
          <w:rFonts w:ascii="宋体" w:eastAsia="宋体" w:hAnsi="宋体" w:cs="宋体" w:hint="eastAsia"/>
          <w:bCs/>
          <w:sz w:val="24"/>
          <w:szCs w:val="24"/>
        </w:rPr>
        <w:t>次。</w:t>
      </w:r>
      <w:r w:rsidR="00321C5D" w:rsidRPr="00321C5D">
        <w:rPr>
          <w:rFonts w:ascii="宋体" w:eastAsia="宋体" w:hAnsi="宋体" w:cs="宋体" w:hint="eastAsia"/>
          <w:b/>
          <w:sz w:val="24"/>
          <w:szCs w:val="24"/>
        </w:rPr>
        <w:t>（提供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第三方机构检测报告</w:t>
      </w:r>
      <w:r w:rsidR="00321C5D"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228712B7" w14:textId="6DA0FCD5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3.5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、摇杆把手主体，</w:t>
      </w:r>
      <w:r w:rsidR="003049E3" w:rsidRPr="00321C5D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采用碳钢焊接成型，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不可折叠，抽拉式收纳设计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；外罩</w:t>
      </w:r>
      <w:r w:rsidR="003049E3" w:rsidRPr="00321C5D">
        <w:rPr>
          <w:rFonts w:ascii="宋体" w:eastAsia="宋体" w:hAnsi="宋体" w:cs="宋体" w:hint="eastAsia"/>
          <w:bCs/>
          <w:sz w:val="24"/>
          <w:szCs w:val="24"/>
        </w:rPr>
        <w:t>至少采用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ABS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塑料把手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套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；颜色</w:t>
      </w:r>
      <w:r w:rsidR="003049E3" w:rsidRPr="00321C5D">
        <w:rPr>
          <w:rFonts w:ascii="宋体" w:eastAsia="宋体" w:hAnsi="宋体" w:cs="宋体" w:hint="eastAsia"/>
          <w:bCs/>
          <w:sz w:val="24"/>
          <w:szCs w:val="24"/>
        </w:rPr>
        <w:t>需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与床身配套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</w:t>
      </w:r>
      <w:r w:rsidR="008D423C" w:rsidRPr="00321C5D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14:paraId="32E5B4BD" w14:textId="2158D4E6" w:rsidR="00DC0A6A" w:rsidRPr="00321C5D" w:rsidRDefault="00321C5D">
      <w:pPr>
        <w:numPr>
          <w:ilvl w:val="0"/>
          <w:numId w:val="1"/>
        </w:num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床架两侧各设计≥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个活动附件挂钩，可</w:t>
      </w:r>
      <w:r w:rsidR="008A6482" w:rsidRPr="00321C5D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悬挂药剂袋、引流袋及污物袋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，挂钩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安全承荷</w:t>
      </w:r>
      <w:proofErr w:type="gramEnd"/>
      <w:r w:rsidRPr="00321C5D">
        <w:rPr>
          <w:rFonts w:ascii="宋体" w:eastAsia="宋体" w:hAnsi="宋体" w:cs="宋体" w:hint="eastAsia"/>
          <w:bCs/>
          <w:sz w:val="24"/>
          <w:szCs w:val="24"/>
        </w:rPr>
        <w:t>大于等于≥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10kg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；床头床尾共配置≥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个输液架插孔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（提供尿袋挂钩</w:t>
      </w:r>
      <w:proofErr w:type="gramStart"/>
      <w:r w:rsidRPr="00321C5D">
        <w:rPr>
          <w:rFonts w:ascii="宋体" w:eastAsia="宋体" w:hAnsi="宋体" w:cs="宋体" w:hint="eastAsia"/>
          <w:b/>
          <w:sz w:val="24"/>
          <w:szCs w:val="24"/>
        </w:rPr>
        <w:t>安全承荷</w:t>
      </w:r>
      <w:proofErr w:type="gramEnd"/>
      <w:r w:rsidRPr="00321C5D">
        <w:rPr>
          <w:rFonts w:ascii="宋体" w:eastAsia="宋体" w:hAnsi="宋体" w:cs="宋体" w:hint="eastAsia"/>
          <w:b/>
          <w:sz w:val="24"/>
          <w:szCs w:val="24"/>
        </w:rPr>
        <w:t>测试</w:t>
      </w:r>
      <w:r w:rsidR="008D423C" w:rsidRPr="00321C5D">
        <w:rPr>
          <w:rFonts w:ascii="宋体" w:eastAsia="宋体" w:hAnsi="宋体" w:cs="宋体" w:hint="eastAsia"/>
          <w:b/>
          <w:sz w:val="24"/>
          <w:szCs w:val="24"/>
        </w:rPr>
        <w:t>第三方机构检测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报告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31537F14" w14:textId="11674809" w:rsidR="00DC0A6A" w:rsidRPr="00321C5D" w:rsidRDefault="00321C5D">
      <w:pPr>
        <w:numPr>
          <w:ilvl w:val="0"/>
          <w:numId w:val="1"/>
        </w:num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整体床架选用≥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50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mm*31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厚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1.</w:t>
      </w:r>
      <w:r w:rsidR="00261174" w:rsidRPr="00321C5D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的钢管，框架结构，板位置有≥三条≥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50mm*25m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厚≥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1.5mm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的钢管支撑，靠背和脚框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选用采用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25mm*25mm,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厚≥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1.5mm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方管支撑，四只床腿采用≥外径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36mm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、厚度≥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3.6mm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的圆管，整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床结构牢固可</w:t>
      </w:r>
      <w:proofErr w:type="gramEnd"/>
      <w:r w:rsidRPr="00321C5D">
        <w:rPr>
          <w:rFonts w:ascii="宋体" w:eastAsia="宋体" w:hAnsi="宋体" w:cs="宋体" w:hint="eastAsia"/>
          <w:bCs/>
          <w:sz w:val="24"/>
          <w:szCs w:val="24"/>
        </w:rPr>
        <w:t>静态承重≥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400KG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（提供所投产品彩页或原厂商的官方技术白皮书等证明文件，并在证明文件上标记具体参数响应位置）</w:t>
      </w:r>
    </w:p>
    <w:p w14:paraId="6B3EFE3D" w14:textId="77777777" w:rsidR="00DC0A6A" w:rsidRPr="00321C5D" w:rsidRDefault="00321C5D">
      <w:pPr>
        <w:numPr>
          <w:ilvl w:val="0"/>
          <w:numId w:val="1"/>
        </w:num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焊接工艺采用焊接机器人焊接，无气孔，高熔接度，高强度，抗弯折、抗压性强，具高承重力</w:t>
      </w:r>
    </w:p>
    <w:p w14:paraId="6AAC55CB" w14:textId="14059FBC" w:rsidR="00DC0A6A" w:rsidRPr="00321C5D" w:rsidRDefault="00321C5D">
      <w:pPr>
        <w:numPr>
          <w:ilvl w:val="0"/>
          <w:numId w:val="1"/>
        </w:num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整体床架及护栏多重防锈处理技术，</w:t>
      </w:r>
      <w:r w:rsidR="00B4071C" w:rsidRPr="00321C5D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经过去油、除锈、表面调整、磷化镀膜、钝化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工艺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，再进行静电粉末喷涂，达到内外防锈。</w:t>
      </w:r>
    </w:p>
    <w:p w14:paraId="70643711" w14:textId="0B6EC34F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8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、涂料采用的固体粉末不得含有以下有害物质，包括但不限于：铅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Pb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，镉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Cd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，汞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Hg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，六价铬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Cr6+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，多溴二苯醚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PBDE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，多溴联苯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PBB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提供粉末第三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lastRenderedPageBreak/>
        <w:t>方检测报告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4FA17DB6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9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牵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引架为≥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32*32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圆管制成，宽≥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84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，高≥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137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均需为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304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及以上不锈钢材质，腿部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配功能</w:t>
      </w:r>
      <w:proofErr w:type="gramEnd"/>
      <w:r w:rsidRPr="00321C5D">
        <w:rPr>
          <w:rFonts w:ascii="宋体" w:eastAsia="宋体" w:hAnsi="宋体" w:cs="宋体" w:hint="eastAsia"/>
          <w:bCs/>
          <w:sz w:val="24"/>
          <w:szCs w:val="24"/>
        </w:rPr>
        <w:t>牵引架。具有四个支撑柱，至少配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组手拉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杆，两组横杆牵引架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可依据护理作业需要组成不同样式。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br/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、床面盖板采用≥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1.2mm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优质冷轧板冲压一次成型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表面采用喷涂工艺，多重防锈。盖板有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个通风口设计预防褥疮，整体设计符合人体工程力学。容易清洗、消毒。</w:t>
      </w:r>
    </w:p>
    <w:p w14:paraId="016096BF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、腿部左右腿可单独升降，提高病人舒适度及满足康复需要。床板四周配置≥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个人体工程学床垫定位把手。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具有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固定床垫，防止床垫位移，同时可以作为助力把手使用；</w:t>
      </w:r>
    </w:p>
    <w:p w14:paraId="7183D8E1" w14:textId="1634C658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配置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欧式平移收缩三围杆护栏，开放式设计。围栏设计符合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IEC60601-2-52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安全标准，主体采用优质冷轧钢管，围栏收缩时不占空间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围栏连接器采用玻璃纤维材料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制作而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成，磨耐酸碱，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可抗侧拉</w:t>
      </w:r>
      <w:proofErr w:type="gramEnd"/>
      <w:r w:rsidRPr="00321C5D">
        <w:rPr>
          <w:rFonts w:ascii="宋体" w:eastAsia="宋体" w:hAnsi="宋体" w:cs="宋体" w:hint="eastAsia"/>
          <w:b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60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公斤不变形。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IEC60601-2-52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安全标准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检测报告复印件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、提供</w:t>
      </w:r>
      <w:proofErr w:type="gramStart"/>
      <w:r w:rsidRPr="00321C5D">
        <w:rPr>
          <w:rFonts w:ascii="宋体" w:eastAsia="宋体" w:hAnsi="宋体" w:cs="宋体" w:hint="eastAsia"/>
          <w:b/>
          <w:sz w:val="24"/>
          <w:szCs w:val="24"/>
        </w:rPr>
        <w:t>护栏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抗侧拉</w:t>
      </w:r>
      <w:proofErr w:type="gramEnd"/>
      <w:r w:rsidRPr="00321C5D">
        <w:rPr>
          <w:rFonts w:ascii="宋体" w:eastAsia="宋体" w:hAnsi="宋体" w:cs="宋体" w:hint="eastAsia"/>
          <w:b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60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公斤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检测报告复印件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6A24121E" w14:textId="480F8381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3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、床头床尾板采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用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HDPE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工程塑料一次成型，表面平顺易清洁。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具有抗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冲击性、耐热性、耐低温性、耐化学药品性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,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插孔内置自动锁扣，与床架连接紧密，推动时不晃动及产生异响，</w:t>
      </w:r>
      <w:r w:rsidRPr="00321C5D">
        <w:rPr>
          <w:rFonts w:ascii="宋体" w:eastAsia="宋体" w:hAnsi="宋体" w:cs="宋体" w:hint="eastAsia"/>
          <w:sz w:val="24"/>
          <w:szCs w:val="24"/>
        </w:rPr>
        <w:t>可实现快速拆卸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，满足紧急抢救需要，容易清洗、消毒；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床头床尾板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HDPE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第三方材质检测报告复印件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、提供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床头床尾板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可快速拆卸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示意图复印件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04D80150" w14:textId="3AC78A71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、床头床尾配置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80mm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防撞缓冲轮，双环设计，放射性支撑，耐撞击，通过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IEC60601-2-52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YY9706.252-2021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门框冲击测试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需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通过负重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250kg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0.8m/s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的速度撞击测试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IEC60601-2-52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和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YY9706.252-2021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门框冲击测试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报告复印件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6DB70991" w14:textId="1416EE1D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、配置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个直径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12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5mm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医用</w:t>
      </w:r>
      <w:proofErr w:type="gramStart"/>
      <w:r w:rsidRPr="00321C5D">
        <w:rPr>
          <w:rFonts w:ascii="宋体" w:eastAsia="宋体" w:hAnsi="宋体" w:cs="宋体" w:hint="eastAsia"/>
          <w:bCs/>
          <w:sz w:val="24"/>
          <w:szCs w:val="24"/>
        </w:rPr>
        <w:t>静音中控</w:t>
      </w:r>
      <w:proofErr w:type="gramEnd"/>
      <w:r w:rsidRPr="00321C5D">
        <w:rPr>
          <w:rFonts w:ascii="宋体" w:eastAsia="宋体" w:hAnsi="宋体" w:cs="宋体" w:hint="eastAsia"/>
          <w:bCs/>
          <w:sz w:val="24"/>
          <w:szCs w:val="24"/>
        </w:rPr>
        <w:t>双面脚轮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具有锁定、自由、定向三段式中央控制锁定装置。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提供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锁定、自由、定向三段式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锁定装置的操作示意图复印件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）</w:t>
      </w:r>
    </w:p>
    <w:p w14:paraId="21F6DFA9" w14:textId="77777777" w:rsidR="00DC0A6A" w:rsidRPr="00321C5D" w:rsidRDefault="00321C5D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Cs/>
          <w:sz w:val="24"/>
          <w:szCs w:val="24"/>
        </w:rPr>
      </w:pPr>
      <w:r w:rsidRPr="00321C5D">
        <w:rPr>
          <w:rFonts w:ascii="宋体" w:eastAsia="宋体" w:hAnsi="宋体" w:cs="宋体" w:hint="eastAsia"/>
          <w:bCs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每套</w:t>
      </w:r>
      <w:r w:rsidRPr="00321C5D">
        <w:rPr>
          <w:rFonts w:ascii="宋体" w:eastAsia="宋体" w:hAnsi="宋体" w:cs="宋体" w:hint="eastAsia"/>
          <w:bCs/>
          <w:sz w:val="24"/>
          <w:szCs w:val="24"/>
        </w:rPr>
        <w:t>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321C5D" w:rsidRPr="00321C5D" w14:paraId="21B14C00" w14:textId="77777777">
        <w:trPr>
          <w:jc w:val="center"/>
        </w:trPr>
        <w:tc>
          <w:tcPr>
            <w:tcW w:w="1069" w:type="dxa"/>
          </w:tcPr>
          <w:p w14:paraId="16EF2419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3" w:type="dxa"/>
          </w:tcPr>
          <w:p w14:paraId="6F48946B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配件</w:t>
            </w:r>
            <w:r w:rsidRPr="00321C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 w:rsidRPr="00321C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198" w:type="dxa"/>
          </w:tcPr>
          <w:p w14:paraId="4E72B5B2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21C5D" w:rsidRPr="00321C5D" w14:paraId="4C271027" w14:textId="77777777">
        <w:trPr>
          <w:jc w:val="center"/>
        </w:trPr>
        <w:tc>
          <w:tcPr>
            <w:tcW w:w="1069" w:type="dxa"/>
          </w:tcPr>
          <w:p w14:paraId="29BD69C7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628FBF99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床架</w:t>
            </w:r>
          </w:p>
        </w:tc>
        <w:tc>
          <w:tcPr>
            <w:tcW w:w="3198" w:type="dxa"/>
          </w:tcPr>
          <w:p w14:paraId="3FB63549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321C5D" w:rsidRPr="00321C5D" w14:paraId="637C706C" w14:textId="77777777">
        <w:trPr>
          <w:jc w:val="center"/>
        </w:trPr>
        <w:tc>
          <w:tcPr>
            <w:tcW w:w="1069" w:type="dxa"/>
          </w:tcPr>
          <w:p w14:paraId="11A391D2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3" w:type="dxa"/>
          </w:tcPr>
          <w:p w14:paraId="4B1DDD1C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摇杆</w:t>
            </w:r>
          </w:p>
        </w:tc>
        <w:tc>
          <w:tcPr>
            <w:tcW w:w="3198" w:type="dxa"/>
          </w:tcPr>
          <w:p w14:paraId="53B86160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</w:tr>
      <w:tr w:rsidR="00321C5D" w:rsidRPr="00321C5D" w14:paraId="7263FC58" w14:textId="77777777">
        <w:trPr>
          <w:jc w:val="center"/>
        </w:trPr>
        <w:tc>
          <w:tcPr>
            <w:tcW w:w="1069" w:type="dxa"/>
          </w:tcPr>
          <w:p w14:paraId="37F1C331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14:paraId="50D9EE1D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防撞轮</w:t>
            </w:r>
          </w:p>
        </w:tc>
        <w:tc>
          <w:tcPr>
            <w:tcW w:w="3198" w:type="dxa"/>
          </w:tcPr>
          <w:p w14:paraId="5390BB08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21C5D" w:rsidRPr="00321C5D" w14:paraId="0F3248E8" w14:textId="77777777">
        <w:trPr>
          <w:jc w:val="center"/>
        </w:trPr>
        <w:tc>
          <w:tcPr>
            <w:tcW w:w="1069" w:type="dxa"/>
          </w:tcPr>
          <w:p w14:paraId="00D49F07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14:paraId="77E5881C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脚轮</w:t>
            </w:r>
          </w:p>
        </w:tc>
        <w:tc>
          <w:tcPr>
            <w:tcW w:w="3198" w:type="dxa"/>
          </w:tcPr>
          <w:p w14:paraId="3BA39FB2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21C5D" w:rsidRPr="00321C5D" w14:paraId="178E7D11" w14:textId="77777777">
        <w:trPr>
          <w:jc w:val="center"/>
        </w:trPr>
        <w:tc>
          <w:tcPr>
            <w:tcW w:w="1069" w:type="dxa"/>
          </w:tcPr>
          <w:p w14:paraId="1723AC93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14:paraId="4EA03108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钢制护栏</w:t>
            </w:r>
          </w:p>
        </w:tc>
        <w:tc>
          <w:tcPr>
            <w:tcW w:w="3198" w:type="dxa"/>
          </w:tcPr>
          <w:p w14:paraId="7285F17F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对</w:t>
            </w:r>
          </w:p>
        </w:tc>
      </w:tr>
      <w:tr w:rsidR="00321C5D" w:rsidRPr="00321C5D" w14:paraId="57EDF85F" w14:textId="77777777">
        <w:trPr>
          <w:jc w:val="center"/>
        </w:trPr>
        <w:tc>
          <w:tcPr>
            <w:tcW w:w="1069" w:type="dxa"/>
          </w:tcPr>
          <w:p w14:paraId="5060A641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14:paraId="26D6E47B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床板</w:t>
            </w:r>
          </w:p>
        </w:tc>
        <w:tc>
          <w:tcPr>
            <w:tcW w:w="3198" w:type="dxa"/>
          </w:tcPr>
          <w:p w14:paraId="1D08067F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321C5D" w:rsidRPr="00321C5D" w14:paraId="7673EE90" w14:textId="77777777">
        <w:trPr>
          <w:jc w:val="center"/>
        </w:trPr>
        <w:tc>
          <w:tcPr>
            <w:tcW w:w="1069" w:type="dxa"/>
          </w:tcPr>
          <w:p w14:paraId="5F5E443A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14:paraId="3E6C5E9B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床头、床尾板</w:t>
            </w:r>
          </w:p>
        </w:tc>
        <w:tc>
          <w:tcPr>
            <w:tcW w:w="3198" w:type="dxa"/>
          </w:tcPr>
          <w:p w14:paraId="5E762B9C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</w:tr>
      <w:tr w:rsidR="00321C5D" w:rsidRPr="00321C5D" w14:paraId="601F6839" w14:textId="77777777">
        <w:trPr>
          <w:jc w:val="center"/>
        </w:trPr>
        <w:tc>
          <w:tcPr>
            <w:tcW w:w="1069" w:type="dxa"/>
          </w:tcPr>
          <w:p w14:paraId="589403EC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14:paraId="41674715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尿袋挂钩</w:t>
            </w:r>
          </w:p>
        </w:tc>
        <w:tc>
          <w:tcPr>
            <w:tcW w:w="3198" w:type="dxa"/>
          </w:tcPr>
          <w:p w14:paraId="321EBC02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321C5D" w:rsidRPr="00321C5D" w14:paraId="61051527" w14:textId="77777777">
        <w:trPr>
          <w:jc w:val="center"/>
        </w:trPr>
        <w:tc>
          <w:tcPr>
            <w:tcW w:w="1069" w:type="dxa"/>
          </w:tcPr>
          <w:p w14:paraId="2FEE4832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14:paraId="635478CF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手拉杆</w:t>
            </w:r>
          </w:p>
        </w:tc>
        <w:tc>
          <w:tcPr>
            <w:tcW w:w="3198" w:type="dxa"/>
          </w:tcPr>
          <w:p w14:paraId="3AAB8473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</w:tr>
      <w:tr w:rsidR="00321C5D" w:rsidRPr="00321C5D" w14:paraId="2BD14984" w14:textId="77777777">
        <w:trPr>
          <w:jc w:val="center"/>
        </w:trPr>
        <w:tc>
          <w:tcPr>
            <w:tcW w:w="1069" w:type="dxa"/>
          </w:tcPr>
          <w:p w14:paraId="1B097028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14:paraId="54207317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支撑柱</w:t>
            </w:r>
          </w:p>
        </w:tc>
        <w:tc>
          <w:tcPr>
            <w:tcW w:w="3198" w:type="dxa"/>
          </w:tcPr>
          <w:p w14:paraId="7BEC1AE9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DC0A6A" w:rsidRPr="00321C5D" w14:paraId="576FADDC" w14:textId="77777777">
        <w:trPr>
          <w:jc w:val="center"/>
        </w:trPr>
        <w:tc>
          <w:tcPr>
            <w:tcW w:w="1069" w:type="dxa"/>
          </w:tcPr>
          <w:p w14:paraId="16FE23F3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14:paraId="2EB5D055" w14:textId="77777777" w:rsidR="00DC0A6A" w:rsidRPr="00321C5D" w:rsidRDefault="00321C5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21C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横杆牵引架</w:t>
            </w:r>
          </w:p>
        </w:tc>
        <w:tc>
          <w:tcPr>
            <w:tcW w:w="3198" w:type="dxa"/>
          </w:tcPr>
          <w:p w14:paraId="1006296B" w14:textId="77777777" w:rsidR="00DC0A6A" w:rsidRPr="00321C5D" w:rsidRDefault="00321C5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21C5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21C5D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</w:tbl>
    <w:p w14:paraId="726DAF67" w14:textId="77777777" w:rsidR="00DC0A6A" w:rsidRPr="00321C5D" w:rsidRDefault="00DC0A6A">
      <w:pPr>
        <w:adjustRightInd w:val="0"/>
        <w:snapToGrid w:val="0"/>
        <w:spacing w:line="360" w:lineRule="auto"/>
        <w:ind w:leftChars="202" w:left="424"/>
        <w:rPr>
          <w:rFonts w:ascii="宋体" w:eastAsia="宋体" w:hAnsi="宋体" w:cs="宋体" w:hint="eastAsia"/>
          <w:b/>
          <w:sz w:val="24"/>
          <w:szCs w:val="24"/>
        </w:rPr>
      </w:pPr>
    </w:p>
    <w:p w14:paraId="74EF047E" w14:textId="77777777" w:rsidR="00DC0A6A" w:rsidRPr="00321C5D" w:rsidRDefault="00321C5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108C3C34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6EEE560D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486835A5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sz w:val="24"/>
          <w:szCs w:val="24"/>
        </w:rPr>
        <w:t>）、质保期：原厂全保，自验收合格之日起≥</w:t>
      </w:r>
      <w:r w:rsidRPr="00321C5D">
        <w:rPr>
          <w:rFonts w:ascii="宋体" w:eastAsia="宋体" w:hAnsi="宋体" w:cs="宋体" w:hint="eastAsia"/>
          <w:sz w:val="24"/>
          <w:szCs w:val="24"/>
        </w:rPr>
        <w:t>5</w:t>
      </w:r>
      <w:r w:rsidRPr="00321C5D">
        <w:rPr>
          <w:rFonts w:ascii="宋体" w:eastAsia="宋体" w:hAnsi="宋体" w:cs="宋体" w:hint="eastAsia"/>
          <w:sz w:val="24"/>
          <w:szCs w:val="24"/>
        </w:rPr>
        <w:t>年</w:t>
      </w:r>
      <w:r w:rsidRPr="00321C5D"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421AE8C9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sz w:val="24"/>
          <w:szCs w:val="24"/>
        </w:rPr>
        <w:t>）、响应时间：电话响应时间≤</w:t>
      </w:r>
      <w:r w:rsidRPr="00321C5D">
        <w:rPr>
          <w:rFonts w:ascii="宋体" w:eastAsia="宋体" w:hAnsi="宋体" w:cs="宋体" w:hint="eastAsia"/>
          <w:sz w:val="24"/>
          <w:szCs w:val="24"/>
        </w:rPr>
        <w:t>30</w:t>
      </w:r>
      <w:r w:rsidRPr="00321C5D">
        <w:rPr>
          <w:rFonts w:ascii="宋体" w:eastAsia="宋体" w:hAnsi="宋体" w:cs="宋体" w:hint="eastAsia"/>
          <w:sz w:val="24"/>
          <w:szCs w:val="24"/>
        </w:rPr>
        <w:t>分钟；维修达到现场时间≤</w:t>
      </w:r>
      <w:r w:rsidRPr="00321C5D">
        <w:rPr>
          <w:rFonts w:ascii="宋体" w:eastAsia="宋体" w:hAnsi="宋体" w:cs="宋体" w:hint="eastAsia"/>
          <w:sz w:val="24"/>
          <w:szCs w:val="24"/>
        </w:rPr>
        <w:t>24</w:t>
      </w:r>
      <w:r w:rsidRPr="00321C5D">
        <w:rPr>
          <w:rFonts w:ascii="宋体" w:eastAsia="宋体" w:hAnsi="宋体" w:cs="宋体" w:hint="eastAsia"/>
          <w:sz w:val="24"/>
          <w:szCs w:val="24"/>
        </w:rPr>
        <w:t>小时（本地）；维修达到现场时间≤</w:t>
      </w:r>
      <w:r w:rsidRPr="00321C5D">
        <w:rPr>
          <w:rFonts w:ascii="宋体" w:eastAsia="宋体" w:hAnsi="宋体" w:cs="宋体" w:hint="eastAsia"/>
          <w:sz w:val="24"/>
          <w:szCs w:val="24"/>
        </w:rPr>
        <w:t>48</w:t>
      </w:r>
      <w:r w:rsidRPr="00321C5D">
        <w:rPr>
          <w:rFonts w:ascii="宋体" w:eastAsia="宋体" w:hAnsi="宋体" w:cs="宋体" w:hint="eastAsia"/>
          <w:sz w:val="24"/>
          <w:szCs w:val="24"/>
        </w:rPr>
        <w:t>小时（外地）</w:t>
      </w:r>
    </w:p>
    <w:p w14:paraId="1D613BD7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3</w:t>
      </w:r>
      <w:r w:rsidRPr="00321C5D"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 w:rsidRPr="00321C5D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21C5D">
        <w:rPr>
          <w:rFonts w:ascii="宋体" w:eastAsia="宋体" w:hAnsi="宋体" w:cs="宋体" w:hint="eastAsia"/>
          <w:sz w:val="24"/>
          <w:szCs w:val="24"/>
        </w:rPr>
        <w:t>与价格：</w:t>
      </w:r>
      <w:r w:rsidRPr="00321C5D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</w:t>
      </w:r>
      <w:r w:rsidRPr="00321C5D">
        <w:rPr>
          <w:rFonts w:ascii="宋体" w:eastAsia="宋体" w:hAnsi="宋体" w:cs="宋体" w:hint="eastAsia"/>
          <w:sz w:val="24"/>
          <w:szCs w:val="24"/>
        </w:rPr>
        <w:t>5%</w:t>
      </w:r>
      <w:r w:rsidRPr="00321C5D"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36417242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sz w:val="24"/>
          <w:szCs w:val="24"/>
        </w:rPr>
        <w:t>）、备品备件供货价格：</w:t>
      </w:r>
      <w:r w:rsidRPr="00321C5D">
        <w:rPr>
          <w:rFonts w:ascii="宋体" w:eastAsia="宋体" w:hAnsi="宋体" w:cs="宋体" w:hint="eastAsia"/>
          <w:sz w:val="24"/>
          <w:szCs w:val="24"/>
        </w:rPr>
        <w:t>不得超过市场价格的</w:t>
      </w:r>
      <w:r w:rsidRPr="00321C5D">
        <w:rPr>
          <w:rFonts w:ascii="宋体" w:eastAsia="宋体" w:hAnsi="宋体" w:cs="宋体" w:hint="eastAsia"/>
          <w:sz w:val="24"/>
          <w:szCs w:val="24"/>
        </w:rPr>
        <w:t>60%</w:t>
      </w:r>
      <w:r w:rsidRPr="00321C5D"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07C92EF0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>、伴随服务要求</w:t>
      </w:r>
      <w:r w:rsidRPr="00321C5D">
        <w:rPr>
          <w:rFonts w:ascii="宋体" w:eastAsia="宋体" w:hAnsi="宋体" w:cs="宋体" w:hint="eastAsia"/>
          <w:b/>
          <w:sz w:val="24"/>
          <w:szCs w:val="24"/>
        </w:rPr>
        <w:t xml:space="preserve">（相关费用包含在投标总价中）：　</w:t>
      </w:r>
    </w:p>
    <w:p w14:paraId="4C1A6250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1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产品附件要求：按照配置</w:t>
      </w:r>
      <w:proofErr w:type="gramStart"/>
      <w:r w:rsidRPr="00321C5D"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 w:rsidRPr="00321C5D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2B3A6896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2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产品升级服务要求：</w:t>
      </w:r>
      <w:r w:rsidRPr="00321C5D">
        <w:rPr>
          <w:rFonts w:ascii="宋体" w:eastAsia="宋体" w:hAnsi="宋体" w:cs="宋体" w:hint="eastAsia"/>
          <w:sz w:val="24"/>
          <w:szCs w:val="24"/>
        </w:rPr>
        <w:t>软件终生维护免费升级</w:t>
      </w:r>
    </w:p>
    <w:p w14:paraId="7ACB0DF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3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安装：</w:t>
      </w:r>
      <w:r w:rsidRPr="00321C5D">
        <w:rPr>
          <w:rFonts w:ascii="宋体" w:eastAsia="宋体" w:hAnsi="宋体" w:cs="宋体" w:hint="eastAsia"/>
          <w:sz w:val="24"/>
          <w:szCs w:val="24"/>
        </w:rPr>
        <w:t>厂家</w:t>
      </w:r>
      <w:r w:rsidRPr="00321C5D"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5AE2D36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4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调试：</w:t>
      </w:r>
      <w:r w:rsidRPr="00321C5D">
        <w:rPr>
          <w:rFonts w:ascii="宋体" w:eastAsia="宋体" w:hAnsi="宋体" w:cs="宋体" w:hint="eastAsia"/>
          <w:sz w:val="24"/>
          <w:szCs w:val="24"/>
        </w:rPr>
        <w:t>厂家</w:t>
      </w:r>
      <w:r w:rsidRPr="00321C5D"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4AD421C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5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提供技术援助：</w:t>
      </w:r>
      <w:r w:rsidRPr="00321C5D">
        <w:rPr>
          <w:rFonts w:ascii="宋体" w:eastAsia="宋体" w:hAnsi="宋体" w:cs="宋体" w:hint="eastAsia"/>
          <w:sz w:val="24"/>
          <w:szCs w:val="24"/>
        </w:rPr>
        <w:t>厂家</w:t>
      </w:r>
      <w:r w:rsidRPr="00321C5D"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 w:rsidRPr="00321C5D">
        <w:rPr>
          <w:rFonts w:ascii="宋体" w:eastAsia="宋体" w:hAnsi="宋体" w:cs="宋体" w:hint="eastAsia"/>
          <w:sz w:val="24"/>
          <w:szCs w:val="24"/>
        </w:rPr>
        <w:t>。</w:t>
      </w:r>
    </w:p>
    <w:p w14:paraId="471FCA12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6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培训：据医院要求，对科室医生进行操作使用培训及</w:t>
      </w:r>
      <w:proofErr w:type="gramStart"/>
      <w:r w:rsidRPr="00321C5D">
        <w:rPr>
          <w:rFonts w:ascii="宋体" w:eastAsia="宋体" w:hAnsi="宋体" w:cs="宋体" w:hint="eastAsia"/>
          <w:sz w:val="24"/>
          <w:szCs w:val="24"/>
        </w:rPr>
        <w:t>使用跟台培训</w:t>
      </w:r>
      <w:proofErr w:type="gramEnd"/>
      <w:r w:rsidRPr="00321C5D">
        <w:rPr>
          <w:rFonts w:ascii="宋体" w:eastAsia="宋体" w:hAnsi="宋体" w:cs="宋体" w:hint="eastAsia"/>
          <w:sz w:val="24"/>
          <w:szCs w:val="24"/>
        </w:rPr>
        <w:t>。</w:t>
      </w:r>
    </w:p>
    <w:p w14:paraId="2997F007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7</w:t>
      </w:r>
      <w:r w:rsidRPr="00321C5D">
        <w:rPr>
          <w:rFonts w:ascii="宋体" w:eastAsia="宋体" w:hAnsi="宋体" w:cs="宋体" w:hint="eastAsia"/>
          <w:sz w:val="24"/>
          <w:szCs w:val="24"/>
        </w:rPr>
        <w:t>）</w:t>
      </w:r>
      <w:r w:rsidRPr="00321C5D">
        <w:rPr>
          <w:rFonts w:ascii="宋体" w:eastAsia="宋体" w:hAnsi="宋体" w:cs="宋体" w:hint="eastAsia"/>
          <w:sz w:val="24"/>
          <w:szCs w:val="24"/>
        </w:rPr>
        <w:t>.</w:t>
      </w:r>
      <w:r w:rsidRPr="00321C5D">
        <w:rPr>
          <w:rFonts w:ascii="宋体" w:eastAsia="宋体" w:hAnsi="宋体" w:cs="宋体" w:hint="eastAsia"/>
          <w:sz w:val="24"/>
          <w:szCs w:val="24"/>
        </w:rPr>
        <w:t>验收方案：设备安装、调试、培训后，经过双方确认现场运行，设备的各项性能指标均能达到招标要求的，按照院方规定签署设备验收文件。</w:t>
      </w:r>
    </w:p>
    <w:p w14:paraId="44E00E1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21C5D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2886DA0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1.</w:t>
      </w:r>
      <w:r w:rsidRPr="00321C5D"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 w:rsidRPr="00321C5D">
        <w:rPr>
          <w:rFonts w:ascii="宋体" w:eastAsia="宋体" w:hAnsi="宋体" w:cs="宋体" w:hint="eastAsia"/>
          <w:sz w:val="24"/>
          <w:szCs w:val="24"/>
        </w:rPr>
        <w:t>3</w:t>
      </w:r>
      <w:r w:rsidRPr="00321C5D">
        <w:rPr>
          <w:rFonts w:ascii="宋体" w:eastAsia="宋体" w:hAnsi="宋体" w:cs="宋体"/>
          <w:sz w:val="24"/>
          <w:szCs w:val="24"/>
        </w:rPr>
        <w:t>0</w:t>
      </w:r>
      <w:r w:rsidRPr="00321C5D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26E28FF5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lastRenderedPageBreak/>
        <w:t>2.</w:t>
      </w:r>
      <w:r w:rsidRPr="00321C5D"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5CB97501" w14:textId="77777777" w:rsidR="00DC0A6A" w:rsidRPr="00321C5D" w:rsidRDefault="00321C5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21C5D">
        <w:rPr>
          <w:rFonts w:ascii="宋体" w:eastAsia="宋体" w:hAnsi="宋体" w:cs="宋体" w:hint="eastAsia"/>
          <w:sz w:val="24"/>
          <w:szCs w:val="24"/>
        </w:rPr>
        <w:t>3.</w:t>
      </w:r>
      <w:r w:rsidRPr="00321C5D">
        <w:rPr>
          <w:rFonts w:ascii="宋体" w:eastAsia="宋体" w:hAnsi="宋体" w:cs="宋体" w:hint="eastAsia"/>
          <w:sz w:val="24"/>
          <w:szCs w:val="24"/>
        </w:rPr>
        <w:t>付款方式：</w:t>
      </w:r>
      <w:r w:rsidRPr="00321C5D">
        <w:rPr>
          <w:rFonts w:ascii="宋体" w:eastAsia="宋体" w:hAnsi="宋体" w:cs="宋体" w:hint="eastAsia"/>
          <w:sz w:val="24"/>
          <w:szCs w:val="24"/>
        </w:rPr>
        <w:t>合同签订验收合格后三个月支付全款。</w:t>
      </w:r>
    </w:p>
    <w:sectPr w:rsidR="00DC0A6A" w:rsidRPr="0032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656AEF"/>
    <w:multiLevelType w:val="singleLevel"/>
    <w:tmpl w:val="D9656AEF"/>
    <w:lvl w:ilvl="0">
      <w:start w:val="4"/>
      <w:numFmt w:val="decimal"/>
      <w:suff w:val="nothing"/>
      <w:lvlText w:val="%1、"/>
      <w:lvlJc w:val="left"/>
    </w:lvl>
  </w:abstractNum>
  <w:num w:numId="1" w16cid:durableId="30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2MjM0NDk3NjI3ZmE0OTQ1NmE2OTQyMjUxMWZmNmMifQ=="/>
    <w:docVar w:name="KSO_WPS_MARK_KEY" w:val="68347e42-10ed-451f-a431-2f9a0a4fe6ef"/>
  </w:docVars>
  <w:rsids>
    <w:rsidRoot w:val="00802568"/>
    <w:rsid w:val="000040B0"/>
    <w:rsid w:val="000064B4"/>
    <w:rsid w:val="00007953"/>
    <w:rsid w:val="0001163A"/>
    <w:rsid w:val="000239A4"/>
    <w:rsid w:val="000242BA"/>
    <w:rsid w:val="000453D8"/>
    <w:rsid w:val="00050CE6"/>
    <w:rsid w:val="000601FE"/>
    <w:rsid w:val="00063F4B"/>
    <w:rsid w:val="000660CC"/>
    <w:rsid w:val="0006698A"/>
    <w:rsid w:val="000669FE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E2DB4"/>
    <w:rsid w:val="000F45D3"/>
    <w:rsid w:val="000F6B6C"/>
    <w:rsid w:val="000F7ADE"/>
    <w:rsid w:val="00101F68"/>
    <w:rsid w:val="001021E4"/>
    <w:rsid w:val="001038FF"/>
    <w:rsid w:val="00113C51"/>
    <w:rsid w:val="0011692C"/>
    <w:rsid w:val="00123077"/>
    <w:rsid w:val="00130339"/>
    <w:rsid w:val="0014075F"/>
    <w:rsid w:val="001464A9"/>
    <w:rsid w:val="00146B37"/>
    <w:rsid w:val="00152553"/>
    <w:rsid w:val="001667B7"/>
    <w:rsid w:val="0017421D"/>
    <w:rsid w:val="0018102A"/>
    <w:rsid w:val="001909A3"/>
    <w:rsid w:val="001A508C"/>
    <w:rsid w:val="001B2C53"/>
    <w:rsid w:val="001B4457"/>
    <w:rsid w:val="001B4F82"/>
    <w:rsid w:val="001B6845"/>
    <w:rsid w:val="001C37EA"/>
    <w:rsid w:val="001C6B83"/>
    <w:rsid w:val="001D1C86"/>
    <w:rsid w:val="001D2B39"/>
    <w:rsid w:val="001E2083"/>
    <w:rsid w:val="001E3932"/>
    <w:rsid w:val="001E5BC6"/>
    <w:rsid w:val="001F0367"/>
    <w:rsid w:val="001F7B8F"/>
    <w:rsid w:val="00202223"/>
    <w:rsid w:val="00202A38"/>
    <w:rsid w:val="00203C0C"/>
    <w:rsid w:val="00221730"/>
    <w:rsid w:val="0024017E"/>
    <w:rsid w:val="0024287E"/>
    <w:rsid w:val="00261174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D0E80"/>
    <w:rsid w:val="002D7F90"/>
    <w:rsid w:val="002E581F"/>
    <w:rsid w:val="002F6B5C"/>
    <w:rsid w:val="003049E3"/>
    <w:rsid w:val="00306151"/>
    <w:rsid w:val="00306228"/>
    <w:rsid w:val="00306F55"/>
    <w:rsid w:val="0031408F"/>
    <w:rsid w:val="003156F8"/>
    <w:rsid w:val="003175E8"/>
    <w:rsid w:val="00321C5D"/>
    <w:rsid w:val="0034243E"/>
    <w:rsid w:val="00350CCF"/>
    <w:rsid w:val="003529A3"/>
    <w:rsid w:val="00361F0A"/>
    <w:rsid w:val="00363138"/>
    <w:rsid w:val="003926CA"/>
    <w:rsid w:val="00397C2C"/>
    <w:rsid w:val="003A36D8"/>
    <w:rsid w:val="003B75B4"/>
    <w:rsid w:val="003C5D80"/>
    <w:rsid w:val="003D549C"/>
    <w:rsid w:val="003E5D50"/>
    <w:rsid w:val="003F5073"/>
    <w:rsid w:val="003F5267"/>
    <w:rsid w:val="003F699C"/>
    <w:rsid w:val="003F76DE"/>
    <w:rsid w:val="00400664"/>
    <w:rsid w:val="00407CAC"/>
    <w:rsid w:val="004279DC"/>
    <w:rsid w:val="0046461D"/>
    <w:rsid w:val="004738FC"/>
    <w:rsid w:val="00491240"/>
    <w:rsid w:val="00491A6E"/>
    <w:rsid w:val="00494079"/>
    <w:rsid w:val="004A2CB7"/>
    <w:rsid w:val="004C56AE"/>
    <w:rsid w:val="004C5E4C"/>
    <w:rsid w:val="004D2515"/>
    <w:rsid w:val="004D3F4A"/>
    <w:rsid w:val="004D7701"/>
    <w:rsid w:val="005125E9"/>
    <w:rsid w:val="00514F0A"/>
    <w:rsid w:val="00515AC2"/>
    <w:rsid w:val="005256CA"/>
    <w:rsid w:val="00527867"/>
    <w:rsid w:val="00527B24"/>
    <w:rsid w:val="00537325"/>
    <w:rsid w:val="005541D1"/>
    <w:rsid w:val="00554402"/>
    <w:rsid w:val="00565B94"/>
    <w:rsid w:val="005701BF"/>
    <w:rsid w:val="00570EC8"/>
    <w:rsid w:val="005750CC"/>
    <w:rsid w:val="005805A9"/>
    <w:rsid w:val="00581FB5"/>
    <w:rsid w:val="0058538A"/>
    <w:rsid w:val="005A1D6B"/>
    <w:rsid w:val="005A1FA3"/>
    <w:rsid w:val="005A2CCD"/>
    <w:rsid w:val="005A7671"/>
    <w:rsid w:val="005B53A5"/>
    <w:rsid w:val="005C1C87"/>
    <w:rsid w:val="005C3F29"/>
    <w:rsid w:val="005E56EE"/>
    <w:rsid w:val="005F69FC"/>
    <w:rsid w:val="005F6F43"/>
    <w:rsid w:val="005F7AF9"/>
    <w:rsid w:val="00601B86"/>
    <w:rsid w:val="00603E12"/>
    <w:rsid w:val="00613053"/>
    <w:rsid w:val="00615917"/>
    <w:rsid w:val="006200A3"/>
    <w:rsid w:val="00625E80"/>
    <w:rsid w:val="00640D54"/>
    <w:rsid w:val="0066387C"/>
    <w:rsid w:val="0067012C"/>
    <w:rsid w:val="00675B40"/>
    <w:rsid w:val="006839BB"/>
    <w:rsid w:val="00686AC9"/>
    <w:rsid w:val="00687246"/>
    <w:rsid w:val="0069062C"/>
    <w:rsid w:val="006A068F"/>
    <w:rsid w:val="006A3A17"/>
    <w:rsid w:val="006A51E3"/>
    <w:rsid w:val="006A5A04"/>
    <w:rsid w:val="006C76F2"/>
    <w:rsid w:val="006D3251"/>
    <w:rsid w:val="006D791F"/>
    <w:rsid w:val="006E5F33"/>
    <w:rsid w:val="006E6CBF"/>
    <w:rsid w:val="006F40EF"/>
    <w:rsid w:val="00702176"/>
    <w:rsid w:val="00715015"/>
    <w:rsid w:val="00744233"/>
    <w:rsid w:val="007557BE"/>
    <w:rsid w:val="00755AF1"/>
    <w:rsid w:val="007661E1"/>
    <w:rsid w:val="00766FDE"/>
    <w:rsid w:val="0077198C"/>
    <w:rsid w:val="0077719D"/>
    <w:rsid w:val="00782A87"/>
    <w:rsid w:val="00790D62"/>
    <w:rsid w:val="00797448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802568"/>
    <w:rsid w:val="0080722F"/>
    <w:rsid w:val="008144A6"/>
    <w:rsid w:val="0082137D"/>
    <w:rsid w:val="00832964"/>
    <w:rsid w:val="00835AB0"/>
    <w:rsid w:val="00856F98"/>
    <w:rsid w:val="00865306"/>
    <w:rsid w:val="0086619B"/>
    <w:rsid w:val="00870ECD"/>
    <w:rsid w:val="008771E1"/>
    <w:rsid w:val="00881CAC"/>
    <w:rsid w:val="0089645A"/>
    <w:rsid w:val="00897EE2"/>
    <w:rsid w:val="008A6482"/>
    <w:rsid w:val="008A711B"/>
    <w:rsid w:val="008B3F69"/>
    <w:rsid w:val="008C1809"/>
    <w:rsid w:val="008C3087"/>
    <w:rsid w:val="008D0E6A"/>
    <w:rsid w:val="008D423C"/>
    <w:rsid w:val="0090336E"/>
    <w:rsid w:val="009058EA"/>
    <w:rsid w:val="009063CB"/>
    <w:rsid w:val="0091792C"/>
    <w:rsid w:val="00921D9B"/>
    <w:rsid w:val="00927780"/>
    <w:rsid w:val="0093089A"/>
    <w:rsid w:val="00932F33"/>
    <w:rsid w:val="00935D89"/>
    <w:rsid w:val="00936DCC"/>
    <w:rsid w:val="00937FF8"/>
    <w:rsid w:val="00944AD2"/>
    <w:rsid w:val="00950FFD"/>
    <w:rsid w:val="00951592"/>
    <w:rsid w:val="00953E5C"/>
    <w:rsid w:val="00975531"/>
    <w:rsid w:val="00981843"/>
    <w:rsid w:val="0098695B"/>
    <w:rsid w:val="0098722F"/>
    <w:rsid w:val="0099235B"/>
    <w:rsid w:val="00993639"/>
    <w:rsid w:val="00997BD5"/>
    <w:rsid w:val="009B31C4"/>
    <w:rsid w:val="009B5FDF"/>
    <w:rsid w:val="009C773D"/>
    <w:rsid w:val="009D194A"/>
    <w:rsid w:val="009D50C6"/>
    <w:rsid w:val="009E3336"/>
    <w:rsid w:val="009E664F"/>
    <w:rsid w:val="009F1447"/>
    <w:rsid w:val="009F7327"/>
    <w:rsid w:val="009F7762"/>
    <w:rsid w:val="00A04A47"/>
    <w:rsid w:val="00A04B1C"/>
    <w:rsid w:val="00A16996"/>
    <w:rsid w:val="00A23A23"/>
    <w:rsid w:val="00A26250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90EAF"/>
    <w:rsid w:val="00A975B1"/>
    <w:rsid w:val="00AA0239"/>
    <w:rsid w:val="00AA1935"/>
    <w:rsid w:val="00AA650E"/>
    <w:rsid w:val="00AB56F9"/>
    <w:rsid w:val="00AD2E39"/>
    <w:rsid w:val="00AD30CC"/>
    <w:rsid w:val="00AE1077"/>
    <w:rsid w:val="00AF411A"/>
    <w:rsid w:val="00AF69E1"/>
    <w:rsid w:val="00B1088B"/>
    <w:rsid w:val="00B12A80"/>
    <w:rsid w:val="00B17FAE"/>
    <w:rsid w:val="00B26235"/>
    <w:rsid w:val="00B369ED"/>
    <w:rsid w:val="00B375D9"/>
    <w:rsid w:val="00B4071C"/>
    <w:rsid w:val="00B42C54"/>
    <w:rsid w:val="00B43BBE"/>
    <w:rsid w:val="00B44F5C"/>
    <w:rsid w:val="00B7758E"/>
    <w:rsid w:val="00B92A4C"/>
    <w:rsid w:val="00B977F0"/>
    <w:rsid w:val="00B97A02"/>
    <w:rsid w:val="00BA4F0D"/>
    <w:rsid w:val="00BA6A90"/>
    <w:rsid w:val="00BB1883"/>
    <w:rsid w:val="00BC74AD"/>
    <w:rsid w:val="00BD71C7"/>
    <w:rsid w:val="00BF4142"/>
    <w:rsid w:val="00BF7A1A"/>
    <w:rsid w:val="00C173E2"/>
    <w:rsid w:val="00C17CBA"/>
    <w:rsid w:val="00C32E8C"/>
    <w:rsid w:val="00C33BF8"/>
    <w:rsid w:val="00C518AA"/>
    <w:rsid w:val="00C577ED"/>
    <w:rsid w:val="00C65CA5"/>
    <w:rsid w:val="00C70747"/>
    <w:rsid w:val="00C7286D"/>
    <w:rsid w:val="00C77DBF"/>
    <w:rsid w:val="00C81E17"/>
    <w:rsid w:val="00C84EAC"/>
    <w:rsid w:val="00C876AB"/>
    <w:rsid w:val="00C94ED0"/>
    <w:rsid w:val="00C9570E"/>
    <w:rsid w:val="00C96584"/>
    <w:rsid w:val="00CA469C"/>
    <w:rsid w:val="00CD56E8"/>
    <w:rsid w:val="00CE4826"/>
    <w:rsid w:val="00CE59E9"/>
    <w:rsid w:val="00D078E8"/>
    <w:rsid w:val="00D235F9"/>
    <w:rsid w:val="00D27679"/>
    <w:rsid w:val="00D27B1C"/>
    <w:rsid w:val="00D305A6"/>
    <w:rsid w:val="00D42C93"/>
    <w:rsid w:val="00D611AC"/>
    <w:rsid w:val="00D6641F"/>
    <w:rsid w:val="00D66BD2"/>
    <w:rsid w:val="00D97DA4"/>
    <w:rsid w:val="00DA14E0"/>
    <w:rsid w:val="00DA6557"/>
    <w:rsid w:val="00DC0A6A"/>
    <w:rsid w:val="00DD7B3B"/>
    <w:rsid w:val="00DE2CB5"/>
    <w:rsid w:val="00DE4886"/>
    <w:rsid w:val="00DF11F4"/>
    <w:rsid w:val="00DF1889"/>
    <w:rsid w:val="00DF2F70"/>
    <w:rsid w:val="00DF5C3E"/>
    <w:rsid w:val="00E03A21"/>
    <w:rsid w:val="00E102BF"/>
    <w:rsid w:val="00E11CA8"/>
    <w:rsid w:val="00E15414"/>
    <w:rsid w:val="00E17317"/>
    <w:rsid w:val="00E23CED"/>
    <w:rsid w:val="00E43367"/>
    <w:rsid w:val="00E43916"/>
    <w:rsid w:val="00E64A5A"/>
    <w:rsid w:val="00E73CB6"/>
    <w:rsid w:val="00E74F77"/>
    <w:rsid w:val="00E85AFB"/>
    <w:rsid w:val="00E91EC7"/>
    <w:rsid w:val="00E94999"/>
    <w:rsid w:val="00EB058A"/>
    <w:rsid w:val="00EB0BE2"/>
    <w:rsid w:val="00EC072E"/>
    <w:rsid w:val="00EC59FC"/>
    <w:rsid w:val="00ED4B57"/>
    <w:rsid w:val="00EE4350"/>
    <w:rsid w:val="00EE593D"/>
    <w:rsid w:val="00EE6A20"/>
    <w:rsid w:val="00EF235C"/>
    <w:rsid w:val="00EF668B"/>
    <w:rsid w:val="00F06541"/>
    <w:rsid w:val="00F1589F"/>
    <w:rsid w:val="00F16559"/>
    <w:rsid w:val="00F24D77"/>
    <w:rsid w:val="00F30F5C"/>
    <w:rsid w:val="00F31014"/>
    <w:rsid w:val="00F55E6E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B6C32"/>
    <w:rsid w:val="00FC74DE"/>
    <w:rsid w:val="00FF1A36"/>
    <w:rsid w:val="02953679"/>
    <w:rsid w:val="05526FCB"/>
    <w:rsid w:val="14947825"/>
    <w:rsid w:val="1726124B"/>
    <w:rsid w:val="22B65EE2"/>
    <w:rsid w:val="24535730"/>
    <w:rsid w:val="25CE4213"/>
    <w:rsid w:val="2AB20927"/>
    <w:rsid w:val="333D20A8"/>
    <w:rsid w:val="3934034A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  <w:rsid w:val="7CB7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11B0"/>
  <w15:docId w15:val="{2C18A2AB-F54B-48E5-AF41-42A71EB6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2567</Characters>
  <Application>Microsoft Office Word</Application>
  <DocSecurity>0</DocSecurity>
  <Lines>21</Lines>
  <Paragraphs>6</Paragraphs>
  <ScaleCrop>false</ScaleCrop>
  <Company>Organization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2025-03-03T06:29:00Z</dcterms:created>
  <dcterms:modified xsi:type="dcterms:W3CDTF">2025-03-03T06:29:00Z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7D86EF97993E4813AFEC850CD688178F</vt:lpwstr>
  </property>
  <property fmtid="{D5CDD505-2E9C-101B-9397-08002B2CF9AE}" pid="4" name="KSOTemplateDocerSaveRecord">
    <vt:lpwstr>eyJoZGlkIjoiZjQ3YTdiMjQ1NWFmNWUwYjU2MWIxNzFlNGU0MWM0NjgiLCJ1c2VySWQiOiIxNjQ0NTk5Mzc4In0=</vt:lpwstr>
  </property>
</Properties>
</file>