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F9BDB">
      <w:pPr>
        <w:spacing w:line="360" w:lineRule="auto"/>
        <w:rPr>
          <w:rFonts w:ascii="宋体" w:hAnsi="宋体" w:eastAsia="宋体"/>
          <w:b/>
          <w:sz w:val="24"/>
          <w:szCs w:val="24"/>
        </w:rPr>
      </w:pPr>
      <w:r>
        <w:rPr>
          <w:rFonts w:hint="eastAsia" w:ascii="宋体" w:hAnsi="宋体" w:eastAsia="宋体"/>
          <w:b/>
          <w:sz w:val="24"/>
          <w:szCs w:val="24"/>
          <w:highlight w:val="yellow"/>
        </w:rPr>
        <w:t>一、项目名称</w:t>
      </w:r>
    </w:p>
    <w:p w14:paraId="0EECEECA">
      <w:pPr>
        <w:spacing w:line="360" w:lineRule="auto"/>
        <w:rPr>
          <w:rFonts w:ascii="宋体" w:hAnsi="宋体" w:eastAsia="宋体" w:cs="宋体"/>
          <w:kern w:val="0"/>
          <w:sz w:val="24"/>
          <w:szCs w:val="24"/>
        </w:rPr>
      </w:pPr>
      <w:r>
        <w:rPr>
          <w:rFonts w:hint="eastAsia" w:ascii="宋体" w:hAnsi="宋体" w:eastAsia="宋体" w:cs="宋体"/>
          <w:kern w:val="0"/>
          <w:sz w:val="24"/>
          <w:szCs w:val="24"/>
        </w:rPr>
        <w:t>上海交通大学医学院附属新华医院奉贤院区食堂餐饮管理服务项目</w:t>
      </w:r>
    </w:p>
    <w:p w14:paraId="642DBDFF">
      <w:pPr>
        <w:spacing w:line="360" w:lineRule="auto"/>
        <w:rPr>
          <w:rFonts w:ascii="宋体" w:hAnsi="宋体" w:eastAsia="宋体"/>
          <w:b/>
          <w:sz w:val="24"/>
          <w:szCs w:val="24"/>
        </w:rPr>
      </w:pPr>
      <w:r>
        <w:rPr>
          <w:rFonts w:hint="eastAsia" w:ascii="宋体" w:hAnsi="宋体" w:eastAsia="宋体"/>
          <w:b/>
          <w:sz w:val="24"/>
          <w:szCs w:val="24"/>
          <w:highlight w:val="yellow"/>
        </w:rPr>
        <w:t>二、项目参数</w:t>
      </w:r>
    </w:p>
    <w:p w14:paraId="49DEDC9E">
      <w:pPr>
        <w:spacing w:line="360" w:lineRule="auto"/>
        <w:rPr>
          <w:rFonts w:ascii="宋体" w:hAnsi="宋体" w:eastAsia="宋体"/>
          <w:b/>
          <w:sz w:val="24"/>
          <w:szCs w:val="24"/>
        </w:rPr>
      </w:pPr>
      <w:r>
        <w:rPr>
          <w:rFonts w:hint="eastAsia" w:ascii="宋体" w:hAnsi="宋体" w:eastAsia="宋体"/>
          <w:b/>
          <w:sz w:val="24"/>
          <w:szCs w:val="24"/>
          <w:highlight w:val="cyan"/>
        </w:rPr>
        <w:t>（一）名称</w:t>
      </w:r>
    </w:p>
    <w:p w14:paraId="40BF08E5">
      <w:pPr>
        <w:spacing w:line="360" w:lineRule="auto"/>
        <w:rPr>
          <w:rFonts w:ascii="宋体" w:hAnsi="宋体" w:eastAsia="宋体"/>
          <w:sz w:val="24"/>
          <w:szCs w:val="24"/>
        </w:rPr>
      </w:pPr>
      <w:r>
        <w:rPr>
          <w:rFonts w:hint="eastAsia" w:ascii="宋体" w:hAnsi="宋体" w:eastAsia="宋体"/>
          <w:sz w:val="24"/>
          <w:szCs w:val="24"/>
        </w:rPr>
        <w:t>奉贤院区食堂餐饮管理服务</w:t>
      </w:r>
    </w:p>
    <w:p w14:paraId="0FA93E63">
      <w:pPr>
        <w:spacing w:line="360" w:lineRule="auto"/>
        <w:rPr>
          <w:rFonts w:ascii="宋体" w:hAnsi="宋体" w:eastAsia="宋体"/>
          <w:b/>
          <w:sz w:val="24"/>
          <w:szCs w:val="24"/>
        </w:rPr>
      </w:pPr>
      <w:r>
        <w:rPr>
          <w:rFonts w:hint="eastAsia" w:ascii="宋体" w:hAnsi="宋体" w:eastAsia="宋体"/>
          <w:b/>
          <w:sz w:val="24"/>
          <w:szCs w:val="24"/>
          <w:highlight w:val="cyan"/>
        </w:rPr>
        <w:t>（二）最高限价</w:t>
      </w:r>
    </w:p>
    <w:p w14:paraId="132F8C68">
      <w:pPr>
        <w:spacing w:line="360" w:lineRule="auto"/>
        <w:rPr>
          <w:rFonts w:ascii="宋体" w:hAnsi="宋体" w:eastAsia="宋体"/>
          <w:color w:val="FF0000"/>
          <w:sz w:val="24"/>
          <w:szCs w:val="24"/>
        </w:rPr>
      </w:pPr>
      <w:r>
        <w:rPr>
          <w:rFonts w:ascii="宋体" w:hAnsi="宋体" w:eastAsia="宋体"/>
          <w:color w:val="FF0000"/>
          <w:sz w:val="24"/>
          <w:szCs w:val="24"/>
        </w:rPr>
        <w:t>人民币</w:t>
      </w:r>
      <w:r>
        <w:rPr>
          <w:rFonts w:hint="eastAsia" w:ascii="宋体" w:hAnsi="宋体" w:eastAsia="宋体"/>
          <w:color w:val="FF0000"/>
          <w:sz w:val="24"/>
          <w:szCs w:val="24"/>
        </w:rPr>
        <w:t>1</w:t>
      </w:r>
      <w:r>
        <w:rPr>
          <w:rFonts w:ascii="宋体" w:hAnsi="宋体" w:eastAsia="宋体"/>
          <w:color w:val="FF0000"/>
          <w:sz w:val="24"/>
          <w:szCs w:val="24"/>
        </w:rPr>
        <w:t>,164.80万元</w:t>
      </w:r>
    </w:p>
    <w:p w14:paraId="0CB4615D">
      <w:pPr>
        <w:spacing w:line="360" w:lineRule="auto"/>
        <w:rPr>
          <w:rFonts w:ascii="宋体" w:hAnsi="宋体" w:eastAsia="宋体"/>
          <w:b/>
          <w:sz w:val="24"/>
          <w:szCs w:val="24"/>
        </w:rPr>
      </w:pPr>
      <w:r>
        <w:rPr>
          <w:rFonts w:hint="eastAsia" w:ascii="宋体" w:hAnsi="宋体" w:eastAsia="宋体"/>
          <w:b/>
          <w:sz w:val="24"/>
          <w:szCs w:val="24"/>
          <w:highlight w:val="cyan"/>
        </w:rPr>
        <w:t>（三）资格条件</w:t>
      </w:r>
    </w:p>
    <w:p w14:paraId="7F07D611">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投标人</w:t>
      </w:r>
      <w:r>
        <w:rPr>
          <w:rFonts w:ascii="宋体" w:hAnsi="宋体" w:eastAsia="宋体"/>
          <w:sz w:val="24"/>
          <w:szCs w:val="24"/>
        </w:rPr>
        <w:t>须具有独立承担民事责任的能力；</w:t>
      </w:r>
    </w:p>
    <w:p w14:paraId="6AAC4D99">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投标人</w:t>
      </w:r>
      <w:r>
        <w:rPr>
          <w:rFonts w:ascii="宋体" w:hAnsi="宋体" w:eastAsia="宋体"/>
          <w:sz w:val="24"/>
          <w:szCs w:val="24"/>
        </w:rPr>
        <w:t>须具有良好的商业信誉和健全的财务会计制度；</w:t>
      </w:r>
    </w:p>
    <w:p w14:paraId="6F29D77F">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投标人</w:t>
      </w:r>
      <w:r>
        <w:rPr>
          <w:rFonts w:ascii="宋体" w:hAnsi="宋体" w:eastAsia="宋体"/>
          <w:sz w:val="24"/>
          <w:szCs w:val="24"/>
        </w:rPr>
        <w:t>须具有履行合同所必需的设备和专业技术能力；</w:t>
      </w:r>
    </w:p>
    <w:p w14:paraId="333D1913">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投标人</w:t>
      </w:r>
      <w:r>
        <w:rPr>
          <w:rFonts w:ascii="宋体" w:hAnsi="宋体" w:eastAsia="宋体"/>
          <w:sz w:val="24"/>
          <w:szCs w:val="24"/>
        </w:rPr>
        <w:t xml:space="preserve">须有依法缴纳税收和社会保障资金的良好记录； </w:t>
      </w:r>
    </w:p>
    <w:p w14:paraId="49F7C425">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投标人</w:t>
      </w:r>
      <w:r>
        <w:rPr>
          <w:rFonts w:ascii="宋体" w:hAnsi="宋体" w:eastAsia="宋体"/>
          <w:sz w:val="24"/>
          <w:szCs w:val="24"/>
        </w:rPr>
        <w:t>参加政府采购活动前三年内，在经营活动中没有重大违法记录；</w:t>
      </w:r>
    </w:p>
    <w:p w14:paraId="412C9BE7">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投标人</w:t>
      </w:r>
      <w:r>
        <w:rPr>
          <w:rFonts w:ascii="宋体" w:hAnsi="宋体" w:eastAsia="宋体"/>
          <w:sz w:val="24"/>
          <w:szCs w:val="24"/>
        </w:rPr>
        <w:t>在近三年内未被国家财政部指定的“信用中国”网站（www.creditchina.gov.cn）、“中国政府采购网”（www.ccgp.gov.cn）列入失信被执行人、重大税收违法案件当事人名单、政府采购严重违法失信名单；</w:t>
      </w:r>
    </w:p>
    <w:p w14:paraId="6765CC4D">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7）单位负责人为同一人或者存在直接控股、管理关系的不同单位，不得参加同一包件的竞争或者未划分包件的同一采购项目的竞争；</w:t>
      </w:r>
    </w:p>
    <w:p w14:paraId="3F308B53">
      <w:pPr>
        <w:spacing w:line="360" w:lineRule="auto"/>
        <w:ind w:firstLine="480" w:firstLineChars="200"/>
        <w:rPr>
          <w:rFonts w:ascii="宋体" w:hAnsi="宋体" w:eastAsia="宋体"/>
          <w:color w:val="FF0000"/>
          <w:sz w:val="24"/>
          <w:szCs w:val="24"/>
        </w:rPr>
      </w:pPr>
      <w:r>
        <w:rPr>
          <w:rFonts w:ascii="宋体" w:hAnsi="宋体" w:eastAsia="宋体"/>
          <w:color w:val="FF0000"/>
          <w:sz w:val="24"/>
          <w:szCs w:val="24"/>
        </w:rPr>
        <w:t>（</w:t>
      </w:r>
      <w:r>
        <w:rPr>
          <w:rFonts w:hint="eastAsia" w:ascii="宋体" w:hAnsi="宋体" w:eastAsia="宋体"/>
          <w:color w:val="FF0000"/>
          <w:sz w:val="24"/>
          <w:szCs w:val="24"/>
        </w:rPr>
        <w:t>8</w:t>
      </w:r>
      <w:r>
        <w:rPr>
          <w:rFonts w:ascii="宋体" w:hAnsi="宋体" w:eastAsia="宋体"/>
          <w:color w:val="FF0000"/>
          <w:sz w:val="24"/>
          <w:szCs w:val="24"/>
        </w:rPr>
        <w:t>）投标人须具有《</w:t>
      </w:r>
      <w:r>
        <w:rPr>
          <w:rFonts w:hint="eastAsia" w:ascii="宋体" w:hAnsi="宋体" w:eastAsia="宋体"/>
          <w:color w:val="FF0000"/>
          <w:sz w:val="24"/>
          <w:szCs w:val="24"/>
        </w:rPr>
        <w:t>食品经营许可证</w:t>
      </w:r>
      <w:r>
        <w:rPr>
          <w:rFonts w:ascii="宋体" w:hAnsi="宋体" w:eastAsia="宋体"/>
          <w:color w:val="FF0000"/>
          <w:sz w:val="24"/>
          <w:szCs w:val="24"/>
        </w:rPr>
        <w:t>》；</w:t>
      </w:r>
    </w:p>
    <w:p w14:paraId="73910C8C">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9）本项目不接受联合体投标。</w:t>
      </w:r>
    </w:p>
    <w:p w14:paraId="475B8894">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法律、行政法规规定的其他条件。</w:t>
      </w:r>
    </w:p>
    <w:p w14:paraId="75E331C1">
      <w:pPr>
        <w:spacing w:line="360" w:lineRule="auto"/>
        <w:rPr>
          <w:rFonts w:ascii="宋体" w:hAnsi="宋体" w:eastAsia="宋体"/>
          <w:b/>
          <w:sz w:val="24"/>
          <w:szCs w:val="24"/>
        </w:rPr>
      </w:pPr>
      <w:r>
        <w:rPr>
          <w:rFonts w:hint="eastAsia" w:ascii="宋体" w:hAnsi="宋体" w:eastAsia="宋体"/>
          <w:b/>
          <w:sz w:val="24"/>
          <w:szCs w:val="24"/>
          <w:highlight w:val="cyan"/>
        </w:rPr>
        <w:t>（四）功能及技术参数</w:t>
      </w:r>
    </w:p>
    <w:p w14:paraId="003F53A8">
      <w:pPr>
        <w:spacing w:line="360" w:lineRule="auto"/>
        <w:ind w:firstLine="482" w:firstLineChars="200"/>
        <w:rPr>
          <w:rFonts w:ascii="宋体" w:hAnsi="宋体" w:eastAsia="宋体"/>
          <w:b/>
          <w:sz w:val="24"/>
          <w:szCs w:val="24"/>
        </w:rPr>
      </w:pPr>
      <w:r>
        <w:rPr>
          <w:rFonts w:ascii="宋体" w:hAnsi="宋体" w:eastAsia="宋体"/>
          <w:b/>
          <w:sz w:val="24"/>
          <w:szCs w:val="24"/>
        </w:rPr>
        <w:t>一、项目概况</w:t>
      </w:r>
    </w:p>
    <w:p w14:paraId="068450B2">
      <w:pPr>
        <w:spacing w:line="360" w:lineRule="auto"/>
        <w:ind w:firstLine="480" w:firstLineChars="200"/>
        <w:rPr>
          <w:rFonts w:ascii="宋体" w:hAnsi="宋体" w:eastAsia="宋体"/>
          <w:sz w:val="24"/>
          <w:szCs w:val="24"/>
        </w:rPr>
      </w:pPr>
      <w:r>
        <w:rPr>
          <w:rFonts w:ascii="宋体" w:hAnsi="宋体" w:eastAsia="宋体"/>
          <w:sz w:val="24"/>
          <w:szCs w:val="24"/>
        </w:rPr>
        <w:t>1、服务地点：</w:t>
      </w:r>
      <w:r>
        <w:rPr>
          <w:rFonts w:hint="eastAsia" w:ascii="宋体" w:hAnsi="宋体" w:eastAsia="宋体"/>
          <w:sz w:val="24"/>
          <w:szCs w:val="24"/>
        </w:rPr>
        <w:t>新华医院奉贤院区</w:t>
      </w:r>
    </w:p>
    <w:p w14:paraId="1D186E0B">
      <w:pPr>
        <w:spacing w:line="360" w:lineRule="auto"/>
        <w:ind w:firstLine="480" w:firstLineChars="200"/>
        <w:rPr>
          <w:rFonts w:ascii="宋体" w:hAnsi="宋体" w:eastAsia="宋体"/>
          <w:sz w:val="24"/>
          <w:szCs w:val="24"/>
        </w:rPr>
      </w:pPr>
      <w:r>
        <w:rPr>
          <w:rFonts w:ascii="宋体" w:hAnsi="宋体" w:eastAsia="宋体"/>
          <w:sz w:val="24"/>
          <w:szCs w:val="24"/>
        </w:rPr>
        <w:t>2、服务</w:t>
      </w:r>
      <w:r>
        <w:rPr>
          <w:rFonts w:hint="eastAsia" w:ascii="宋体" w:hAnsi="宋体" w:eastAsia="宋体"/>
          <w:sz w:val="24"/>
          <w:szCs w:val="24"/>
        </w:rPr>
        <w:t>对象</w:t>
      </w:r>
      <w:r>
        <w:rPr>
          <w:rFonts w:ascii="宋体" w:hAnsi="宋体" w:eastAsia="宋体"/>
          <w:sz w:val="24"/>
          <w:szCs w:val="24"/>
        </w:rPr>
        <w:t>：</w:t>
      </w:r>
      <w:r>
        <w:rPr>
          <w:rFonts w:hint="eastAsia" w:ascii="宋体" w:hAnsi="宋体" w:eastAsia="宋体"/>
          <w:sz w:val="24"/>
          <w:szCs w:val="24"/>
        </w:rPr>
        <w:t>预计</w:t>
      </w:r>
      <w:r>
        <w:rPr>
          <w:rFonts w:ascii="宋体" w:hAnsi="宋体" w:eastAsia="宋体"/>
          <w:sz w:val="24"/>
          <w:szCs w:val="24"/>
        </w:rPr>
        <w:t>工作人员1000余人，</w:t>
      </w:r>
      <w:r>
        <w:rPr>
          <w:rFonts w:hint="eastAsia" w:ascii="宋体" w:hAnsi="宋体" w:eastAsia="宋体"/>
          <w:sz w:val="24"/>
          <w:szCs w:val="24"/>
        </w:rPr>
        <w:t>病人床位</w:t>
      </w:r>
      <w:r>
        <w:rPr>
          <w:rFonts w:ascii="宋体" w:hAnsi="宋体" w:eastAsia="宋体"/>
          <w:sz w:val="24"/>
          <w:szCs w:val="24"/>
        </w:rPr>
        <w:t>739张。</w:t>
      </w:r>
    </w:p>
    <w:p w14:paraId="4D426A5F">
      <w:pPr>
        <w:spacing w:line="360" w:lineRule="auto"/>
        <w:ind w:firstLine="480" w:firstLineChars="200"/>
        <w:rPr>
          <w:rFonts w:ascii="宋体" w:hAnsi="宋体" w:eastAsia="宋体"/>
          <w:sz w:val="24"/>
          <w:szCs w:val="24"/>
        </w:rPr>
      </w:pPr>
      <w:r>
        <w:rPr>
          <w:rFonts w:ascii="宋体" w:hAnsi="宋体" w:eastAsia="宋体"/>
          <w:sz w:val="24"/>
          <w:szCs w:val="24"/>
        </w:rPr>
        <w:t>3、服务范围：全年 365 天提供餐饮服务，提供全院配送服务，提供科室预订多种规格套餐可选、下午茶点服务、手术室误餐配送、手术室等区域服务保障以及招标人指定的其他餐饮保障</w:t>
      </w:r>
      <w:r>
        <w:rPr>
          <w:rFonts w:hint="eastAsia" w:ascii="宋体" w:hAnsi="宋体" w:eastAsia="宋体"/>
          <w:sz w:val="24"/>
          <w:szCs w:val="24"/>
        </w:rPr>
        <w:t>等</w:t>
      </w:r>
      <w:r>
        <w:rPr>
          <w:rFonts w:ascii="宋体" w:hAnsi="宋体" w:eastAsia="宋体"/>
          <w:sz w:val="24"/>
          <w:szCs w:val="24"/>
        </w:rPr>
        <w:t>服务</w:t>
      </w:r>
      <w:r>
        <w:rPr>
          <w:rFonts w:hint="eastAsia" w:ascii="宋体" w:hAnsi="宋体" w:eastAsia="宋体"/>
          <w:sz w:val="24"/>
          <w:szCs w:val="24"/>
        </w:rPr>
        <w:t>（配合</w:t>
      </w:r>
      <w:r>
        <w:rPr>
          <w:rFonts w:ascii="宋体" w:hAnsi="宋体" w:eastAsia="宋体"/>
          <w:sz w:val="24"/>
          <w:szCs w:val="24"/>
        </w:rPr>
        <w:t>做好过渡期间的餐饮协调保障工作。）。</w:t>
      </w:r>
    </w:p>
    <w:p w14:paraId="07F79834">
      <w:pPr>
        <w:spacing w:line="360" w:lineRule="auto"/>
        <w:ind w:firstLine="480" w:firstLineChars="200"/>
        <w:rPr>
          <w:rFonts w:ascii="宋体" w:hAnsi="宋体" w:eastAsia="宋体"/>
          <w:sz w:val="24"/>
          <w:szCs w:val="24"/>
        </w:rPr>
      </w:pPr>
      <w:r>
        <w:rPr>
          <w:rFonts w:ascii="宋体" w:hAnsi="宋体" w:eastAsia="宋体"/>
          <w:sz w:val="24"/>
          <w:szCs w:val="24"/>
        </w:rPr>
        <w:t xml:space="preserve"> 4、供餐模式及基本需求：</w:t>
      </w:r>
      <w:r>
        <w:rPr>
          <w:rFonts w:hint="eastAsia" w:ascii="宋体" w:hAnsi="宋体" w:eastAsia="宋体"/>
          <w:sz w:val="24"/>
          <w:szCs w:val="24"/>
        </w:rPr>
        <w:t>包括职工食堂和营养食堂，经营范围包含供应医院职工、以及住院病人每日膳食，每日供餐不得少于三餐</w:t>
      </w:r>
      <w:r>
        <w:rPr>
          <w:rFonts w:ascii="宋体" w:hAnsi="宋体" w:eastAsia="宋体"/>
          <w:sz w:val="24"/>
          <w:szCs w:val="24"/>
        </w:rPr>
        <w:t>。</w:t>
      </w:r>
    </w:p>
    <w:p w14:paraId="55CD0B47">
      <w:pPr>
        <w:spacing w:line="360" w:lineRule="auto"/>
        <w:ind w:firstLine="482" w:firstLineChars="200"/>
        <w:rPr>
          <w:rFonts w:ascii="宋体" w:hAnsi="宋体" w:eastAsia="宋体"/>
          <w:b/>
          <w:sz w:val="24"/>
          <w:szCs w:val="24"/>
        </w:rPr>
      </w:pPr>
      <w:r>
        <w:rPr>
          <w:rFonts w:hint="eastAsia" w:ascii="宋体" w:hAnsi="宋体" w:eastAsia="宋体"/>
          <w:b/>
          <w:sz w:val="24"/>
          <w:szCs w:val="24"/>
        </w:rPr>
        <w:t>二、项目服务内容</w:t>
      </w:r>
      <w:r>
        <w:rPr>
          <w:rFonts w:ascii="宋体" w:hAnsi="宋体" w:eastAsia="宋体"/>
          <w:b/>
          <w:sz w:val="24"/>
          <w:szCs w:val="24"/>
        </w:rPr>
        <w:t>与管理要求</w:t>
      </w:r>
    </w:p>
    <w:p w14:paraId="4539C6AF">
      <w:pPr>
        <w:spacing w:line="360" w:lineRule="auto"/>
        <w:ind w:firstLine="422" w:firstLineChars="200"/>
        <w:rPr>
          <w:rFonts w:ascii="宋体" w:hAnsi="宋体" w:eastAsia="宋体" w:cs="宋体"/>
          <w:b/>
          <w:spacing w:val="-15"/>
          <w:kern w:val="0"/>
          <w:sz w:val="24"/>
        </w:rPr>
      </w:pPr>
      <w:r>
        <w:rPr>
          <w:rFonts w:ascii="宋体" w:hAnsi="宋体" w:eastAsia="宋体" w:cs="宋体"/>
          <w:b/>
          <w:spacing w:val="-15"/>
          <w:kern w:val="0"/>
          <w:sz w:val="24"/>
        </w:rPr>
        <w:t>（一）</w:t>
      </w:r>
      <w:r>
        <w:rPr>
          <w:rFonts w:hint="eastAsia" w:ascii="宋体" w:hAnsi="宋体" w:eastAsia="宋体" w:cs="宋体"/>
          <w:b/>
          <w:spacing w:val="-15"/>
          <w:kern w:val="0"/>
          <w:sz w:val="24"/>
        </w:rPr>
        <w:t>职工食堂</w:t>
      </w:r>
    </w:p>
    <w:p w14:paraId="60F3DD1B">
      <w:pPr>
        <w:spacing w:line="360" w:lineRule="auto"/>
        <w:ind w:firstLine="400" w:firstLineChars="200"/>
        <w:rPr>
          <w:rFonts w:ascii="宋体" w:hAnsi="宋体" w:eastAsia="宋体" w:cs="宋体"/>
          <w:spacing w:val="-20"/>
          <w:kern w:val="0"/>
          <w:sz w:val="24"/>
        </w:rPr>
      </w:pPr>
      <w:r>
        <w:rPr>
          <w:rFonts w:hint="eastAsia" w:ascii="宋体" w:hAnsi="宋体" w:eastAsia="宋体" w:cs="宋体"/>
          <w:spacing w:val="-20"/>
          <w:kern w:val="0"/>
          <w:sz w:val="24"/>
        </w:rPr>
        <w:t>1</w:t>
      </w:r>
      <w:r>
        <w:rPr>
          <w:rFonts w:ascii="宋体" w:hAnsi="宋体" w:eastAsia="宋体" w:cs="宋体"/>
          <w:spacing w:val="-20"/>
          <w:kern w:val="0"/>
          <w:sz w:val="24"/>
        </w:rPr>
        <w:t xml:space="preserve">.早餐 </w:t>
      </w:r>
      <w:r>
        <w:rPr>
          <w:rFonts w:ascii="宋体" w:hAnsi="宋体" w:eastAsia="宋体" w:cs="宋体"/>
          <w:kern w:val="0"/>
          <w:sz w:val="24"/>
        </w:rPr>
        <w:t>6:30-8:30，供应小菜及面食、粥类、糕点、豆浆、牛奶多种主食</w:t>
      </w:r>
      <w:r>
        <w:rPr>
          <w:rFonts w:hint="eastAsia" w:ascii="宋体" w:hAnsi="宋体" w:eastAsia="宋体" w:cs="宋体"/>
          <w:kern w:val="0"/>
          <w:sz w:val="24"/>
        </w:rPr>
        <w:t>、</w:t>
      </w:r>
      <w:r>
        <w:rPr>
          <w:rFonts w:ascii="宋体" w:hAnsi="宋体" w:eastAsia="宋体" w:cs="宋体"/>
          <w:kern w:val="0"/>
          <w:sz w:val="24"/>
        </w:rPr>
        <w:t>点心等，品</w:t>
      </w:r>
      <w:r>
        <w:rPr>
          <w:rFonts w:ascii="宋体" w:hAnsi="宋体" w:eastAsia="宋体" w:cs="宋体"/>
          <w:spacing w:val="-12"/>
          <w:kern w:val="0"/>
          <w:sz w:val="24"/>
        </w:rPr>
        <w:t xml:space="preserve">种不少于 </w:t>
      </w:r>
      <w:r>
        <w:rPr>
          <w:rFonts w:ascii="宋体" w:hAnsi="宋体" w:eastAsia="宋体" w:cs="宋体"/>
          <w:kern w:val="0"/>
          <w:sz w:val="24"/>
        </w:rPr>
        <w:t>15</w:t>
      </w:r>
      <w:r>
        <w:rPr>
          <w:rFonts w:ascii="宋体" w:hAnsi="宋体" w:eastAsia="宋体" w:cs="宋体"/>
          <w:spacing w:val="-20"/>
          <w:kern w:val="0"/>
          <w:sz w:val="24"/>
        </w:rPr>
        <w:t xml:space="preserve"> 种。</w:t>
      </w:r>
    </w:p>
    <w:p w14:paraId="16EF0876">
      <w:pPr>
        <w:spacing w:line="360" w:lineRule="auto"/>
        <w:ind w:firstLine="400" w:firstLineChars="200"/>
        <w:rPr>
          <w:rFonts w:ascii="宋体" w:hAnsi="宋体" w:eastAsia="宋体" w:cs="宋体"/>
          <w:color w:val="FF0000"/>
          <w:spacing w:val="-8"/>
          <w:kern w:val="0"/>
          <w:sz w:val="24"/>
        </w:rPr>
      </w:pPr>
      <w:r>
        <w:rPr>
          <w:rFonts w:hint="eastAsia" w:ascii="宋体" w:hAnsi="宋体" w:eastAsia="宋体" w:cs="宋体"/>
          <w:color w:val="FF0000"/>
          <w:spacing w:val="-20"/>
          <w:kern w:val="0"/>
          <w:sz w:val="24"/>
        </w:rPr>
        <w:t>2</w:t>
      </w:r>
      <w:r>
        <w:rPr>
          <w:rFonts w:ascii="宋体" w:hAnsi="宋体" w:eastAsia="宋体" w:cs="宋体"/>
          <w:color w:val="FF0000"/>
          <w:spacing w:val="-20"/>
          <w:kern w:val="0"/>
          <w:sz w:val="24"/>
        </w:rPr>
        <w:t xml:space="preserve">.午餐 </w:t>
      </w:r>
      <w:r>
        <w:rPr>
          <w:rFonts w:ascii="宋体" w:hAnsi="宋体" w:eastAsia="宋体" w:cs="宋体"/>
          <w:color w:val="FF0000"/>
          <w:kern w:val="0"/>
          <w:sz w:val="24"/>
        </w:rPr>
        <w:t>10:30-13:30，</w:t>
      </w:r>
      <w:r>
        <w:rPr>
          <w:rFonts w:hint="eastAsia" w:ascii="宋体" w:hAnsi="宋体" w:eastAsia="宋体" w:cs="宋体"/>
          <w:color w:val="FF0000"/>
          <w:kern w:val="0"/>
          <w:sz w:val="24"/>
        </w:rPr>
        <w:t>供应零点、</w:t>
      </w:r>
      <w:r>
        <w:rPr>
          <w:rFonts w:ascii="宋体" w:hAnsi="宋体" w:eastAsia="宋体" w:cs="宋体"/>
          <w:color w:val="FF0000"/>
          <w:kern w:val="0"/>
          <w:sz w:val="24"/>
        </w:rPr>
        <w:t>面点、特色档口</w:t>
      </w:r>
      <w:r>
        <w:rPr>
          <w:rFonts w:ascii="宋体" w:hAnsi="宋体" w:eastAsia="宋体" w:cs="宋体"/>
          <w:color w:val="FF0000"/>
          <w:spacing w:val="-4"/>
          <w:kern w:val="0"/>
          <w:sz w:val="24"/>
        </w:rPr>
        <w:t>等。</w:t>
      </w:r>
      <w:r>
        <w:rPr>
          <w:rFonts w:hint="eastAsia" w:ascii="宋体" w:hAnsi="宋体" w:eastAsia="宋体" w:cs="宋体"/>
          <w:color w:val="FF0000"/>
          <w:spacing w:val="-4"/>
          <w:kern w:val="0"/>
          <w:sz w:val="24"/>
        </w:rPr>
        <w:t>每餐大荤≥</w:t>
      </w:r>
      <w:r>
        <w:rPr>
          <w:rFonts w:ascii="宋体" w:hAnsi="宋体" w:eastAsia="宋体" w:cs="宋体"/>
          <w:color w:val="FF0000"/>
          <w:spacing w:val="-4"/>
          <w:kern w:val="0"/>
          <w:sz w:val="24"/>
        </w:rPr>
        <w:t xml:space="preserve">6种、小荤≥6种、蔬菜≥4种；零点应至少保证 </w:t>
      </w:r>
      <w:r>
        <w:rPr>
          <w:rFonts w:ascii="宋体" w:hAnsi="宋体" w:eastAsia="宋体" w:cs="宋体"/>
          <w:color w:val="FF0000"/>
          <w:kern w:val="0"/>
          <w:sz w:val="24"/>
        </w:rPr>
        <w:t>16</w:t>
      </w:r>
      <w:r>
        <w:rPr>
          <w:rFonts w:ascii="宋体" w:hAnsi="宋体" w:eastAsia="宋体" w:cs="宋体"/>
          <w:color w:val="FF0000"/>
          <w:spacing w:val="-8"/>
          <w:kern w:val="0"/>
          <w:sz w:val="24"/>
        </w:rPr>
        <w:t xml:space="preserve"> 个品种及以上的食品供应；荤素搭配，按季节及时调整供应计划，基本套餐提前一周提供菜单，小炒类每月菜单更新率不低于40%；</w:t>
      </w:r>
      <w:r>
        <w:rPr>
          <w:rFonts w:ascii="宋体" w:hAnsi="宋体" w:eastAsia="宋体" w:cs="宋体"/>
          <w:color w:val="FF0000"/>
          <w:spacing w:val="-11"/>
          <w:kern w:val="0"/>
          <w:sz w:val="24"/>
        </w:rPr>
        <w:t>就餐标准：零点按实际点餐付费</w:t>
      </w:r>
      <w:r>
        <w:rPr>
          <w:rFonts w:ascii="宋体" w:hAnsi="宋体" w:eastAsia="宋体" w:cs="宋体"/>
          <w:color w:val="FF0000"/>
          <w:spacing w:val="-8"/>
          <w:kern w:val="0"/>
          <w:sz w:val="24"/>
        </w:rPr>
        <w:t>；午餐应考虑分批次、分时段提供就餐者点选，满足误餐人员用餐需求。</w:t>
      </w:r>
    </w:p>
    <w:p w14:paraId="4AEF4573">
      <w:pPr>
        <w:spacing w:line="360" w:lineRule="auto"/>
        <w:ind w:firstLine="400" w:firstLineChars="200"/>
        <w:rPr>
          <w:rFonts w:ascii="宋体" w:hAnsi="宋体" w:eastAsia="宋体" w:cs="宋体"/>
          <w:kern w:val="0"/>
          <w:sz w:val="24"/>
        </w:rPr>
      </w:pPr>
      <w:r>
        <w:rPr>
          <w:rFonts w:hint="eastAsia" w:ascii="宋体" w:hAnsi="宋体" w:eastAsia="宋体" w:cs="宋体"/>
          <w:spacing w:val="-20"/>
          <w:kern w:val="0"/>
          <w:sz w:val="24"/>
        </w:rPr>
        <w:t>3</w:t>
      </w:r>
      <w:r>
        <w:rPr>
          <w:rFonts w:ascii="宋体" w:hAnsi="宋体" w:eastAsia="宋体" w:cs="宋体"/>
          <w:spacing w:val="-20"/>
          <w:kern w:val="0"/>
          <w:sz w:val="24"/>
        </w:rPr>
        <w:t xml:space="preserve">.晚餐 </w:t>
      </w:r>
      <w:r>
        <w:rPr>
          <w:rFonts w:ascii="宋体" w:hAnsi="宋体" w:eastAsia="宋体" w:cs="宋体"/>
          <w:kern w:val="0"/>
          <w:sz w:val="24"/>
        </w:rPr>
        <w:t>16:30-20:00，</w:t>
      </w:r>
      <w:r>
        <w:rPr>
          <w:rFonts w:hint="eastAsia" w:ascii="宋体" w:hAnsi="宋体" w:eastAsia="宋体" w:cs="宋体"/>
          <w:color w:val="FF0000"/>
          <w:kern w:val="0"/>
          <w:sz w:val="24"/>
        </w:rPr>
        <w:t>每餐大荤≥</w:t>
      </w:r>
      <w:r>
        <w:rPr>
          <w:rFonts w:ascii="宋体" w:hAnsi="宋体" w:eastAsia="宋体" w:cs="宋体"/>
          <w:color w:val="FF0000"/>
          <w:kern w:val="0"/>
          <w:sz w:val="24"/>
        </w:rPr>
        <w:t>6种、小荤≥6种、蔬菜≥4种</w:t>
      </w:r>
      <w:r>
        <w:rPr>
          <w:rFonts w:ascii="宋体" w:hAnsi="宋体" w:eastAsia="宋体" w:cs="宋体"/>
          <w:kern w:val="0"/>
          <w:sz w:val="24"/>
        </w:rPr>
        <w:t>。供应品种满足就餐需求，套餐、面点等，按照</w:t>
      </w:r>
      <w:r>
        <w:rPr>
          <w:rFonts w:ascii="宋体" w:hAnsi="宋体" w:eastAsia="宋体" w:cs="宋体"/>
          <w:spacing w:val="-4"/>
          <w:kern w:val="0"/>
          <w:sz w:val="24"/>
        </w:rPr>
        <w:t>实际点餐付费</w:t>
      </w:r>
      <w:r>
        <w:rPr>
          <w:rFonts w:ascii="宋体" w:hAnsi="宋体" w:eastAsia="宋体" w:cs="宋体"/>
          <w:spacing w:val="-8"/>
          <w:kern w:val="0"/>
          <w:sz w:val="24"/>
        </w:rPr>
        <w:t>。</w:t>
      </w:r>
      <w:r>
        <w:rPr>
          <w:rFonts w:ascii="宋体" w:hAnsi="宋体" w:eastAsia="宋体" w:cs="宋体"/>
          <w:kern w:val="0"/>
          <w:sz w:val="24"/>
        </w:rPr>
        <w:t>手术室夜宵保证营养搭配，按时配送至手术室；其他夜宵点心根据职工需要后期评估推进。</w:t>
      </w:r>
    </w:p>
    <w:p w14:paraId="289C193F">
      <w:pPr>
        <w:autoSpaceDE w:val="0"/>
        <w:autoSpaceDN w:val="0"/>
        <w:spacing w:line="360" w:lineRule="auto"/>
        <w:ind w:firstLine="480" w:firstLineChars="200"/>
        <w:rPr>
          <w:rFonts w:ascii="宋体" w:hAnsi="宋体" w:eastAsia="宋体" w:cs="宋体"/>
          <w:spacing w:val="-15"/>
          <w:kern w:val="0"/>
          <w:sz w:val="24"/>
        </w:rPr>
      </w:pPr>
      <w:r>
        <w:rPr>
          <w:rFonts w:hint="eastAsia" w:ascii="宋体" w:hAnsi="宋体" w:eastAsia="宋体" w:cs="宋体"/>
          <w:kern w:val="0"/>
          <w:sz w:val="24"/>
        </w:rPr>
        <w:t>4</w:t>
      </w:r>
      <w:r>
        <w:rPr>
          <w:rFonts w:ascii="宋体" w:hAnsi="宋体" w:eastAsia="宋体" w:cs="宋体"/>
          <w:kern w:val="0"/>
          <w:sz w:val="24"/>
        </w:rPr>
        <w:t>.半成品、卤菜、熟食、点心等供选择外带，为职工提供方便。熟食、卤菜、点</w:t>
      </w:r>
      <w:r>
        <w:rPr>
          <w:rFonts w:ascii="宋体" w:hAnsi="宋体" w:eastAsia="宋体" w:cs="宋体"/>
          <w:spacing w:val="-2"/>
          <w:kern w:val="0"/>
          <w:sz w:val="24"/>
        </w:rPr>
        <w:t xml:space="preserve">心等要求现场新鲜加工制作，确保食品安全，从加工至销售不得超过 </w:t>
      </w:r>
      <w:r>
        <w:rPr>
          <w:rFonts w:ascii="宋体" w:hAnsi="宋体" w:eastAsia="宋体" w:cs="宋体"/>
          <w:kern w:val="0"/>
          <w:sz w:val="24"/>
        </w:rPr>
        <w:t>48</w:t>
      </w:r>
      <w:r>
        <w:rPr>
          <w:rFonts w:ascii="宋体" w:hAnsi="宋体" w:eastAsia="宋体" w:cs="宋体"/>
          <w:spacing w:val="-15"/>
          <w:kern w:val="0"/>
          <w:sz w:val="24"/>
        </w:rPr>
        <w:t xml:space="preserve"> 小时。</w:t>
      </w:r>
    </w:p>
    <w:p w14:paraId="372D073E">
      <w:pPr>
        <w:autoSpaceDE w:val="0"/>
        <w:autoSpaceDN w:val="0"/>
        <w:spacing w:line="360" w:lineRule="auto"/>
        <w:ind w:firstLine="480" w:firstLineChars="200"/>
        <w:contextualSpacing/>
        <w:jc w:val="left"/>
        <w:rPr>
          <w:rFonts w:ascii="宋体" w:hAnsi="宋体" w:eastAsia="宋体" w:cs="宋体"/>
          <w:kern w:val="0"/>
          <w:sz w:val="24"/>
        </w:rPr>
      </w:pPr>
      <w:r>
        <w:rPr>
          <w:rFonts w:hint="eastAsia" w:ascii="宋体" w:hAnsi="宋体" w:eastAsia="宋体" w:cs="宋体"/>
          <w:kern w:val="0"/>
          <w:sz w:val="24"/>
        </w:rPr>
        <w:t>5</w:t>
      </w:r>
      <w:r>
        <w:rPr>
          <w:rFonts w:ascii="宋体" w:hAnsi="宋体" w:eastAsia="宋体" w:cs="宋体"/>
          <w:kern w:val="0"/>
          <w:sz w:val="24"/>
        </w:rPr>
        <w:t>.</w:t>
      </w:r>
      <w:r>
        <w:rPr>
          <w:rFonts w:hint="eastAsia" w:ascii="宋体" w:hAnsi="宋体" w:eastAsia="宋体" w:cs="宋体"/>
          <w:kern w:val="0"/>
          <w:sz w:val="24"/>
        </w:rPr>
        <w:t>提供净菜、半成品菜售卖；</w:t>
      </w:r>
    </w:p>
    <w:p w14:paraId="26AD546A">
      <w:pPr>
        <w:autoSpaceDE w:val="0"/>
        <w:autoSpaceDN w:val="0"/>
        <w:spacing w:line="360" w:lineRule="auto"/>
        <w:ind w:firstLine="480" w:firstLineChars="200"/>
        <w:contextualSpacing/>
        <w:jc w:val="left"/>
        <w:rPr>
          <w:rFonts w:ascii="宋体" w:hAnsi="宋体" w:eastAsia="宋体" w:cs="宋体"/>
          <w:kern w:val="0"/>
          <w:sz w:val="24"/>
        </w:rPr>
      </w:pPr>
      <w:r>
        <w:rPr>
          <w:rFonts w:hint="eastAsia" w:ascii="宋体" w:hAnsi="宋体" w:eastAsia="宋体" w:cs="宋体"/>
          <w:kern w:val="0"/>
          <w:sz w:val="24"/>
        </w:rPr>
        <w:t>6</w:t>
      </w:r>
      <w:r>
        <w:rPr>
          <w:rFonts w:ascii="宋体" w:hAnsi="宋体" w:eastAsia="宋体" w:cs="宋体"/>
          <w:kern w:val="0"/>
          <w:sz w:val="24"/>
        </w:rPr>
        <w:t>.</w:t>
      </w:r>
      <w:r>
        <w:rPr>
          <w:rFonts w:hint="eastAsia" w:ascii="宋体" w:hAnsi="宋体" w:eastAsia="宋体" w:cs="宋体"/>
          <w:kern w:val="0"/>
          <w:sz w:val="24"/>
        </w:rPr>
        <w:t>手术室配餐并送至手术室或手术室自助餐模式。</w:t>
      </w:r>
    </w:p>
    <w:p w14:paraId="48A8D152">
      <w:pPr>
        <w:spacing w:line="360" w:lineRule="auto"/>
        <w:ind w:firstLine="422" w:firstLineChars="200"/>
        <w:rPr>
          <w:rFonts w:ascii="宋体" w:hAnsi="宋体" w:eastAsia="宋体" w:cs="宋体"/>
          <w:b/>
          <w:spacing w:val="-15"/>
          <w:kern w:val="0"/>
          <w:sz w:val="24"/>
        </w:rPr>
      </w:pPr>
      <w:r>
        <w:rPr>
          <w:rFonts w:hint="eastAsia" w:ascii="宋体" w:hAnsi="宋体" w:eastAsia="宋体" w:cs="宋体"/>
          <w:b/>
          <w:spacing w:val="-15"/>
          <w:kern w:val="0"/>
          <w:sz w:val="24"/>
        </w:rPr>
        <w:t>（二）营养食堂</w:t>
      </w:r>
    </w:p>
    <w:p w14:paraId="0F7309BD">
      <w:pPr>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1.</w:t>
      </w:r>
      <w:r>
        <w:rPr>
          <w:rFonts w:hint="eastAsia" w:ascii="宋体" w:hAnsi="宋体" w:eastAsia="宋体" w:cs="宋体"/>
          <w:kern w:val="0"/>
          <w:sz w:val="24"/>
        </w:rPr>
        <w:t>营养治疗膳食专人专灶。能提供不同能量梯度的糖尿病、低脂、低盐、低蛋白、高蛋白、限铜、低嘌呤、少渣、少渣半流食、流食、清流食、匀浆等常规治疗膳食标准化套餐业务（具体参考上海市卫健委、临床营养质控中心等要求），每日普食套餐</w:t>
      </w:r>
      <w:r>
        <w:rPr>
          <w:rFonts w:ascii="宋体" w:hAnsi="宋体" w:eastAsia="宋体" w:cs="宋体"/>
          <w:kern w:val="0"/>
          <w:sz w:val="24"/>
        </w:rPr>
        <w:t>4种，其他每种治疗膳食套餐不低于2种，供患者选择，并且能提供上述治疗膳食套餐的食谱数据库和营养标签，其设计、制作符合营养治疗膳食应用原则和行标地标等标准要求；治疗膳食月平均就餐率应≥90%；有核对、尝膳、留样等记录；须第一时间处理患者对餐饮相关投诉事件，并作事件处理登记，包括原因、即时解决方案和后续相应措施等。</w:t>
      </w:r>
    </w:p>
    <w:p w14:paraId="4B494E0F">
      <w:pPr>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投标人提供智慧餐饮信息化管理平台，功能模块包括病人营养餐订餐送餐管理、采购管理、成本控制、生产安全管控、培训管理。营养餐系统能与医院</w:t>
      </w:r>
      <w:r>
        <w:rPr>
          <w:rFonts w:ascii="宋体" w:hAnsi="宋体" w:eastAsia="宋体" w:cs="宋体"/>
          <w:kern w:val="0"/>
          <w:sz w:val="24"/>
        </w:rPr>
        <w:t>HIS系统对接，提供HIS对接实际案例证明；有通过微信或其他在线下单和结算形式，按照病员饮食医嘱动态配制菜谱，提供营养分析菜单以及为特殊患者提供营养菜单，并能实现腕带扫码识别患者：须提供点餐系统介绍和系统实际操作界面截图；提供安全性能测试证明。</w:t>
      </w:r>
    </w:p>
    <w:p w14:paraId="56446A58">
      <w:pPr>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营养厨房部分设备和耗材需投标单位自行配备，包括但不局限于切配工具、粉碎机（流质，糊状饮食制作用）、封口机、洗刷工具、洗碗机、配置室消毒柜和留样冰箱、与餐车匹配的餐盘、一次性餐具等。</w:t>
      </w:r>
    </w:p>
    <w:p w14:paraId="19B08418">
      <w:pPr>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4.</w:t>
      </w:r>
      <w:r>
        <w:rPr>
          <w:rFonts w:hint="eastAsia" w:ascii="宋体" w:hAnsi="宋体" w:eastAsia="宋体" w:cs="宋体"/>
          <w:kern w:val="0"/>
          <w:sz w:val="24"/>
        </w:rPr>
        <w:t>投标方接受临床营养科对其日常工作的监督，并每月总结反馈日常工作情况。投标方和临床营养科每月对营养厨房做环境、物品和人员采样，同时医院院感科进行不定期采样检查，如有问题，须及时查找原因并做改进。同时，为提高营养厨房对患者餐饮服务，投标方人员部分奖金由临床营养科根据督查情况进行发放。</w:t>
      </w:r>
    </w:p>
    <w:p w14:paraId="23C84332">
      <w:pPr>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5.</w:t>
      </w:r>
      <w:r>
        <w:rPr>
          <w:rFonts w:hint="eastAsia" w:ascii="宋体" w:hAnsi="宋体" w:eastAsia="宋体" w:cs="宋体"/>
          <w:kern w:val="0"/>
          <w:sz w:val="24"/>
        </w:rPr>
        <w:t>未尽事宜按照最新上海市营养质控相关规定、国家相关法律法规进行。</w:t>
      </w:r>
    </w:p>
    <w:p w14:paraId="5FC269C2">
      <w:pPr>
        <w:autoSpaceDE w:val="0"/>
        <w:autoSpaceDN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rPr>
        <w:t>（三）其他服务</w:t>
      </w:r>
    </w:p>
    <w:p w14:paraId="406014B0">
      <w:pPr>
        <w:autoSpaceDE w:val="0"/>
        <w:autoSpaceDN w:val="0"/>
        <w:spacing w:line="360" w:lineRule="auto"/>
        <w:ind w:firstLine="480" w:firstLineChars="200"/>
        <w:contextualSpacing/>
        <w:jc w:val="left"/>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.特色</w:t>
      </w:r>
      <w:r>
        <w:rPr>
          <w:rFonts w:hint="eastAsia" w:ascii="宋体" w:hAnsi="宋体" w:eastAsia="宋体" w:cs="宋体"/>
          <w:kern w:val="0"/>
          <w:sz w:val="24"/>
        </w:rPr>
        <w:t>增值服务</w:t>
      </w:r>
    </w:p>
    <w:p w14:paraId="41067C47">
      <w:pPr>
        <w:autoSpaceDE w:val="0"/>
        <w:autoSpaceDN w:val="0"/>
        <w:spacing w:line="360" w:lineRule="auto"/>
        <w:ind w:firstLine="480" w:firstLineChars="200"/>
        <w:contextualSpacing/>
        <w:jc w:val="left"/>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1</w:t>
      </w:r>
      <w:r>
        <w:rPr>
          <w:rFonts w:ascii="宋体" w:hAnsi="宋体" w:eastAsia="宋体" w:cs="宋体"/>
          <w:kern w:val="0"/>
          <w:sz w:val="24"/>
        </w:rPr>
        <w:t>）节假日特供节气食品，除传统节日外须包含医师节、护士节、药师节、教师节等；</w:t>
      </w:r>
    </w:p>
    <w:p w14:paraId="30DA8F8D">
      <w:pPr>
        <w:autoSpaceDE w:val="0"/>
        <w:autoSpaceDN w:val="0"/>
        <w:spacing w:line="360" w:lineRule="auto"/>
        <w:ind w:firstLine="480" w:firstLineChars="200"/>
        <w:contextualSpacing/>
        <w:jc w:val="left"/>
        <w:rPr>
          <w:rFonts w:ascii="宋体" w:hAnsi="宋体" w:eastAsia="宋体" w:cs="宋体"/>
          <w:kern w:val="0"/>
          <w:sz w:val="24"/>
        </w:rPr>
      </w:pPr>
      <w:r>
        <w:rPr>
          <w:rFonts w:ascii="宋体" w:hAnsi="宋体" w:eastAsia="宋体" w:cs="宋体"/>
          <w:kern w:val="0"/>
          <w:sz w:val="24"/>
        </w:rPr>
        <w:t>美食节试吃品鉴会；</w:t>
      </w:r>
    </w:p>
    <w:p w14:paraId="4BC1F34E">
      <w:pPr>
        <w:autoSpaceDE w:val="0"/>
        <w:autoSpaceDN w:val="0"/>
        <w:spacing w:line="360" w:lineRule="auto"/>
        <w:ind w:firstLine="480" w:firstLineChars="200"/>
        <w:contextualSpacing/>
        <w:jc w:val="left"/>
        <w:rPr>
          <w:rFonts w:ascii="宋体" w:hAnsi="宋体" w:eastAsia="宋体" w:cs="宋体"/>
          <w:kern w:val="0"/>
          <w:sz w:val="24"/>
        </w:rPr>
      </w:pPr>
      <w:r>
        <w:rPr>
          <w:rFonts w:ascii="宋体" w:hAnsi="宋体" w:eastAsia="宋体" w:cs="宋体"/>
          <w:kern w:val="0"/>
          <w:sz w:val="24"/>
        </w:rPr>
        <w:t>节日点心 DIY；</w:t>
      </w:r>
    </w:p>
    <w:p w14:paraId="6A9FE46E">
      <w:pPr>
        <w:autoSpaceDE w:val="0"/>
        <w:autoSpaceDN w:val="0"/>
        <w:spacing w:line="360" w:lineRule="auto"/>
        <w:ind w:firstLine="480" w:firstLineChars="200"/>
        <w:contextualSpacing/>
        <w:jc w:val="left"/>
        <w:rPr>
          <w:rFonts w:ascii="宋体" w:hAnsi="宋体" w:eastAsia="宋体" w:cs="宋体"/>
          <w:kern w:val="0"/>
          <w:sz w:val="24"/>
        </w:rPr>
      </w:pPr>
      <w:r>
        <w:rPr>
          <w:rFonts w:ascii="宋体" w:hAnsi="宋体" w:eastAsia="宋体" w:cs="宋体"/>
          <w:kern w:val="0"/>
          <w:sz w:val="24"/>
        </w:rPr>
        <w:t>提供净菜熟食售卖；</w:t>
      </w:r>
    </w:p>
    <w:p w14:paraId="130B3BC9">
      <w:pPr>
        <w:autoSpaceDE w:val="0"/>
        <w:autoSpaceDN w:val="0"/>
        <w:spacing w:line="360" w:lineRule="auto"/>
        <w:ind w:firstLine="480" w:firstLineChars="200"/>
        <w:contextualSpacing/>
        <w:jc w:val="left"/>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5</w:t>
      </w:r>
      <w:r>
        <w:rPr>
          <w:rFonts w:ascii="宋体" w:hAnsi="宋体" w:eastAsia="宋体" w:cs="宋体"/>
          <w:kern w:val="0"/>
          <w:sz w:val="24"/>
        </w:rPr>
        <w:t>）文创产品以及相关活动</w:t>
      </w:r>
      <w:r>
        <w:rPr>
          <w:rFonts w:hint="eastAsia" w:ascii="宋体" w:hAnsi="宋体" w:eastAsia="宋体" w:cs="宋体"/>
          <w:kern w:val="0"/>
          <w:sz w:val="24"/>
        </w:rPr>
        <w:t>等</w:t>
      </w:r>
      <w:r>
        <w:rPr>
          <w:rFonts w:ascii="宋体" w:hAnsi="宋体" w:eastAsia="宋体" w:cs="宋体"/>
          <w:kern w:val="0"/>
          <w:sz w:val="24"/>
        </w:rPr>
        <w:t>。</w:t>
      </w:r>
    </w:p>
    <w:p w14:paraId="3101501C">
      <w:pPr>
        <w:tabs>
          <w:tab w:val="left" w:pos="648"/>
        </w:tabs>
        <w:autoSpaceDE w:val="0"/>
        <w:autoSpaceDN w:val="0"/>
        <w:spacing w:line="360" w:lineRule="auto"/>
        <w:ind w:firstLine="480" w:firstLineChars="200"/>
        <w:contextualSpacing/>
        <w:jc w:val="left"/>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.其他：科室订餐、会议就餐、公务接待用餐、学习班就餐、茶歇、圆桌餐等。</w:t>
      </w:r>
    </w:p>
    <w:p w14:paraId="1A6AFD98">
      <w:pPr>
        <w:tabs>
          <w:tab w:val="left" w:pos="648"/>
        </w:tabs>
        <w:autoSpaceDE w:val="0"/>
        <w:autoSpaceDN w:val="0"/>
        <w:spacing w:line="360" w:lineRule="auto"/>
        <w:ind w:firstLine="480" w:firstLineChars="200"/>
        <w:contextualSpacing/>
        <w:jc w:val="left"/>
        <w:rPr>
          <w:rFonts w:ascii="宋体" w:hAnsi="宋体" w:eastAsia="宋体" w:cs="宋体"/>
          <w:kern w:val="0"/>
          <w:sz w:val="24"/>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中标供应商应具备应对</w:t>
      </w:r>
      <w:r>
        <w:rPr>
          <w:rFonts w:ascii="宋体" w:hAnsi="宋体" w:eastAsia="宋体" w:cs="宋体"/>
          <w:kern w:val="0"/>
          <w:sz w:val="24"/>
        </w:rPr>
        <w:t>突发事件的</w:t>
      </w:r>
      <w:r>
        <w:rPr>
          <w:rFonts w:hint="eastAsia" w:ascii="宋体" w:hAnsi="宋体" w:eastAsia="宋体" w:cs="宋体"/>
          <w:kern w:val="0"/>
          <w:sz w:val="24"/>
        </w:rPr>
        <w:t>能力，</w:t>
      </w:r>
      <w:r>
        <w:rPr>
          <w:rFonts w:ascii="宋体" w:hAnsi="宋体" w:eastAsia="宋体" w:cs="宋体"/>
          <w:kern w:val="0"/>
          <w:sz w:val="24"/>
        </w:rPr>
        <w:t>应急保障须在接到招标方要求后两小时内送达。</w:t>
      </w:r>
    </w:p>
    <w:p w14:paraId="392CD29F">
      <w:pPr>
        <w:spacing w:line="360" w:lineRule="auto"/>
        <w:ind w:firstLine="482" w:firstLineChars="200"/>
        <w:rPr>
          <w:rFonts w:ascii="宋体" w:hAnsi="宋体" w:eastAsia="宋体"/>
          <w:b/>
          <w:sz w:val="24"/>
          <w:szCs w:val="24"/>
        </w:rPr>
      </w:pPr>
      <w:r>
        <w:rPr>
          <w:rFonts w:hint="eastAsia" w:ascii="宋体" w:hAnsi="宋体" w:eastAsia="宋体"/>
          <w:b/>
          <w:sz w:val="24"/>
          <w:szCs w:val="24"/>
        </w:rPr>
        <w:t>三、</w:t>
      </w:r>
      <w:r>
        <w:rPr>
          <w:rFonts w:ascii="宋体" w:hAnsi="宋体" w:eastAsia="宋体"/>
          <w:b/>
          <w:sz w:val="24"/>
          <w:szCs w:val="24"/>
        </w:rPr>
        <w:t>人</w:t>
      </w:r>
      <w:r>
        <w:rPr>
          <w:rFonts w:hint="eastAsia" w:ascii="宋体" w:hAnsi="宋体" w:eastAsia="宋体"/>
          <w:b/>
          <w:sz w:val="24"/>
          <w:szCs w:val="24"/>
        </w:rPr>
        <w:t>员配置</w:t>
      </w:r>
    </w:p>
    <w:p w14:paraId="0798ED57">
      <w:pPr>
        <w:autoSpaceDE w:val="0"/>
        <w:autoSpaceDN w:val="0"/>
        <w:spacing w:line="360" w:lineRule="auto"/>
        <w:ind w:firstLine="480" w:firstLineChars="200"/>
        <w:contextualSpacing/>
        <w:rPr>
          <w:rFonts w:ascii="宋体" w:hAnsi="宋体" w:eastAsia="宋体" w:cs="宋体"/>
          <w:kern w:val="0"/>
          <w:sz w:val="24"/>
        </w:rPr>
      </w:pPr>
      <w:r>
        <w:rPr>
          <w:rFonts w:ascii="宋体" w:hAnsi="宋体" w:eastAsia="宋体" w:cs="宋体"/>
          <w:kern w:val="0"/>
          <w:sz w:val="24"/>
        </w:rPr>
        <w:t>1.★岗位核定：餐厅（厨房）需配备以下人员配置表中要求的岗位</w:t>
      </w:r>
      <w:r>
        <w:rPr>
          <w:rFonts w:hint="eastAsia" w:ascii="宋体" w:hAnsi="宋体" w:eastAsia="宋体" w:cs="宋体"/>
          <w:kern w:val="0"/>
          <w:sz w:val="24"/>
        </w:rPr>
        <w:t>；</w:t>
      </w:r>
      <w:r>
        <w:rPr>
          <w:rFonts w:ascii="宋体" w:hAnsi="宋体" w:eastAsia="宋体" w:cs="宋体"/>
          <w:kern w:val="0"/>
          <w:sz w:val="24"/>
        </w:rPr>
        <w:t>根据医院的发</w:t>
      </w:r>
      <w:r>
        <w:rPr>
          <w:rFonts w:hint="eastAsia" w:ascii="宋体" w:hAnsi="宋体" w:eastAsia="宋体" w:cs="宋体"/>
          <w:kern w:val="0"/>
          <w:sz w:val="24"/>
        </w:rPr>
        <w:t>展</w:t>
      </w:r>
      <w:r>
        <w:rPr>
          <w:rFonts w:ascii="宋体" w:hAnsi="宋体" w:eastAsia="宋体" w:cs="宋体"/>
          <w:kern w:val="0"/>
          <w:sz w:val="24"/>
        </w:rPr>
        <w:t>要求，人员岗位进行调整，按</w:t>
      </w:r>
      <w:r>
        <w:rPr>
          <w:rFonts w:hint="eastAsia" w:ascii="宋体" w:hAnsi="宋体" w:eastAsia="宋体" w:cs="宋体"/>
          <w:kern w:val="0"/>
          <w:sz w:val="24"/>
        </w:rPr>
        <w:t>实</w:t>
      </w:r>
      <w:r>
        <w:rPr>
          <w:rFonts w:ascii="宋体" w:hAnsi="宋体" w:eastAsia="宋体" w:cs="宋体"/>
          <w:kern w:val="0"/>
          <w:sz w:val="24"/>
        </w:rPr>
        <w:t>结算。</w:t>
      </w:r>
      <w:r>
        <w:rPr>
          <w:rFonts w:ascii="宋体" w:hAnsi="宋体" w:eastAsia="宋体" w:cs="宋体"/>
          <w:b/>
          <w:color w:val="FF0000"/>
          <w:kern w:val="0"/>
          <w:sz w:val="24"/>
        </w:rPr>
        <w:t>（以承诺函为准）</w:t>
      </w:r>
    </w:p>
    <w:p w14:paraId="10D5D257">
      <w:pPr>
        <w:tabs>
          <w:tab w:val="left" w:pos="408"/>
        </w:tabs>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.人员核定：投标人可根据人员配置表中的参考人数配备具体服务人员，人员配备力求合理、高效。</w:t>
      </w:r>
    </w:p>
    <w:p w14:paraId="75F2FBC4">
      <w:pPr>
        <w:tabs>
          <w:tab w:val="left" w:pos="4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3</w:t>
      </w:r>
      <w:r>
        <w:rPr>
          <w:rFonts w:ascii="宋体" w:hAnsi="宋体" w:eastAsia="宋体" w:cs="宋体"/>
          <w:kern w:val="0"/>
          <w:sz w:val="24"/>
        </w:rPr>
        <w:t>.人员资质：所有人员都应具有健康证，资质要求见人员配置表，均需提供相关有效证明文件。</w:t>
      </w:r>
      <w:r>
        <w:rPr>
          <w:rFonts w:ascii="宋体" w:hAnsi="宋体" w:eastAsia="宋体" w:cs="宋体"/>
          <w:b/>
          <w:color w:val="FF0000"/>
          <w:kern w:val="0"/>
          <w:sz w:val="24"/>
        </w:rPr>
        <w:t>（以承诺函为准）</w:t>
      </w:r>
    </w:p>
    <w:p w14:paraId="05B175D5">
      <w:pPr>
        <w:tabs>
          <w:tab w:val="left" w:pos="408"/>
        </w:tabs>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w:t>
      </w:r>
      <w:r>
        <w:rPr>
          <w:rFonts w:ascii="宋体" w:hAnsi="宋体" w:eastAsia="宋体" w:cs="宋体"/>
          <w:kern w:val="0"/>
          <w:sz w:val="24"/>
        </w:rPr>
        <w:t>.人员配置表</w:t>
      </w:r>
      <w:bookmarkStart w:id="2" w:name="_GoBack"/>
      <w:bookmarkEnd w:id="2"/>
    </w:p>
    <w:tbl>
      <w:tblPr>
        <w:tblStyle w:val="39"/>
        <w:tblpPr w:leftFromText="180" w:rightFromText="180" w:vertAnchor="text" w:horzAnchor="margin" w:tblpY="-9"/>
        <w:tblW w:w="8075" w:type="dxa"/>
        <w:tblInd w:w="0" w:type="dxa"/>
        <w:tblLayout w:type="autofit"/>
        <w:tblCellMar>
          <w:top w:w="0" w:type="dxa"/>
          <w:left w:w="108" w:type="dxa"/>
          <w:bottom w:w="0" w:type="dxa"/>
          <w:right w:w="108" w:type="dxa"/>
        </w:tblCellMar>
      </w:tblPr>
      <w:tblGrid>
        <w:gridCol w:w="2263"/>
        <w:gridCol w:w="2694"/>
        <w:gridCol w:w="3118"/>
      </w:tblGrid>
      <w:tr w14:paraId="7CCDC8C6">
        <w:tblPrEx>
          <w:tblCellMar>
            <w:top w:w="0" w:type="dxa"/>
            <w:left w:w="108" w:type="dxa"/>
            <w:bottom w:w="0" w:type="dxa"/>
            <w:right w:w="108" w:type="dxa"/>
          </w:tblCellMar>
        </w:tblPrEx>
        <w:trPr>
          <w:trHeight w:val="280" w:hRule="atLeast"/>
        </w:trPr>
        <w:tc>
          <w:tcPr>
            <w:tcW w:w="22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227F3">
            <w:pPr>
              <w:widowControl/>
              <w:spacing w:line="360" w:lineRule="auto"/>
              <w:jc w:val="center"/>
              <w:rPr>
                <w:rFonts w:ascii="宋体" w:hAnsi="宋体" w:eastAsia="宋体" w:cs="宋体"/>
                <w:b/>
                <w:kern w:val="0"/>
                <w:sz w:val="24"/>
              </w:rPr>
            </w:pPr>
            <w:r>
              <w:rPr>
                <w:rFonts w:hint="eastAsia" w:ascii="宋体" w:hAnsi="宋体" w:eastAsia="宋体" w:cs="宋体"/>
                <w:b/>
                <w:kern w:val="0"/>
                <w:sz w:val="24"/>
              </w:rPr>
              <w:t>部门</w:t>
            </w:r>
          </w:p>
        </w:tc>
        <w:tc>
          <w:tcPr>
            <w:tcW w:w="2694" w:type="dxa"/>
            <w:tcBorders>
              <w:top w:val="single" w:color="auto" w:sz="4" w:space="0"/>
              <w:left w:val="nil"/>
              <w:bottom w:val="single" w:color="auto" w:sz="4" w:space="0"/>
              <w:right w:val="single" w:color="auto" w:sz="4" w:space="0"/>
            </w:tcBorders>
            <w:shd w:val="clear" w:color="auto" w:fill="auto"/>
            <w:vAlign w:val="center"/>
          </w:tcPr>
          <w:p w14:paraId="61C35843">
            <w:pPr>
              <w:widowControl/>
              <w:spacing w:line="360" w:lineRule="auto"/>
              <w:jc w:val="center"/>
              <w:rPr>
                <w:rFonts w:ascii="宋体" w:hAnsi="宋体" w:eastAsia="宋体" w:cs="宋体"/>
                <w:b/>
                <w:kern w:val="0"/>
                <w:sz w:val="24"/>
              </w:rPr>
            </w:pPr>
            <w:r>
              <w:rPr>
                <w:rFonts w:hint="eastAsia" w:ascii="宋体" w:hAnsi="宋体" w:eastAsia="宋体" w:cs="宋体"/>
                <w:b/>
                <w:kern w:val="0"/>
                <w:sz w:val="24"/>
              </w:rPr>
              <w:t>岗位</w:t>
            </w:r>
          </w:p>
        </w:tc>
        <w:tc>
          <w:tcPr>
            <w:tcW w:w="3118" w:type="dxa"/>
            <w:tcBorders>
              <w:top w:val="single" w:color="auto" w:sz="4" w:space="0"/>
              <w:left w:val="nil"/>
              <w:bottom w:val="single" w:color="auto" w:sz="4" w:space="0"/>
              <w:right w:val="single" w:color="auto" w:sz="4" w:space="0"/>
            </w:tcBorders>
            <w:shd w:val="clear" w:color="auto" w:fill="auto"/>
            <w:vAlign w:val="center"/>
          </w:tcPr>
          <w:p w14:paraId="1E1DEB04">
            <w:pPr>
              <w:widowControl/>
              <w:spacing w:line="360" w:lineRule="auto"/>
              <w:jc w:val="center"/>
              <w:rPr>
                <w:rFonts w:ascii="宋体" w:hAnsi="宋体" w:eastAsia="宋体" w:cs="宋体"/>
                <w:b/>
                <w:kern w:val="0"/>
                <w:sz w:val="24"/>
              </w:rPr>
            </w:pPr>
            <w:r>
              <w:rPr>
                <w:rFonts w:hint="eastAsia" w:ascii="宋体" w:hAnsi="宋体" w:eastAsia="宋体" w:cs="宋体"/>
                <w:b/>
                <w:kern w:val="0"/>
                <w:sz w:val="24"/>
              </w:rPr>
              <w:t>人数</w:t>
            </w:r>
          </w:p>
        </w:tc>
      </w:tr>
      <w:tr w14:paraId="6F579CE6">
        <w:tblPrEx>
          <w:tblCellMar>
            <w:top w:w="0" w:type="dxa"/>
            <w:left w:w="108" w:type="dxa"/>
            <w:bottom w:w="0" w:type="dxa"/>
            <w:right w:w="108" w:type="dxa"/>
          </w:tblCellMar>
        </w:tblPrEx>
        <w:trPr>
          <w:trHeight w:val="144" w:hRule="atLeast"/>
        </w:trPr>
        <w:tc>
          <w:tcPr>
            <w:tcW w:w="2263" w:type="dxa"/>
            <w:vMerge w:val="restart"/>
            <w:tcBorders>
              <w:top w:val="nil"/>
              <w:left w:val="single" w:color="auto" w:sz="4" w:space="0"/>
              <w:bottom w:val="single" w:color="000000" w:sz="4" w:space="0"/>
              <w:right w:val="single" w:color="auto" w:sz="4" w:space="0"/>
            </w:tcBorders>
            <w:shd w:val="clear" w:color="auto" w:fill="auto"/>
            <w:noWrap/>
            <w:vAlign w:val="center"/>
          </w:tcPr>
          <w:p w14:paraId="7D9C4957">
            <w:pPr>
              <w:widowControl/>
              <w:spacing w:line="360" w:lineRule="auto"/>
              <w:jc w:val="center"/>
              <w:rPr>
                <w:rFonts w:ascii="宋体" w:hAnsi="宋体" w:eastAsia="宋体" w:cs="宋体"/>
                <w:kern w:val="0"/>
                <w:sz w:val="24"/>
              </w:rPr>
            </w:pPr>
            <w:r>
              <w:rPr>
                <w:rFonts w:hint="eastAsia" w:ascii="宋体" w:hAnsi="宋体" w:eastAsia="宋体" w:cs="宋体"/>
                <w:kern w:val="0"/>
                <w:sz w:val="24"/>
              </w:rPr>
              <w:t>管理层</w:t>
            </w:r>
          </w:p>
        </w:tc>
        <w:tc>
          <w:tcPr>
            <w:tcW w:w="2694" w:type="dxa"/>
            <w:tcBorders>
              <w:top w:val="nil"/>
              <w:left w:val="nil"/>
              <w:bottom w:val="single" w:color="auto" w:sz="4" w:space="0"/>
              <w:right w:val="single" w:color="auto" w:sz="4" w:space="0"/>
            </w:tcBorders>
            <w:shd w:val="clear" w:color="auto" w:fill="auto"/>
            <w:vAlign w:val="center"/>
          </w:tcPr>
          <w:p w14:paraId="6FB680B8">
            <w:pPr>
              <w:widowControl/>
              <w:spacing w:line="360" w:lineRule="auto"/>
              <w:rPr>
                <w:rFonts w:ascii="宋体" w:hAnsi="宋体" w:eastAsia="宋体" w:cs="宋体"/>
                <w:kern w:val="0"/>
                <w:sz w:val="24"/>
              </w:rPr>
            </w:pPr>
            <w:r>
              <w:rPr>
                <w:rFonts w:hint="eastAsia" w:ascii="宋体" w:hAnsi="宋体" w:eastAsia="宋体" w:cs="宋体"/>
                <w:kern w:val="0"/>
                <w:sz w:val="24"/>
              </w:rPr>
              <w:t>项目经理</w:t>
            </w:r>
          </w:p>
        </w:tc>
        <w:tc>
          <w:tcPr>
            <w:tcW w:w="3118" w:type="dxa"/>
            <w:tcBorders>
              <w:top w:val="nil"/>
              <w:left w:val="nil"/>
              <w:bottom w:val="single" w:color="auto" w:sz="4" w:space="0"/>
              <w:right w:val="single" w:color="auto" w:sz="4" w:space="0"/>
            </w:tcBorders>
            <w:shd w:val="clear" w:color="auto" w:fill="auto"/>
            <w:noWrap/>
            <w:vAlign w:val="center"/>
          </w:tcPr>
          <w:p w14:paraId="47750542">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1</w:t>
            </w:r>
          </w:p>
        </w:tc>
      </w:tr>
      <w:tr w14:paraId="5690FB7A">
        <w:tblPrEx>
          <w:tblCellMar>
            <w:top w:w="0" w:type="dxa"/>
            <w:left w:w="108" w:type="dxa"/>
            <w:bottom w:w="0" w:type="dxa"/>
            <w:right w:w="108" w:type="dxa"/>
          </w:tblCellMar>
        </w:tblPrEx>
        <w:trPr>
          <w:trHeight w:val="144" w:hRule="atLeast"/>
        </w:trPr>
        <w:tc>
          <w:tcPr>
            <w:tcW w:w="2263" w:type="dxa"/>
            <w:vMerge w:val="continue"/>
            <w:tcBorders>
              <w:top w:val="nil"/>
              <w:left w:val="single" w:color="auto" w:sz="4" w:space="0"/>
              <w:bottom w:val="single" w:color="000000" w:sz="4" w:space="0"/>
              <w:right w:val="single" w:color="auto" w:sz="4" w:space="0"/>
            </w:tcBorders>
            <w:shd w:val="clear" w:color="auto" w:fill="auto"/>
            <w:vAlign w:val="center"/>
          </w:tcPr>
          <w:p w14:paraId="0F2B214A">
            <w:pPr>
              <w:widowControl/>
              <w:spacing w:line="360" w:lineRule="auto"/>
              <w:rPr>
                <w:rFonts w:ascii="宋体" w:hAnsi="宋体" w:eastAsia="宋体" w:cs="宋体"/>
                <w:kern w:val="0"/>
                <w:sz w:val="24"/>
              </w:rPr>
            </w:pPr>
          </w:p>
        </w:tc>
        <w:tc>
          <w:tcPr>
            <w:tcW w:w="2694" w:type="dxa"/>
            <w:tcBorders>
              <w:top w:val="nil"/>
              <w:left w:val="nil"/>
              <w:bottom w:val="single" w:color="auto" w:sz="4" w:space="0"/>
              <w:right w:val="single" w:color="auto" w:sz="4" w:space="0"/>
            </w:tcBorders>
            <w:shd w:val="clear" w:color="auto" w:fill="auto"/>
            <w:vAlign w:val="center"/>
          </w:tcPr>
          <w:p w14:paraId="04A8BF92">
            <w:pPr>
              <w:widowControl/>
              <w:spacing w:line="360" w:lineRule="auto"/>
              <w:rPr>
                <w:rFonts w:ascii="宋体" w:hAnsi="宋体" w:eastAsia="宋体" w:cs="宋体"/>
                <w:kern w:val="0"/>
                <w:sz w:val="24"/>
              </w:rPr>
            </w:pPr>
            <w:r>
              <w:rPr>
                <w:rFonts w:hint="eastAsia" w:ascii="宋体" w:hAnsi="宋体" w:eastAsia="宋体" w:cs="宋体"/>
                <w:kern w:val="0"/>
                <w:sz w:val="24"/>
              </w:rPr>
              <w:t>厨师长</w:t>
            </w:r>
          </w:p>
        </w:tc>
        <w:tc>
          <w:tcPr>
            <w:tcW w:w="3118" w:type="dxa"/>
            <w:tcBorders>
              <w:top w:val="nil"/>
              <w:left w:val="nil"/>
              <w:bottom w:val="single" w:color="auto" w:sz="4" w:space="0"/>
              <w:right w:val="single" w:color="auto" w:sz="4" w:space="0"/>
            </w:tcBorders>
            <w:shd w:val="clear" w:color="auto" w:fill="auto"/>
            <w:noWrap/>
            <w:vAlign w:val="center"/>
          </w:tcPr>
          <w:p w14:paraId="58C9F38B">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1</w:t>
            </w:r>
          </w:p>
        </w:tc>
      </w:tr>
      <w:tr w14:paraId="24A7302B">
        <w:tblPrEx>
          <w:tblCellMar>
            <w:top w:w="0" w:type="dxa"/>
            <w:left w:w="108" w:type="dxa"/>
            <w:bottom w:w="0" w:type="dxa"/>
            <w:right w:w="108" w:type="dxa"/>
          </w:tblCellMar>
        </w:tblPrEx>
        <w:trPr>
          <w:trHeight w:val="144" w:hRule="atLeast"/>
        </w:trPr>
        <w:tc>
          <w:tcPr>
            <w:tcW w:w="2263" w:type="dxa"/>
            <w:vMerge w:val="restart"/>
            <w:tcBorders>
              <w:top w:val="nil"/>
              <w:left w:val="single" w:color="auto" w:sz="4" w:space="0"/>
              <w:right w:val="single" w:color="auto" w:sz="4" w:space="0"/>
            </w:tcBorders>
            <w:shd w:val="clear" w:color="auto" w:fill="auto"/>
            <w:noWrap/>
            <w:vAlign w:val="center"/>
          </w:tcPr>
          <w:p w14:paraId="130C6B50">
            <w:pPr>
              <w:widowControl/>
              <w:spacing w:line="360" w:lineRule="auto"/>
              <w:jc w:val="center"/>
              <w:rPr>
                <w:rFonts w:ascii="宋体" w:hAnsi="宋体" w:eastAsia="宋体" w:cs="宋体"/>
                <w:kern w:val="0"/>
                <w:sz w:val="24"/>
              </w:rPr>
            </w:pPr>
            <w:r>
              <w:rPr>
                <w:rFonts w:hint="eastAsia" w:ascii="宋体" w:hAnsi="宋体" w:eastAsia="宋体" w:cs="宋体"/>
                <w:kern w:val="0"/>
                <w:sz w:val="24"/>
              </w:rPr>
              <w:t>员工餐厅</w:t>
            </w:r>
          </w:p>
        </w:tc>
        <w:tc>
          <w:tcPr>
            <w:tcW w:w="2694" w:type="dxa"/>
            <w:tcBorders>
              <w:top w:val="nil"/>
              <w:left w:val="nil"/>
              <w:bottom w:val="single" w:color="auto" w:sz="4" w:space="0"/>
              <w:right w:val="single" w:color="auto" w:sz="4" w:space="0"/>
            </w:tcBorders>
            <w:shd w:val="clear" w:color="auto" w:fill="auto"/>
            <w:vAlign w:val="center"/>
          </w:tcPr>
          <w:p w14:paraId="5E7D966E">
            <w:pPr>
              <w:widowControl/>
              <w:spacing w:line="360" w:lineRule="auto"/>
              <w:rPr>
                <w:rFonts w:ascii="宋体" w:hAnsi="宋体" w:eastAsia="宋体" w:cs="宋体"/>
                <w:kern w:val="0"/>
                <w:sz w:val="24"/>
              </w:rPr>
            </w:pPr>
            <w:r>
              <w:rPr>
                <w:rFonts w:hint="eastAsia" w:ascii="宋体" w:hAnsi="宋体" w:eastAsia="宋体" w:cs="宋体"/>
                <w:kern w:val="0"/>
                <w:sz w:val="24"/>
              </w:rPr>
              <w:t>厨师</w:t>
            </w:r>
          </w:p>
        </w:tc>
        <w:tc>
          <w:tcPr>
            <w:tcW w:w="3118" w:type="dxa"/>
            <w:tcBorders>
              <w:top w:val="nil"/>
              <w:left w:val="nil"/>
              <w:bottom w:val="single" w:color="auto" w:sz="4" w:space="0"/>
              <w:right w:val="single" w:color="auto" w:sz="4" w:space="0"/>
            </w:tcBorders>
            <w:shd w:val="clear" w:color="auto" w:fill="auto"/>
            <w:noWrap/>
            <w:vAlign w:val="center"/>
          </w:tcPr>
          <w:p w14:paraId="1300E6E9">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4</w:t>
            </w:r>
          </w:p>
        </w:tc>
      </w:tr>
      <w:tr w14:paraId="30DD3AEF">
        <w:tblPrEx>
          <w:tblCellMar>
            <w:top w:w="0" w:type="dxa"/>
            <w:left w:w="108" w:type="dxa"/>
            <w:bottom w:w="0" w:type="dxa"/>
            <w:right w:w="108" w:type="dxa"/>
          </w:tblCellMar>
        </w:tblPrEx>
        <w:trPr>
          <w:trHeight w:val="144" w:hRule="atLeast"/>
        </w:trPr>
        <w:tc>
          <w:tcPr>
            <w:tcW w:w="2263" w:type="dxa"/>
            <w:vMerge w:val="continue"/>
            <w:tcBorders>
              <w:left w:val="single" w:color="auto" w:sz="4" w:space="0"/>
              <w:right w:val="single" w:color="auto" w:sz="4" w:space="0"/>
            </w:tcBorders>
            <w:shd w:val="clear" w:color="auto" w:fill="auto"/>
            <w:vAlign w:val="center"/>
          </w:tcPr>
          <w:p w14:paraId="3CEFABF3">
            <w:pPr>
              <w:widowControl/>
              <w:spacing w:line="360" w:lineRule="auto"/>
              <w:rPr>
                <w:rFonts w:ascii="宋体" w:hAnsi="宋体" w:eastAsia="宋体" w:cs="宋体"/>
                <w:kern w:val="0"/>
                <w:sz w:val="24"/>
              </w:rPr>
            </w:pPr>
          </w:p>
        </w:tc>
        <w:tc>
          <w:tcPr>
            <w:tcW w:w="2694" w:type="dxa"/>
            <w:tcBorders>
              <w:top w:val="nil"/>
              <w:left w:val="nil"/>
              <w:bottom w:val="single" w:color="auto" w:sz="4" w:space="0"/>
              <w:right w:val="single" w:color="auto" w:sz="4" w:space="0"/>
            </w:tcBorders>
            <w:shd w:val="clear" w:color="auto" w:fill="auto"/>
            <w:vAlign w:val="center"/>
          </w:tcPr>
          <w:p w14:paraId="51A46A4F">
            <w:pPr>
              <w:widowControl/>
              <w:spacing w:line="360" w:lineRule="auto"/>
              <w:rPr>
                <w:rFonts w:ascii="宋体" w:hAnsi="宋体" w:eastAsia="宋体" w:cs="宋体"/>
                <w:kern w:val="0"/>
                <w:sz w:val="24"/>
              </w:rPr>
            </w:pPr>
            <w:r>
              <w:rPr>
                <w:rFonts w:hint="eastAsia" w:ascii="宋体" w:hAnsi="宋体" w:eastAsia="宋体" w:cs="宋体"/>
                <w:kern w:val="0"/>
                <w:sz w:val="24"/>
              </w:rPr>
              <w:t>点心师</w:t>
            </w:r>
          </w:p>
        </w:tc>
        <w:tc>
          <w:tcPr>
            <w:tcW w:w="3118" w:type="dxa"/>
            <w:tcBorders>
              <w:top w:val="nil"/>
              <w:left w:val="nil"/>
              <w:bottom w:val="single" w:color="auto" w:sz="4" w:space="0"/>
              <w:right w:val="single" w:color="auto" w:sz="4" w:space="0"/>
            </w:tcBorders>
            <w:shd w:val="clear" w:color="auto" w:fill="auto"/>
            <w:noWrap/>
            <w:vAlign w:val="center"/>
          </w:tcPr>
          <w:p w14:paraId="2B8F3B28">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1</w:t>
            </w:r>
          </w:p>
        </w:tc>
      </w:tr>
      <w:tr w14:paraId="43C72501">
        <w:tblPrEx>
          <w:tblCellMar>
            <w:top w:w="0" w:type="dxa"/>
            <w:left w:w="108" w:type="dxa"/>
            <w:bottom w:w="0" w:type="dxa"/>
            <w:right w:w="108" w:type="dxa"/>
          </w:tblCellMar>
        </w:tblPrEx>
        <w:trPr>
          <w:trHeight w:val="144" w:hRule="atLeast"/>
        </w:trPr>
        <w:tc>
          <w:tcPr>
            <w:tcW w:w="2263" w:type="dxa"/>
            <w:vMerge w:val="continue"/>
            <w:tcBorders>
              <w:left w:val="single" w:color="auto" w:sz="4" w:space="0"/>
              <w:right w:val="single" w:color="auto" w:sz="4" w:space="0"/>
            </w:tcBorders>
            <w:shd w:val="clear" w:color="auto" w:fill="auto"/>
            <w:vAlign w:val="center"/>
          </w:tcPr>
          <w:p w14:paraId="322AAEA7">
            <w:pPr>
              <w:widowControl/>
              <w:spacing w:line="360" w:lineRule="auto"/>
              <w:rPr>
                <w:rFonts w:ascii="宋体" w:hAnsi="宋体" w:eastAsia="宋体" w:cs="宋体"/>
                <w:kern w:val="0"/>
                <w:sz w:val="24"/>
              </w:rPr>
            </w:pPr>
          </w:p>
        </w:tc>
        <w:tc>
          <w:tcPr>
            <w:tcW w:w="2694" w:type="dxa"/>
            <w:tcBorders>
              <w:top w:val="nil"/>
              <w:left w:val="nil"/>
              <w:bottom w:val="single" w:color="auto" w:sz="4" w:space="0"/>
              <w:right w:val="single" w:color="auto" w:sz="4" w:space="0"/>
            </w:tcBorders>
            <w:shd w:val="clear" w:color="auto" w:fill="auto"/>
            <w:vAlign w:val="center"/>
          </w:tcPr>
          <w:p w14:paraId="2A7B0F9D">
            <w:pPr>
              <w:widowControl/>
              <w:spacing w:line="360" w:lineRule="auto"/>
              <w:rPr>
                <w:rFonts w:ascii="宋体" w:hAnsi="宋体" w:eastAsia="宋体" w:cs="宋体"/>
                <w:kern w:val="0"/>
                <w:sz w:val="24"/>
              </w:rPr>
            </w:pPr>
            <w:r>
              <w:rPr>
                <w:rFonts w:hint="eastAsia" w:ascii="宋体" w:hAnsi="宋体" w:eastAsia="宋体" w:cs="宋体"/>
                <w:kern w:val="0"/>
                <w:sz w:val="24"/>
              </w:rPr>
              <w:t>点心小工</w:t>
            </w:r>
          </w:p>
        </w:tc>
        <w:tc>
          <w:tcPr>
            <w:tcW w:w="3118" w:type="dxa"/>
            <w:tcBorders>
              <w:top w:val="nil"/>
              <w:left w:val="nil"/>
              <w:bottom w:val="single" w:color="auto" w:sz="4" w:space="0"/>
              <w:right w:val="single" w:color="auto" w:sz="4" w:space="0"/>
            </w:tcBorders>
            <w:shd w:val="clear" w:color="auto" w:fill="auto"/>
            <w:noWrap/>
            <w:vAlign w:val="center"/>
          </w:tcPr>
          <w:p w14:paraId="4E12D6CC">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2</w:t>
            </w:r>
          </w:p>
        </w:tc>
      </w:tr>
      <w:tr w14:paraId="6236CCBB">
        <w:tblPrEx>
          <w:tblCellMar>
            <w:top w:w="0" w:type="dxa"/>
            <w:left w:w="108" w:type="dxa"/>
            <w:bottom w:w="0" w:type="dxa"/>
            <w:right w:w="108" w:type="dxa"/>
          </w:tblCellMar>
        </w:tblPrEx>
        <w:trPr>
          <w:trHeight w:val="144" w:hRule="atLeast"/>
        </w:trPr>
        <w:tc>
          <w:tcPr>
            <w:tcW w:w="2263" w:type="dxa"/>
            <w:vMerge w:val="continue"/>
            <w:tcBorders>
              <w:left w:val="single" w:color="auto" w:sz="4" w:space="0"/>
              <w:right w:val="single" w:color="auto" w:sz="4" w:space="0"/>
            </w:tcBorders>
            <w:shd w:val="clear" w:color="auto" w:fill="auto"/>
            <w:vAlign w:val="center"/>
          </w:tcPr>
          <w:p w14:paraId="49E3697C">
            <w:pPr>
              <w:widowControl/>
              <w:spacing w:line="360" w:lineRule="auto"/>
              <w:rPr>
                <w:rFonts w:ascii="宋体" w:hAnsi="宋体" w:eastAsia="宋体" w:cs="宋体"/>
                <w:kern w:val="0"/>
                <w:sz w:val="24"/>
              </w:rPr>
            </w:pPr>
          </w:p>
        </w:tc>
        <w:tc>
          <w:tcPr>
            <w:tcW w:w="2694" w:type="dxa"/>
            <w:tcBorders>
              <w:top w:val="nil"/>
              <w:left w:val="nil"/>
              <w:bottom w:val="single" w:color="auto" w:sz="4" w:space="0"/>
              <w:right w:val="single" w:color="auto" w:sz="4" w:space="0"/>
            </w:tcBorders>
            <w:shd w:val="clear" w:color="auto" w:fill="auto"/>
            <w:vAlign w:val="center"/>
          </w:tcPr>
          <w:p w14:paraId="345296E2">
            <w:pPr>
              <w:widowControl/>
              <w:spacing w:line="360" w:lineRule="auto"/>
              <w:rPr>
                <w:rFonts w:ascii="宋体" w:hAnsi="宋体" w:eastAsia="宋体" w:cs="宋体"/>
                <w:kern w:val="0"/>
                <w:sz w:val="24"/>
              </w:rPr>
            </w:pPr>
            <w:r>
              <w:rPr>
                <w:rFonts w:hint="eastAsia" w:ascii="宋体" w:hAnsi="宋体" w:eastAsia="宋体" w:cs="宋体"/>
                <w:kern w:val="0"/>
                <w:sz w:val="24"/>
              </w:rPr>
              <w:t>切配</w:t>
            </w:r>
          </w:p>
        </w:tc>
        <w:tc>
          <w:tcPr>
            <w:tcW w:w="3118" w:type="dxa"/>
            <w:tcBorders>
              <w:top w:val="nil"/>
              <w:left w:val="nil"/>
              <w:bottom w:val="single" w:color="auto" w:sz="4" w:space="0"/>
              <w:right w:val="single" w:color="auto" w:sz="4" w:space="0"/>
            </w:tcBorders>
            <w:shd w:val="clear" w:color="auto" w:fill="auto"/>
            <w:noWrap/>
            <w:vAlign w:val="center"/>
          </w:tcPr>
          <w:p w14:paraId="5F7337F6">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2</w:t>
            </w:r>
          </w:p>
        </w:tc>
      </w:tr>
      <w:tr w14:paraId="543BCF76">
        <w:tblPrEx>
          <w:tblCellMar>
            <w:top w:w="0" w:type="dxa"/>
            <w:left w:w="108" w:type="dxa"/>
            <w:bottom w:w="0" w:type="dxa"/>
            <w:right w:w="108" w:type="dxa"/>
          </w:tblCellMar>
        </w:tblPrEx>
        <w:trPr>
          <w:trHeight w:val="144" w:hRule="atLeast"/>
        </w:trPr>
        <w:tc>
          <w:tcPr>
            <w:tcW w:w="2263" w:type="dxa"/>
            <w:vMerge w:val="continue"/>
            <w:tcBorders>
              <w:left w:val="single" w:color="auto" w:sz="4" w:space="0"/>
              <w:right w:val="single" w:color="auto" w:sz="4" w:space="0"/>
            </w:tcBorders>
            <w:shd w:val="clear" w:color="auto" w:fill="auto"/>
            <w:vAlign w:val="center"/>
          </w:tcPr>
          <w:p w14:paraId="6B58FF24">
            <w:pPr>
              <w:widowControl/>
              <w:spacing w:line="360" w:lineRule="auto"/>
              <w:rPr>
                <w:rFonts w:ascii="宋体" w:hAnsi="宋体" w:eastAsia="宋体" w:cs="宋体"/>
                <w:kern w:val="0"/>
                <w:sz w:val="24"/>
              </w:rPr>
            </w:pPr>
          </w:p>
        </w:tc>
        <w:tc>
          <w:tcPr>
            <w:tcW w:w="2694" w:type="dxa"/>
            <w:tcBorders>
              <w:top w:val="nil"/>
              <w:left w:val="nil"/>
              <w:bottom w:val="single" w:color="auto" w:sz="4" w:space="0"/>
              <w:right w:val="single" w:color="auto" w:sz="4" w:space="0"/>
            </w:tcBorders>
            <w:shd w:val="clear" w:color="auto" w:fill="auto"/>
            <w:vAlign w:val="center"/>
          </w:tcPr>
          <w:p w14:paraId="504106C8">
            <w:pPr>
              <w:widowControl/>
              <w:spacing w:line="360" w:lineRule="auto"/>
              <w:rPr>
                <w:rFonts w:ascii="宋体" w:hAnsi="宋体" w:eastAsia="宋体" w:cs="宋体"/>
                <w:kern w:val="0"/>
                <w:sz w:val="24"/>
              </w:rPr>
            </w:pPr>
            <w:r>
              <w:rPr>
                <w:rFonts w:hint="eastAsia" w:ascii="宋体" w:hAnsi="宋体" w:eastAsia="宋体" w:cs="宋体"/>
                <w:kern w:val="0"/>
                <w:sz w:val="24"/>
              </w:rPr>
              <w:t>帮工</w:t>
            </w:r>
          </w:p>
        </w:tc>
        <w:tc>
          <w:tcPr>
            <w:tcW w:w="3118" w:type="dxa"/>
            <w:tcBorders>
              <w:top w:val="nil"/>
              <w:left w:val="nil"/>
              <w:bottom w:val="single" w:color="auto" w:sz="4" w:space="0"/>
              <w:right w:val="single" w:color="auto" w:sz="4" w:space="0"/>
            </w:tcBorders>
            <w:shd w:val="clear" w:color="auto" w:fill="auto"/>
            <w:noWrap/>
            <w:vAlign w:val="center"/>
          </w:tcPr>
          <w:p w14:paraId="69AE067D">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6</w:t>
            </w:r>
          </w:p>
        </w:tc>
      </w:tr>
      <w:tr w14:paraId="31169718">
        <w:tblPrEx>
          <w:tblCellMar>
            <w:top w:w="0" w:type="dxa"/>
            <w:left w:w="108" w:type="dxa"/>
            <w:bottom w:w="0" w:type="dxa"/>
            <w:right w:w="108" w:type="dxa"/>
          </w:tblCellMar>
        </w:tblPrEx>
        <w:trPr>
          <w:trHeight w:val="144" w:hRule="atLeast"/>
        </w:trPr>
        <w:tc>
          <w:tcPr>
            <w:tcW w:w="2263" w:type="dxa"/>
            <w:vMerge w:val="continue"/>
            <w:tcBorders>
              <w:left w:val="single" w:color="auto" w:sz="4" w:space="0"/>
              <w:bottom w:val="single" w:color="000000" w:sz="4" w:space="0"/>
              <w:right w:val="single" w:color="auto" w:sz="4" w:space="0"/>
            </w:tcBorders>
            <w:shd w:val="clear" w:color="auto" w:fill="auto"/>
            <w:vAlign w:val="center"/>
          </w:tcPr>
          <w:p w14:paraId="1592CAD8">
            <w:pPr>
              <w:widowControl/>
              <w:spacing w:line="360" w:lineRule="auto"/>
              <w:rPr>
                <w:rFonts w:ascii="宋体" w:hAnsi="宋体" w:eastAsia="宋体" w:cs="宋体"/>
                <w:kern w:val="0"/>
                <w:sz w:val="24"/>
              </w:rPr>
            </w:pPr>
          </w:p>
        </w:tc>
        <w:tc>
          <w:tcPr>
            <w:tcW w:w="2694" w:type="dxa"/>
            <w:tcBorders>
              <w:top w:val="nil"/>
              <w:left w:val="nil"/>
              <w:bottom w:val="single" w:color="auto" w:sz="4" w:space="0"/>
              <w:right w:val="single" w:color="auto" w:sz="4" w:space="0"/>
            </w:tcBorders>
            <w:shd w:val="clear" w:color="auto" w:fill="auto"/>
            <w:vAlign w:val="center"/>
          </w:tcPr>
          <w:p w14:paraId="3B7C864D">
            <w:pPr>
              <w:widowControl/>
              <w:spacing w:line="360" w:lineRule="auto"/>
              <w:rPr>
                <w:rFonts w:ascii="宋体" w:hAnsi="宋体" w:eastAsia="宋体" w:cs="宋体"/>
                <w:kern w:val="0"/>
                <w:sz w:val="24"/>
              </w:rPr>
            </w:pPr>
            <w:r>
              <w:rPr>
                <w:rFonts w:hint="eastAsia" w:ascii="宋体" w:hAnsi="宋体" w:eastAsia="宋体" w:cs="宋体"/>
                <w:kern w:val="0"/>
                <w:sz w:val="24"/>
              </w:rPr>
              <w:t>仓管兼核算</w:t>
            </w:r>
          </w:p>
        </w:tc>
        <w:tc>
          <w:tcPr>
            <w:tcW w:w="3118" w:type="dxa"/>
            <w:tcBorders>
              <w:top w:val="nil"/>
              <w:left w:val="nil"/>
              <w:bottom w:val="single" w:color="auto" w:sz="4" w:space="0"/>
              <w:right w:val="single" w:color="auto" w:sz="4" w:space="0"/>
            </w:tcBorders>
            <w:shd w:val="clear" w:color="auto" w:fill="auto"/>
            <w:noWrap/>
            <w:vAlign w:val="center"/>
          </w:tcPr>
          <w:p w14:paraId="33391CE7">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1</w:t>
            </w:r>
          </w:p>
        </w:tc>
      </w:tr>
      <w:tr w14:paraId="78C4E0B8">
        <w:tblPrEx>
          <w:tblCellMar>
            <w:top w:w="0" w:type="dxa"/>
            <w:left w:w="108" w:type="dxa"/>
            <w:bottom w:w="0" w:type="dxa"/>
            <w:right w:w="108" w:type="dxa"/>
          </w:tblCellMar>
        </w:tblPrEx>
        <w:trPr>
          <w:trHeight w:val="148" w:hRule="atLeast"/>
        </w:trPr>
        <w:tc>
          <w:tcPr>
            <w:tcW w:w="2263" w:type="dxa"/>
            <w:vMerge w:val="restart"/>
            <w:tcBorders>
              <w:top w:val="nil"/>
              <w:left w:val="single" w:color="auto" w:sz="4" w:space="0"/>
              <w:right w:val="single" w:color="auto" w:sz="4" w:space="0"/>
            </w:tcBorders>
            <w:shd w:val="clear" w:color="auto" w:fill="auto"/>
            <w:vAlign w:val="center"/>
          </w:tcPr>
          <w:p w14:paraId="4AAF5101">
            <w:pPr>
              <w:widowControl/>
              <w:spacing w:line="360" w:lineRule="auto"/>
              <w:jc w:val="center"/>
              <w:rPr>
                <w:rFonts w:ascii="宋体" w:hAnsi="宋体" w:eastAsia="宋体" w:cs="宋体"/>
                <w:kern w:val="0"/>
                <w:sz w:val="24"/>
              </w:rPr>
            </w:pPr>
            <w:r>
              <w:rPr>
                <w:rFonts w:hint="eastAsia" w:ascii="宋体" w:hAnsi="宋体" w:eastAsia="宋体" w:cs="宋体"/>
                <w:kern w:val="0"/>
                <w:sz w:val="24"/>
              </w:rPr>
              <w:t>营养餐厅</w:t>
            </w:r>
          </w:p>
        </w:tc>
        <w:tc>
          <w:tcPr>
            <w:tcW w:w="2694" w:type="dxa"/>
            <w:tcBorders>
              <w:top w:val="nil"/>
              <w:left w:val="nil"/>
              <w:bottom w:val="single" w:color="auto" w:sz="4" w:space="0"/>
              <w:right w:val="single" w:color="auto" w:sz="4" w:space="0"/>
            </w:tcBorders>
            <w:shd w:val="clear" w:color="auto" w:fill="auto"/>
            <w:vAlign w:val="center"/>
          </w:tcPr>
          <w:p w14:paraId="42C372AC">
            <w:pPr>
              <w:widowControl/>
              <w:spacing w:line="360" w:lineRule="auto"/>
              <w:rPr>
                <w:rFonts w:ascii="宋体" w:hAnsi="宋体" w:eastAsia="宋体" w:cs="宋体"/>
                <w:kern w:val="0"/>
                <w:sz w:val="24"/>
              </w:rPr>
            </w:pPr>
            <w:r>
              <w:rPr>
                <w:rFonts w:hint="eastAsia" w:ascii="宋体" w:hAnsi="宋体" w:eastAsia="宋体" w:cs="宋体"/>
                <w:kern w:val="0"/>
                <w:sz w:val="24"/>
              </w:rPr>
              <w:t>营养厨师</w:t>
            </w:r>
          </w:p>
        </w:tc>
        <w:tc>
          <w:tcPr>
            <w:tcW w:w="3118" w:type="dxa"/>
            <w:tcBorders>
              <w:top w:val="nil"/>
              <w:left w:val="nil"/>
              <w:bottom w:val="single" w:color="auto" w:sz="4" w:space="0"/>
              <w:right w:val="single" w:color="auto" w:sz="4" w:space="0"/>
            </w:tcBorders>
            <w:shd w:val="clear" w:color="auto" w:fill="auto"/>
            <w:noWrap/>
            <w:vAlign w:val="center"/>
          </w:tcPr>
          <w:p w14:paraId="5F130C1F">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4</w:t>
            </w:r>
          </w:p>
        </w:tc>
      </w:tr>
      <w:tr w14:paraId="2CD8277E">
        <w:tblPrEx>
          <w:tblCellMar>
            <w:top w:w="0" w:type="dxa"/>
            <w:left w:w="108" w:type="dxa"/>
            <w:bottom w:w="0" w:type="dxa"/>
            <w:right w:w="108" w:type="dxa"/>
          </w:tblCellMar>
        </w:tblPrEx>
        <w:trPr>
          <w:trHeight w:val="144" w:hRule="atLeast"/>
        </w:trPr>
        <w:tc>
          <w:tcPr>
            <w:tcW w:w="2263" w:type="dxa"/>
            <w:vMerge w:val="continue"/>
            <w:tcBorders>
              <w:left w:val="single" w:color="auto" w:sz="4" w:space="0"/>
              <w:right w:val="single" w:color="auto" w:sz="4" w:space="0"/>
            </w:tcBorders>
            <w:shd w:val="clear" w:color="auto" w:fill="auto"/>
            <w:vAlign w:val="center"/>
          </w:tcPr>
          <w:p w14:paraId="33EDDC6B">
            <w:pPr>
              <w:widowControl/>
              <w:spacing w:line="360" w:lineRule="auto"/>
              <w:rPr>
                <w:rFonts w:ascii="宋体" w:hAnsi="宋体" w:eastAsia="宋体" w:cs="宋体"/>
                <w:kern w:val="0"/>
                <w:sz w:val="24"/>
              </w:rPr>
            </w:pPr>
          </w:p>
        </w:tc>
        <w:tc>
          <w:tcPr>
            <w:tcW w:w="2694" w:type="dxa"/>
            <w:tcBorders>
              <w:top w:val="nil"/>
              <w:left w:val="nil"/>
              <w:bottom w:val="single" w:color="auto" w:sz="4" w:space="0"/>
              <w:right w:val="single" w:color="auto" w:sz="4" w:space="0"/>
            </w:tcBorders>
            <w:shd w:val="clear" w:color="auto" w:fill="auto"/>
            <w:vAlign w:val="center"/>
          </w:tcPr>
          <w:p w14:paraId="472DCC2A">
            <w:pPr>
              <w:widowControl/>
              <w:spacing w:line="360" w:lineRule="auto"/>
              <w:rPr>
                <w:rFonts w:ascii="宋体" w:hAnsi="宋体" w:eastAsia="宋体" w:cs="宋体"/>
                <w:kern w:val="0"/>
                <w:sz w:val="24"/>
              </w:rPr>
            </w:pPr>
            <w:r>
              <w:rPr>
                <w:rFonts w:hint="eastAsia" w:ascii="宋体" w:hAnsi="宋体" w:eastAsia="宋体" w:cs="宋体"/>
                <w:kern w:val="0"/>
                <w:sz w:val="24"/>
              </w:rPr>
              <w:t>切配</w:t>
            </w:r>
          </w:p>
        </w:tc>
        <w:tc>
          <w:tcPr>
            <w:tcW w:w="3118" w:type="dxa"/>
            <w:tcBorders>
              <w:top w:val="nil"/>
              <w:left w:val="nil"/>
              <w:bottom w:val="single" w:color="auto" w:sz="4" w:space="0"/>
              <w:right w:val="single" w:color="auto" w:sz="4" w:space="0"/>
            </w:tcBorders>
            <w:shd w:val="clear" w:color="auto" w:fill="auto"/>
            <w:noWrap/>
            <w:vAlign w:val="center"/>
          </w:tcPr>
          <w:p w14:paraId="42FE3230">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2</w:t>
            </w:r>
          </w:p>
        </w:tc>
      </w:tr>
      <w:tr w14:paraId="6B0F72A3">
        <w:tblPrEx>
          <w:tblCellMar>
            <w:top w:w="0" w:type="dxa"/>
            <w:left w:w="108" w:type="dxa"/>
            <w:bottom w:w="0" w:type="dxa"/>
            <w:right w:w="108" w:type="dxa"/>
          </w:tblCellMar>
        </w:tblPrEx>
        <w:trPr>
          <w:trHeight w:val="144" w:hRule="atLeast"/>
        </w:trPr>
        <w:tc>
          <w:tcPr>
            <w:tcW w:w="2263" w:type="dxa"/>
            <w:vMerge w:val="continue"/>
            <w:tcBorders>
              <w:left w:val="single" w:color="auto" w:sz="4" w:space="0"/>
              <w:right w:val="single" w:color="auto" w:sz="4" w:space="0"/>
            </w:tcBorders>
            <w:shd w:val="clear" w:color="auto" w:fill="auto"/>
            <w:vAlign w:val="center"/>
          </w:tcPr>
          <w:p w14:paraId="7B6FCE42">
            <w:pPr>
              <w:widowControl/>
              <w:spacing w:line="360" w:lineRule="auto"/>
              <w:rPr>
                <w:rFonts w:ascii="宋体" w:hAnsi="宋体" w:eastAsia="宋体" w:cs="宋体"/>
                <w:kern w:val="0"/>
                <w:sz w:val="24"/>
              </w:rPr>
            </w:pPr>
          </w:p>
        </w:tc>
        <w:tc>
          <w:tcPr>
            <w:tcW w:w="2694" w:type="dxa"/>
            <w:tcBorders>
              <w:top w:val="nil"/>
              <w:left w:val="nil"/>
              <w:bottom w:val="single" w:color="auto" w:sz="4" w:space="0"/>
              <w:right w:val="single" w:color="auto" w:sz="4" w:space="0"/>
            </w:tcBorders>
            <w:shd w:val="clear" w:color="auto" w:fill="auto"/>
            <w:vAlign w:val="center"/>
          </w:tcPr>
          <w:p w14:paraId="0B48B0BE">
            <w:pPr>
              <w:widowControl/>
              <w:spacing w:line="360" w:lineRule="auto"/>
              <w:rPr>
                <w:rFonts w:ascii="宋体" w:hAnsi="宋体" w:eastAsia="宋体" w:cs="宋体"/>
                <w:kern w:val="0"/>
                <w:sz w:val="24"/>
              </w:rPr>
            </w:pPr>
            <w:r>
              <w:rPr>
                <w:rFonts w:hint="eastAsia" w:ascii="宋体" w:hAnsi="宋体" w:eastAsia="宋体" w:cs="宋体"/>
                <w:kern w:val="0"/>
                <w:sz w:val="24"/>
              </w:rPr>
              <w:t>点心师</w:t>
            </w:r>
          </w:p>
        </w:tc>
        <w:tc>
          <w:tcPr>
            <w:tcW w:w="3118" w:type="dxa"/>
            <w:tcBorders>
              <w:top w:val="nil"/>
              <w:left w:val="nil"/>
              <w:bottom w:val="single" w:color="auto" w:sz="4" w:space="0"/>
              <w:right w:val="single" w:color="auto" w:sz="4" w:space="0"/>
            </w:tcBorders>
            <w:shd w:val="clear" w:color="auto" w:fill="auto"/>
            <w:noWrap/>
            <w:vAlign w:val="center"/>
          </w:tcPr>
          <w:p w14:paraId="7EB118C0">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1</w:t>
            </w:r>
          </w:p>
        </w:tc>
      </w:tr>
      <w:tr w14:paraId="618EB012">
        <w:tblPrEx>
          <w:tblCellMar>
            <w:top w:w="0" w:type="dxa"/>
            <w:left w:w="108" w:type="dxa"/>
            <w:bottom w:w="0" w:type="dxa"/>
            <w:right w:w="108" w:type="dxa"/>
          </w:tblCellMar>
        </w:tblPrEx>
        <w:trPr>
          <w:trHeight w:val="144" w:hRule="atLeast"/>
        </w:trPr>
        <w:tc>
          <w:tcPr>
            <w:tcW w:w="2263" w:type="dxa"/>
            <w:vMerge w:val="continue"/>
            <w:tcBorders>
              <w:left w:val="single" w:color="auto" w:sz="4" w:space="0"/>
              <w:right w:val="single" w:color="auto" w:sz="4" w:space="0"/>
            </w:tcBorders>
            <w:shd w:val="clear" w:color="auto" w:fill="auto"/>
            <w:vAlign w:val="center"/>
          </w:tcPr>
          <w:p w14:paraId="4AADBED7">
            <w:pPr>
              <w:widowControl/>
              <w:spacing w:line="360" w:lineRule="auto"/>
              <w:rPr>
                <w:rFonts w:ascii="宋体" w:hAnsi="宋体" w:eastAsia="宋体" w:cs="宋体"/>
                <w:kern w:val="0"/>
                <w:sz w:val="24"/>
              </w:rPr>
            </w:pPr>
          </w:p>
        </w:tc>
        <w:tc>
          <w:tcPr>
            <w:tcW w:w="2694" w:type="dxa"/>
            <w:tcBorders>
              <w:top w:val="nil"/>
              <w:left w:val="nil"/>
              <w:bottom w:val="single" w:color="auto" w:sz="4" w:space="0"/>
              <w:right w:val="single" w:color="auto" w:sz="4" w:space="0"/>
            </w:tcBorders>
            <w:shd w:val="clear" w:color="auto" w:fill="auto"/>
            <w:vAlign w:val="center"/>
          </w:tcPr>
          <w:p w14:paraId="067F200A">
            <w:pPr>
              <w:widowControl/>
              <w:spacing w:line="360" w:lineRule="auto"/>
              <w:rPr>
                <w:rFonts w:ascii="宋体" w:hAnsi="宋体" w:eastAsia="宋体" w:cs="宋体"/>
                <w:kern w:val="0"/>
                <w:sz w:val="24"/>
              </w:rPr>
            </w:pPr>
            <w:r>
              <w:rPr>
                <w:rFonts w:hint="eastAsia" w:ascii="宋体" w:hAnsi="宋体" w:eastAsia="宋体" w:cs="宋体"/>
                <w:kern w:val="0"/>
                <w:sz w:val="24"/>
              </w:rPr>
              <w:t>点心小工</w:t>
            </w:r>
          </w:p>
        </w:tc>
        <w:tc>
          <w:tcPr>
            <w:tcW w:w="3118" w:type="dxa"/>
            <w:tcBorders>
              <w:top w:val="nil"/>
              <w:left w:val="nil"/>
              <w:bottom w:val="single" w:color="auto" w:sz="4" w:space="0"/>
              <w:right w:val="single" w:color="auto" w:sz="4" w:space="0"/>
            </w:tcBorders>
            <w:shd w:val="clear" w:color="auto" w:fill="auto"/>
            <w:noWrap/>
            <w:vAlign w:val="center"/>
          </w:tcPr>
          <w:p w14:paraId="55FCE29E">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1</w:t>
            </w:r>
          </w:p>
        </w:tc>
      </w:tr>
      <w:tr w14:paraId="472C0F8F">
        <w:tblPrEx>
          <w:tblCellMar>
            <w:top w:w="0" w:type="dxa"/>
            <w:left w:w="108" w:type="dxa"/>
            <w:bottom w:w="0" w:type="dxa"/>
            <w:right w:w="108" w:type="dxa"/>
          </w:tblCellMar>
        </w:tblPrEx>
        <w:trPr>
          <w:trHeight w:val="144" w:hRule="atLeast"/>
        </w:trPr>
        <w:tc>
          <w:tcPr>
            <w:tcW w:w="2263" w:type="dxa"/>
            <w:vMerge w:val="continue"/>
            <w:tcBorders>
              <w:left w:val="single" w:color="auto" w:sz="4" w:space="0"/>
              <w:right w:val="single" w:color="auto" w:sz="4" w:space="0"/>
            </w:tcBorders>
            <w:shd w:val="clear" w:color="auto" w:fill="auto"/>
            <w:vAlign w:val="center"/>
          </w:tcPr>
          <w:p w14:paraId="3A05993A">
            <w:pPr>
              <w:widowControl/>
              <w:spacing w:line="360" w:lineRule="auto"/>
              <w:rPr>
                <w:rFonts w:ascii="宋体" w:hAnsi="宋体" w:eastAsia="宋体" w:cs="宋体"/>
                <w:kern w:val="0"/>
                <w:sz w:val="24"/>
              </w:rPr>
            </w:pPr>
          </w:p>
        </w:tc>
        <w:tc>
          <w:tcPr>
            <w:tcW w:w="2694" w:type="dxa"/>
            <w:tcBorders>
              <w:top w:val="nil"/>
              <w:left w:val="nil"/>
              <w:bottom w:val="single" w:color="auto" w:sz="4" w:space="0"/>
              <w:right w:val="single" w:color="auto" w:sz="4" w:space="0"/>
            </w:tcBorders>
            <w:shd w:val="clear" w:color="auto" w:fill="auto"/>
            <w:vAlign w:val="center"/>
          </w:tcPr>
          <w:p w14:paraId="03D41520">
            <w:pPr>
              <w:widowControl/>
              <w:spacing w:line="360" w:lineRule="auto"/>
              <w:rPr>
                <w:rFonts w:ascii="宋体" w:hAnsi="宋体" w:eastAsia="宋体" w:cs="宋体"/>
                <w:kern w:val="0"/>
                <w:sz w:val="24"/>
              </w:rPr>
            </w:pPr>
            <w:r>
              <w:rPr>
                <w:rFonts w:hint="eastAsia" w:ascii="宋体" w:hAnsi="宋体" w:eastAsia="宋体" w:cs="宋体"/>
                <w:kern w:val="0"/>
                <w:sz w:val="24"/>
              </w:rPr>
              <w:t>帮工</w:t>
            </w:r>
          </w:p>
        </w:tc>
        <w:tc>
          <w:tcPr>
            <w:tcW w:w="3118" w:type="dxa"/>
            <w:tcBorders>
              <w:top w:val="nil"/>
              <w:left w:val="nil"/>
              <w:bottom w:val="single" w:color="auto" w:sz="4" w:space="0"/>
              <w:right w:val="single" w:color="auto" w:sz="4" w:space="0"/>
            </w:tcBorders>
            <w:shd w:val="clear" w:color="auto" w:fill="auto"/>
            <w:noWrap/>
            <w:vAlign w:val="center"/>
          </w:tcPr>
          <w:p w14:paraId="7A3B11F0">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4</w:t>
            </w:r>
          </w:p>
        </w:tc>
      </w:tr>
      <w:tr w14:paraId="6D24BE58">
        <w:tblPrEx>
          <w:tblCellMar>
            <w:top w:w="0" w:type="dxa"/>
            <w:left w:w="108" w:type="dxa"/>
            <w:bottom w:w="0" w:type="dxa"/>
            <w:right w:w="108" w:type="dxa"/>
          </w:tblCellMar>
        </w:tblPrEx>
        <w:trPr>
          <w:trHeight w:val="144" w:hRule="atLeast"/>
        </w:trPr>
        <w:tc>
          <w:tcPr>
            <w:tcW w:w="2263" w:type="dxa"/>
            <w:vMerge w:val="continue"/>
            <w:tcBorders>
              <w:left w:val="single" w:color="auto" w:sz="4" w:space="0"/>
              <w:bottom w:val="single" w:color="000000" w:sz="4" w:space="0"/>
              <w:right w:val="single" w:color="auto" w:sz="4" w:space="0"/>
            </w:tcBorders>
            <w:shd w:val="clear" w:color="auto" w:fill="auto"/>
            <w:vAlign w:val="center"/>
          </w:tcPr>
          <w:p w14:paraId="005DC608">
            <w:pPr>
              <w:widowControl/>
              <w:spacing w:line="360" w:lineRule="auto"/>
              <w:rPr>
                <w:rFonts w:ascii="宋体" w:hAnsi="宋体" w:eastAsia="宋体" w:cs="宋体"/>
                <w:kern w:val="0"/>
                <w:sz w:val="24"/>
              </w:rPr>
            </w:pPr>
          </w:p>
        </w:tc>
        <w:tc>
          <w:tcPr>
            <w:tcW w:w="2694" w:type="dxa"/>
            <w:tcBorders>
              <w:top w:val="nil"/>
              <w:left w:val="nil"/>
              <w:bottom w:val="single" w:color="auto" w:sz="4" w:space="0"/>
              <w:right w:val="single" w:color="auto" w:sz="4" w:space="0"/>
            </w:tcBorders>
            <w:shd w:val="clear" w:color="auto" w:fill="auto"/>
            <w:vAlign w:val="center"/>
          </w:tcPr>
          <w:p w14:paraId="2882D5A8">
            <w:pPr>
              <w:widowControl/>
              <w:spacing w:line="360" w:lineRule="auto"/>
              <w:rPr>
                <w:rFonts w:ascii="宋体" w:hAnsi="宋体" w:eastAsia="宋体" w:cs="宋体"/>
                <w:kern w:val="0"/>
                <w:sz w:val="24"/>
              </w:rPr>
            </w:pPr>
            <w:r>
              <w:rPr>
                <w:rFonts w:hint="eastAsia" w:ascii="宋体" w:hAnsi="宋体" w:eastAsia="宋体" w:cs="宋体"/>
                <w:kern w:val="0"/>
                <w:sz w:val="24"/>
              </w:rPr>
              <w:t>仓管兼核算</w:t>
            </w:r>
          </w:p>
        </w:tc>
        <w:tc>
          <w:tcPr>
            <w:tcW w:w="3118" w:type="dxa"/>
            <w:tcBorders>
              <w:top w:val="nil"/>
              <w:left w:val="nil"/>
              <w:bottom w:val="single" w:color="auto" w:sz="4" w:space="0"/>
              <w:right w:val="single" w:color="auto" w:sz="4" w:space="0"/>
            </w:tcBorders>
            <w:shd w:val="clear" w:color="auto" w:fill="auto"/>
            <w:noWrap/>
            <w:vAlign w:val="center"/>
          </w:tcPr>
          <w:p w14:paraId="3E4B6314">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1</w:t>
            </w:r>
          </w:p>
        </w:tc>
      </w:tr>
      <w:tr w14:paraId="6F5C192D">
        <w:tblPrEx>
          <w:tblCellMar>
            <w:top w:w="0" w:type="dxa"/>
            <w:left w:w="108" w:type="dxa"/>
            <w:bottom w:w="0" w:type="dxa"/>
            <w:right w:w="108" w:type="dxa"/>
          </w:tblCellMar>
        </w:tblPrEx>
        <w:trPr>
          <w:trHeight w:val="28" w:hRule="atLeast"/>
        </w:trPr>
        <w:tc>
          <w:tcPr>
            <w:tcW w:w="2263" w:type="dxa"/>
            <w:tcBorders>
              <w:top w:val="nil"/>
              <w:left w:val="single" w:color="auto" w:sz="4" w:space="0"/>
              <w:bottom w:val="single" w:color="auto" w:sz="4" w:space="0"/>
              <w:right w:val="single" w:color="auto" w:sz="4" w:space="0"/>
            </w:tcBorders>
            <w:shd w:val="clear" w:color="auto" w:fill="auto"/>
            <w:noWrap/>
            <w:vAlign w:val="center"/>
          </w:tcPr>
          <w:p w14:paraId="35A72C22">
            <w:pPr>
              <w:widowControl/>
              <w:spacing w:line="360" w:lineRule="auto"/>
              <w:jc w:val="center"/>
              <w:rPr>
                <w:rFonts w:ascii="宋体" w:hAnsi="宋体" w:eastAsia="宋体" w:cs="Times New Roman"/>
                <w:kern w:val="0"/>
                <w:sz w:val="24"/>
              </w:rPr>
            </w:pPr>
            <w:r>
              <w:rPr>
                <w:rFonts w:ascii="宋体" w:hAnsi="宋体" w:eastAsia="宋体" w:cs="Times New Roman"/>
                <w:kern w:val="0"/>
                <w:sz w:val="24"/>
              </w:rPr>
              <w:t>　</w:t>
            </w:r>
          </w:p>
        </w:tc>
        <w:tc>
          <w:tcPr>
            <w:tcW w:w="2694" w:type="dxa"/>
            <w:tcBorders>
              <w:top w:val="nil"/>
              <w:left w:val="nil"/>
              <w:bottom w:val="single" w:color="auto" w:sz="4" w:space="0"/>
              <w:right w:val="single" w:color="auto" w:sz="4" w:space="0"/>
            </w:tcBorders>
            <w:shd w:val="clear" w:color="auto" w:fill="auto"/>
            <w:vAlign w:val="center"/>
          </w:tcPr>
          <w:p w14:paraId="6954D90F">
            <w:pPr>
              <w:widowControl/>
              <w:spacing w:line="360" w:lineRule="auto"/>
              <w:jc w:val="center"/>
              <w:rPr>
                <w:rFonts w:ascii="宋体" w:hAnsi="宋体" w:eastAsia="宋体" w:cs="宋体"/>
                <w:b/>
                <w:bCs/>
                <w:kern w:val="0"/>
                <w:sz w:val="24"/>
              </w:rPr>
            </w:pPr>
            <w:r>
              <w:rPr>
                <w:rFonts w:hint="eastAsia" w:ascii="宋体" w:hAnsi="宋体" w:eastAsia="宋体" w:cs="宋体"/>
                <w:b/>
                <w:bCs/>
                <w:kern w:val="0"/>
                <w:sz w:val="24"/>
              </w:rPr>
              <w:t>小计</w:t>
            </w:r>
          </w:p>
        </w:tc>
        <w:tc>
          <w:tcPr>
            <w:tcW w:w="3118" w:type="dxa"/>
            <w:tcBorders>
              <w:top w:val="nil"/>
              <w:left w:val="nil"/>
              <w:bottom w:val="single" w:color="auto" w:sz="4" w:space="0"/>
              <w:right w:val="single" w:color="auto" w:sz="4" w:space="0"/>
            </w:tcBorders>
            <w:shd w:val="clear" w:color="auto" w:fill="auto"/>
            <w:noWrap/>
            <w:vAlign w:val="center"/>
          </w:tcPr>
          <w:p w14:paraId="771803F1">
            <w:pPr>
              <w:widowControl/>
              <w:spacing w:line="360" w:lineRule="auto"/>
              <w:jc w:val="center"/>
              <w:rPr>
                <w:rFonts w:ascii="宋体" w:hAnsi="宋体" w:eastAsia="宋体" w:cs="Times New Roman"/>
                <w:b/>
                <w:bCs/>
                <w:kern w:val="0"/>
                <w:sz w:val="24"/>
              </w:rPr>
            </w:pPr>
            <w:r>
              <w:rPr>
                <w:rFonts w:ascii="宋体" w:hAnsi="宋体" w:eastAsia="宋体" w:cs="Times New Roman"/>
                <w:b/>
                <w:bCs/>
                <w:kern w:val="0"/>
                <w:sz w:val="24"/>
              </w:rPr>
              <w:t>31</w:t>
            </w:r>
          </w:p>
        </w:tc>
      </w:tr>
    </w:tbl>
    <w:p w14:paraId="3B3ED174">
      <w:pPr>
        <w:autoSpaceDE w:val="0"/>
        <w:autoSpaceDN w:val="0"/>
        <w:spacing w:line="360" w:lineRule="auto"/>
        <w:rPr>
          <w:rFonts w:ascii="宋体" w:hAnsi="宋体" w:eastAsia="宋体"/>
          <w:sz w:val="24"/>
        </w:rPr>
      </w:pPr>
      <w:r>
        <w:rPr>
          <w:rFonts w:hint="eastAsia" w:ascii="宋体" w:hAnsi="宋体" w:eastAsia="宋体"/>
        </w:rPr>
        <w:t>窗口服务人员年龄≤</w:t>
      </w:r>
      <w:r>
        <w:rPr>
          <w:rFonts w:ascii="宋体" w:hAnsi="宋体" w:eastAsia="宋体"/>
        </w:rPr>
        <w:t>50岁，卫生保洁人员≤60岁。</w:t>
      </w:r>
    </w:p>
    <w:p w14:paraId="73F61D96">
      <w:pPr>
        <w:spacing w:line="360" w:lineRule="auto"/>
        <w:ind w:firstLine="482" w:firstLineChars="200"/>
        <w:rPr>
          <w:rFonts w:ascii="宋体" w:hAnsi="宋体" w:eastAsia="宋体"/>
          <w:b/>
          <w:sz w:val="24"/>
          <w:szCs w:val="24"/>
        </w:rPr>
      </w:pPr>
      <w:r>
        <w:rPr>
          <w:rFonts w:hint="eastAsia" w:ascii="宋体" w:hAnsi="宋体" w:eastAsia="宋体"/>
          <w:b/>
          <w:sz w:val="24"/>
          <w:szCs w:val="24"/>
        </w:rPr>
        <w:t>四、</w:t>
      </w:r>
      <w:r>
        <w:rPr>
          <w:rFonts w:ascii="宋体" w:hAnsi="宋体" w:eastAsia="宋体"/>
          <w:b/>
          <w:sz w:val="24"/>
          <w:szCs w:val="24"/>
        </w:rPr>
        <w:t>费用核算、餐饮定价</w:t>
      </w:r>
    </w:p>
    <w:p w14:paraId="43DA0A83">
      <w:pPr>
        <w:tabs>
          <w:tab w:val="left" w:pos="308"/>
        </w:tabs>
        <w:autoSpaceDE w:val="0"/>
        <w:autoSpaceDN w:val="0"/>
        <w:spacing w:line="360" w:lineRule="auto"/>
        <w:ind w:firstLine="480" w:firstLineChars="200"/>
        <w:rPr>
          <w:rFonts w:ascii="宋体" w:hAnsi="宋体" w:eastAsia="宋体" w:cs="宋体"/>
          <w:kern w:val="0"/>
          <w:sz w:val="24"/>
        </w:rPr>
      </w:pPr>
      <w:bookmarkStart w:id="0" w:name="OLE_LINK1"/>
      <w:r>
        <w:rPr>
          <w:rFonts w:ascii="宋体" w:hAnsi="宋体" w:eastAsia="宋体" w:cs="宋体"/>
          <w:kern w:val="0"/>
          <w:sz w:val="24"/>
        </w:rPr>
        <w:t>食堂月管理运营费用由中标人垫付，每月10日为由院方统一根据实际运行报表及考核情况以食堂月服务费形式结算给中标人。</w:t>
      </w:r>
    </w:p>
    <w:p w14:paraId="1ED229B8">
      <w:pPr>
        <w:tabs>
          <w:tab w:val="left" w:pos="308"/>
        </w:tabs>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结账方式：每月</w:t>
      </w:r>
      <w:r>
        <w:rPr>
          <w:rFonts w:ascii="宋体" w:hAnsi="宋体" w:eastAsia="宋体" w:cs="宋体"/>
          <w:kern w:val="0"/>
          <w:sz w:val="24"/>
        </w:rPr>
        <w:t>10日为对账</w:t>
      </w:r>
      <w:r>
        <w:rPr>
          <w:rFonts w:hint="eastAsia" w:ascii="宋体" w:hAnsi="宋体" w:eastAsia="宋体" w:cs="宋体"/>
          <w:kern w:val="0"/>
          <w:sz w:val="24"/>
        </w:rPr>
        <w:t>日，经双方确认无误后，由供应商开具正规的餐饮发票给予招标人，</w:t>
      </w:r>
      <w:r>
        <w:rPr>
          <w:rFonts w:ascii="宋体" w:hAnsi="宋体" w:eastAsia="宋体" w:cs="宋体"/>
          <w:kern w:val="0"/>
          <w:sz w:val="24"/>
        </w:rPr>
        <w:t>清算后医院财务科由银行转账供方。</w:t>
      </w:r>
    </w:p>
    <w:p w14:paraId="7F97416B">
      <w:pPr>
        <w:tabs>
          <w:tab w:val="left" w:pos="308"/>
        </w:tabs>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.职工食堂：</w:t>
      </w:r>
    </w:p>
    <w:p w14:paraId="68B5B44F">
      <w:pPr>
        <w:tabs>
          <w:tab w:val="left" w:pos="548"/>
        </w:tabs>
        <w:autoSpaceDE w:val="0"/>
        <w:autoSpaceDN w:val="0"/>
        <w:spacing w:line="360" w:lineRule="auto"/>
        <w:ind w:firstLine="480" w:firstLineChars="200"/>
        <w:rPr>
          <w:rFonts w:ascii="宋体" w:hAnsi="宋体" w:eastAsia="宋体" w:cs="宋体"/>
          <w:color w:val="FF0000"/>
          <w:kern w:val="0"/>
          <w:sz w:val="24"/>
        </w:rPr>
      </w:pPr>
      <w:r>
        <w:rPr>
          <w:rFonts w:hint="eastAsia" w:ascii="宋体" w:hAnsi="宋体" w:eastAsia="宋体" w:cs="宋体"/>
          <w:color w:val="FF0000"/>
          <w:kern w:val="0"/>
          <w:sz w:val="24"/>
        </w:rPr>
        <w:t>职工</w:t>
      </w:r>
      <w:bookmarkEnd w:id="0"/>
      <w:r>
        <w:rPr>
          <w:rFonts w:ascii="宋体" w:hAnsi="宋体" w:eastAsia="宋体" w:cs="宋体"/>
          <w:color w:val="FF0000"/>
          <w:kern w:val="0"/>
          <w:sz w:val="24"/>
        </w:rPr>
        <w:t>食堂月服务费=食堂月管理运营费用+</w:t>
      </w:r>
      <w:bookmarkStart w:id="1" w:name="OLE_LINK2"/>
      <w:r>
        <w:rPr>
          <w:rFonts w:ascii="宋体" w:hAnsi="宋体" w:eastAsia="宋体" w:cs="宋体"/>
          <w:color w:val="FF0000"/>
          <w:kern w:val="0"/>
          <w:sz w:val="24"/>
        </w:rPr>
        <w:t>食堂</w:t>
      </w:r>
      <w:r>
        <w:rPr>
          <w:rFonts w:hint="eastAsia" w:ascii="宋体" w:hAnsi="宋体" w:eastAsia="宋体" w:cs="宋体"/>
          <w:color w:val="FF0000"/>
          <w:kern w:val="0"/>
          <w:sz w:val="24"/>
        </w:rPr>
        <w:t>月销售营业额</w:t>
      </w:r>
      <w:bookmarkEnd w:id="1"/>
      <w:r>
        <w:rPr>
          <w:rFonts w:hint="eastAsia" w:ascii="宋体" w:hAnsi="宋体" w:eastAsia="宋体" w:cs="宋体"/>
          <w:color w:val="FF0000"/>
          <w:kern w:val="0"/>
          <w:sz w:val="24"/>
        </w:rPr>
        <w:t>。</w:t>
      </w:r>
      <w:r>
        <w:rPr>
          <w:rFonts w:ascii="宋体" w:hAnsi="宋体" w:eastAsia="宋体" w:cs="宋体"/>
          <w:color w:val="FF0000"/>
          <w:kern w:val="0"/>
          <w:sz w:val="24"/>
        </w:rPr>
        <w:t>食堂月管理运营费用包含：人力成本、管理费及税金等所有管理运营费，耗材费用（包含工具、消耗品及制服折旧等</w:t>
      </w:r>
      <w:r>
        <w:rPr>
          <w:rFonts w:hint="eastAsia" w:ascii="宋体" w:hAnsi="宋体" w:eastAsia="宋体" w:cs="宋体"/>
          <w:color w:val="FF0000"/>
          <w:kern w:val="0"/>
          <w:sz w:val="24"/>
        </w:rPr>
        <w:t>）、运营费用（油</w:t>
      </w:r>
      <w:r>
        <w:rPr>
          <w:rFonts w:ascii="宋体" w:hAnsi="宋体" w:eastAsia="宋体" w:cs="宋体"/>
          <w:color w:val="FF0000"/>
          <w:kern w:val="0"/>
          <w:sz w:val="24"/>
        </w:rPr>
        <w:t>脂</w:t>
      </w:r>
      <w:r>
        <w:rPr>
          <w:rFonts w:hint="eastAsia" w:ascii="宋体" w:hAnsi="宋体" w:eastAsia="宋体" w:cs="宋体"/>
          <w:color w:val="FF0000"/>
          <w:kern w:val="0"/>
          <w:sz w:val="24"/>
        </w:rPr>
        <w:t>清掏</w:t>
      </w:r>
      <w:r>
        <w:rPr>
          <w:rFonts w:ascii="宋体" w:hAnsi="宋体" w:eastAsia="宋体" w:cs="宋体"/>
          <w:color w:val="FF0000"/>
          <w:kern w:val="0"/>
          <w:sz w:val="24"/>
        </w:rPr>
        <w:t>、</w:t>
      </w:r>
      <w:r>
        <w:rPr>
          <w:rFonts w:hint="eastAsia" w:ascii="宋体" w:hAnsi="宋体" w:eastAsia="宋体" w:cs="宋体"/>
          <w:color w:val="FF0000"/>
          <w:kern w:val="0"/>
          <w:sz w:val="24"/>
        </w:rPr>
        <w:t>一次性用品）等均由投标人自行承担，不包含在投标报价中；</w:t>
      </w:r>
      <w:r>
        <w:rPr>
          <w:rFonts w:ascii="宋体" w:hAnsi="宋体" w:eastAsia="宋体" w:cs="宋体"/>
          <w:color w:val="FF0000"/>
          <w:kern w:val="0"/>
          <w:sz w:val="24"/>
        </w:rPr>
        <w:t>食堂</w:t>
      </w:r>
      <w:r>
        <w:rPr>
          <w:rFonts w:hint="eastAsia" w:ascii="宋体" w:hAnsi="宋体" w:eastAsia="宋体" w:cs="宋体"/>
          <w:color w:val="FF0000"/>
          <w:kern w:val="0"/>
          <w:sz w:val="24"/>
        </w:rPr>
        <w:t>销售营业额按照食堂实际发生的刷卡金额计算，按月向医院申请餐饮销售额。</w:t>
      </w:r>
      <w:r>
        <w:rPr>
          <w:rFonts w:ascii="宋体" w:hAnsi="宋体" w:eastAsia="宋体" w:cs="宋体"/>
          <w:color w:val="FF0000"/>
          <w:kern w:val="0"/>
          <w:sz w:val="24"/>
        </w:rPr>
        <w:t>投标人须提供</w:t>
      </w:r>
      <w:r>
        <w:rPr>
          <w:rFonts w:hint="eastAsia" w:ascii="宋体" w:hAnsi="宋体" w:eastAsia="宋体" w:cs="宋体"/>
          <w:color w:val="FF0000"/>
          <w:kern w:val="0"/>
          <w:sz w:val="24"/>
        </w:rPr>
        <w:t>食堂财务报表、菜品成本分析、</w:t>
      </w:r>
      <w:r>
        <w:rPr>
          <w:rFonts w:ascii="宋体" w:hAnsi="宋体" w:eastAsia="宋体" w:cs="宋体"/>
          <w:color w:val="FF0000"/>
          <w:kern w:val="0"/>
          <w:sz w:val="24"/>
        </w:rPr>
        <w:t>原材料</w:t>
      </w:r>
      <w:r>
        <w:rPr>
          <w:rFonts w:hint="eastAsia" w:ascii="宋体" w:hAnsi="宋体" w:eastAsia="宋体" w:cs="宋体"/>
          <w:color w:val="FF0000"/>
          <w:kern w:val="0"/>
          <w:sz w:val="24"/>
        </w:rPr>
        <w:t>价格</w:t>
      </w:r>
      <w:r>
        <w:rPr>
          <w:rFonts w:ascii="宋体" w:hAnsi="宋体" w:eastAsia="宋体" w:cs="宋体"/>
          <w:color w:val="FF0000"/>
          <w:kern w:val="0"/>
          <w:sz w:val="24"/>
        </w:rPr>
        <w:t>、进货单等招标人要求的相关材料。</w:t>
      </w:r>
    </w:p>
    <w:p w14:paraId="1DD32014">
      <w:pPr>
        <w:tabs>
          <w:tab w:val="left" w:pos="54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餐饮定价：按照成本价定价，</w:t>
      </w:r>
      <w:r>
        <w:rPr>
          <w:rFonts w:ascii="宋体" w:hAnsi="宋体" w:eastAsia="宋体" w:cs="宋体"/>
          <w:spacing w:val="-3"/>
          <w:kern w:val="0"/>
          <w:sz w:val="24"/>
        </w:rPr>
        <w:t>由招标人按照成本核算情况确定，</w:t>
      </w:r>
      <w:r>
        <w:rPr>
          <w:rFonts w:ascii="宋体" w:hAnsi="宋体" w:eastAsia="宋体" w:cs="宋体"/>
          <w:kern w:val="0"/>
          <w:sz w:val="24"/>
        </w:rPr>
        <w:t>菜品费用构成明细由投标人提供，经招标人确定后执行，运营过程中招标人有权对菜肴售价提出建议，投标人应及时采纳招标人建议，对价格进行调整。成本价定价项目针对就餐卡消费的所有品种。</w:t>
      </w:r>
    </w:p>
    <w:p w14:paraId="47826FE3">
      <w:pPr>
        <w:pStyle w:val="47"/>
        <w:tabs>
          <w:tab w:val="left" w:pos="308"/>
        </w:tabs>
        <w:autoSpaceDE w:val="0"/>
        <w:autoSpaceDN w:val="0"/>
        <w:spacing w:line="360" w:lineRule="auto"/>
        <w:ind w:left="480" w:firstLine="0" w:firstLineChars="0"/>
        <w:contextualSpacing/>
        <w:rPr>
          <w:rFonts w:ascii="宋体" w:hAnsi="宋体" w:eastAsia="宋体" w:cs="宋体"/>
          <w:kern w:val="0"/>
          <w:sz w:val="24"/>
        </w:rPr>
      </w:pP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营养食堂：</w:t>
      </w:r>
    </w:p>
    <w:p w14:paraId="6938E71C">
      <w:pPr>
        <w:tabs>
          <w:tab w:val="left" w:pos="548"/>
        </w:tabs>
        <w:autoSpaceDE w:val="0"/>
        <w:autoSpaceDN w:val="0"/>
        <w:spacing w:line="360" w:lineRule="auto"/>
        <w:ind w:firstLine="480" w:firstLineChars="200"/>
        <w:rPr>
          <w:rFonts w:ascii="宋体" w:hAnsi="宋体" w:eastAsia="宋体" w:cs="宋体"/>
          <w:color w:val="FF0000"/>
          <w:kern w:val="0"/>
          <w:sz w:val="24"/>
        </w:rPr>
      </w:pPr>
      <w:r>
        <w:rPr>
          <w:rFonts w:hint="eastAsia" w:ascii="宋体" w:hAnsi="宋体" w:eastAsia="宋体" w:cs="宋体"/>
          <w:color w:val="FF0000"/>
          <w:kern w:val="0"/>
          <w:sz w:val="24"/>
        </w:rPr>
        <w:t>营养食堂</w:t>
      </w:r>
      <w:r>
        <w:rPr>
          <w:rFonts w:ascii="宋体" w:hAnsi="宋体" w:eastAsia="宋体" w:cs="宋体"/>
          <w:color w:val="FF0000"/>
          <w:kern w:val="0"/>
          <w:sz w:val="24"/>
        </w:rPr>
        <w:t>月服务费=食堂月管理运营费用+食堂</w:t>
      </w:r>
      <w:r>
        <w:rPr>
          <w:rFonts w:hint="eastAsia" w:ascii="宋体" w:hAnsi="宋体" w:eastAsia="宋体" w:cs="宋体"/>
          <w:color w:val="FF0000"/>
          <w:kern w:val="0"/>
          <w:sz w:val="24"/>
        </w:rPr>
        <w:t>月销售营业额。</w:t>
      </w:r>
      <w:r>
        <w:rPr>
          <w:rFonts w:ascii="宋体" w:hAnsi="宋体" w:eastAsia="宋体" w:cs="宋体"/>
          <w:color w:val="FF0000"/>
          <w:kern w:val="0"/>
          <w:sz w:val="24"/>
        </w:rPr>
        <w:t>食堂月管理运营费用包含：人力成本、管理费及税金等所有管理运营费，耗材费用（包含工具、消耗品及制服折旧等</w:t>
      </w:r>
      <w:r>
        <w:rPr>
          <w:rFonts w:hint="eastAsia" w:ascii="宋体" w:hAnsi="宋体" w:eastAsia="宋体" w:cs="宋体"/>
          <w:color w:val="FF0000"/>
          <w:kern w:val="0"/>
          <w:sz w:val="24"/>
        </w:rPr>
        <w:t>）、运营费用（油</w:t>
      </w:r>
      <w:r>
        <w:rPr>
          <w:rFonts w:ascii="宋体" w:hAnsi="宋体" w:eastAsia="宋体" w:cs="宋体"/>
          <w:color w:val="FF0000"/>
          <w:kern w:val="0"/>
          <w:sz w:val="24"/>
        </w:rPr>
        <w:t>脂</w:t>
      </w:r>
      <w:r>
        <w:rPr>
          <w:rFonts w:hint="eastAsia" w:ascii="宋体" w:hAnsi="宋体" w:eastAsia="宋体" w:cs="宋体"/>
          <w:color w:val="FF0000"/>
          <w:kern w:val="0"/>
          <w:sz w:val="24"/>
        </w:rPr>
        <w:t>清掏</w:t>
      </w:r>
      <w:r>
        <w:rPr>
          <w:rFonts w:ascii="宋体" w:hAnsi="宋体" w:eastAsia="宋体" w:cs="宋体"/>
          <w:color w:val="FF0000"/>
          <w:kern w:val="0"/>
          <w:sz w:val="24"/>
        </w:rPr>
        <w:t>、</w:t>
      </w:r>
      <w:r>
        <w:rPr>
          <w:rFonts w:hint="eastAsia" w:ascii="宋体" w:hAnsi="宋体" w:eastAsia="宋体" w:cs="宋体"/>
          <w:color w:val="FF0000"/>
          <w:kern w:val="0"/>
          <w:sz w:val="24"/>
        </w:rPr>
        <w:t>一次性用品）等均由投标人自行承担，不包含在投标报价中；</w:t>
      </w:r>
      <w:r>
        <w:rPr>
          <w:rFonts w:ascii="宋体" w:hAnsi="宋体" w:eastAsia="宋体" w:cs="宋体"/>
          <w:color w:val="FF0000"/>
          <w:kern w:val="0"/>
          <w:sz w:val="24"/>
        </w:rPr>
        <w:t>食堂</w:t>
      </w:r>
      <w:r>
        <w:rPr>
          <w:rFonts w:hint="eastAsia" w:ascii="宋体" w:hAnsi="宋体" w:eastAsia="宋体" w:cs="宋体"/>
          <w:color w:val="FF0000"/>
          <w:kern w:val="0"/>
          <w:sz w:val="24"/>
        </w:rPr>
        <w:t>销售营业额按照食堂实际发生的刷卡金额计算，按月向医院申请餐饮销售额。</w:t>
      </w:r>
      <w:r>
        <w:rPr>
          <w:rFonts w:ascii="宋体" w:hAnsi="宋体" w:eastAsia="宋体" w:cs="宋体"/>
          <w:color w:val="FF0000"/>
          <w:kern w:val="0"/>
          <w:sz w:val="24"/>
        </w:rPr>
        <w:t>投标人须提供</w:t>
      </w:r>
      <w:r>
        <w:rPr>
          <w:rFonts w:hint="eastAsia" w:ascii="宋体" w:hAnsi="宋体" w:eastAsia="宋体" w:cs="宋体"/>
          <w:color w:val="FF0000"/>
          <w:kern w:val="0"/>
          <w:sz w:val="24"/>
        </w:rPr>
        <w:t>食堂财务报表、菜品成本分析、</w:t>
      </w:r>
      <w:r>
        <w:rPr>
          <w:rFonts w:ascii="宋体" w:hAnsi="宋体" w:eastAsia="宋体" w:cs="宋体"/>
          <w:color w:val="FF0000"/>
          <w:kern w:val="0"/>
          <w:sz w:val="24"/>
        </w:rPr>
        <w:t>原材料</w:t>
      </w:r>
      <w:r>
        <w:rPr>
          <w:rFonts w:hint="eastAsia" w:ascii="宋体" w:hAnsi="宋体" w:eastAsia="宋体" w:cs="宋体"/>
          <w:color w:val="FF0000"/>
          <w:kern w:val="0"/>
          <w:sz w:val="24"/>
        </w:rPr>
        <w:t>价格</w:t>
      </w:r>
      <w:r>
        <w:rPr>
          <w:rFonts w:ascii="宋体" w:hAnsi="宋体" w:eastAsia="宋体" w:cs="宋体"/>
          <w:color w:val="FF0000"/>
          <w:kern w:val="0"/>
          <w:sz w:val="24"/>
        </w:rPr>
        <w:t>、进货单等招标人要求的相关材料。</w:t>
      </w:r>
    </w:p>
    <w:p w14:paraId="4706FE0E">
      <w:pPr>
        <w:tabs>
          <w:tab w:val="left" w:pos="548"/>
        </w:tabs>
        <w:autoSpaceDE w:val="0"/>
        <w:autoSpaceDN w:val="0"/>
        <w:spacing w:line="360" w:lineRule="auto"/>
        <w:ind w:firstLine="480" w:firstLineChars="200"/>
        <w:rPr>
          <w:rFonts w:ascii="宋体" w:hAnsi="宋体" w:eastAsia="宋体" w:cs="宋体"/>
          <w:color w:val="FF0000"/>
          <w:kern w:val="0"/>
          <w:sz w:val="24"/>
        </w:rPr>
      </w:pPr>
      <w:r>
        <w:rPr>
          <w:rFonts w:ascii="宋体" w:hAnsi="宋体" w:eastAsia="宋体" w:cs="宋体"/>
          <w:color w:val="FF0000"/>
          <w:kern w:val="0"/>
          <w:sz w:val="24"/>
        </w:rPr>
        <w:t>餐饮定价：按照成本价定价，由招标人按照成本核算情况确定，菜品费用构成明细由投标人提供，经招标人确定后执行，运营过程中招标人有权对菜肴售价提出建议，投标人应及时采纳招标人建议，对价格进行调整。成本价定价项目针对就餐卡消费的所有品种。</w:t>
      </w:r>
    </w:p>
    <w:p w14:paraId="0A315019">
      <w:pPr>
        <w:spacing w:line="360" w:lineRule="auto"/>
        <w:ind w:firstLine="482" w:firstLineChars="200"/>
        <w:rPr>
          <w:rFonts w:ascii="宋体" w:hAnsi="宋体" w:eastAsia="宋体"/>
          <w:b/>
          <w:sz w:val="24"/>
          <w:szCs w:val="24"/>
        </w:rPr>
      </w:pPr>
      <w:r>
        <w:rPr>
          <w:rFonts w:hint="eastAsia" w:ascii="宋体" w:hAnsi="宋体" w:eastAsia="宋体"/>
          <w:b/>
          <w:sz w:val="24"/>
          <w:szCs w:val="24"/>
        </w:rPr>
        <w:t>五、项目报价要求</w:t>
      </w:r>
    </w:p>
    <w:p w14:paraId="20DA954B">
      <w:pPr>
        <w:autoSpaceDE w:val="0"/>
        <w:autoSpaceDN w:val="0"/>
        <w:spacing w:line="360" w:lineRule="auto"/>
        <w:ind w:firstLine="420"/>
        <w:rPr>
          <w:rFonts w:ascii="宋体" w:hAnsi="宋体" w:eastAsia="宋体" w:cs="宋体"/>
          <w:color w:val="FF0000"/>
          <w:kern w:val="0"/>
          <w:sz w:val="24"/>
        </w:rPr>
      </w:pPr>
      <w:r>
        <w:rPr>
          <w:rFonts w:ascii="宋体" w:hAnsi="宋体" w:eastAsia="宋体" w:cs="宋体"/>
          <w:color w:val="FF0000"/>
          <w:kern w:val="0"/>
          <w:sz w:val="24"/>
        </w:rPr>
        <w:t>★1.本项目报价中应包含人力成本、管理费及税金等所有管理运营费</w:t>
      </w:r>
      <w:r>
        <w:rPr>
          <w:rFonts w:hint="eastAsia" w:ascii="宋体" w:hAnsi="宋体" w:eastAsia="宋体" w:cs="宋体"/>
          <w:color w:val="FF0000"/>
          <w:kern w:val="0"/>
          <w:sz w:val="24"/>
        </w:rPr>
        <w:t>。</w:t>
      </w:r>
      <w:r>
        <w:rPr>
          <w:rFonts w:ascii="宋体" w:hAnsi="宋体" w:eastAsia="宋体" w:cs="宋体"/>
          <w:color w:val="FF0000"/>
          <w:kern w:val="0"/>
          <w:sz w:val="24"/>
        </w:rPr>
        <w:t>耗材费用（包含工具、消耗品及制服折旧等</w:t>
      </w:r>
      <w:r>
        <w:rPr>
          <w:rFonts w:hint="eastAsia" w:ascii="宋体" w:hAnsi="宋体" w:eastAsia="宋体" w:cs="宋体"/>
          <w:color w:val="FF0000"/>
          <w:kern w:val="0"/>
          <w:sz w:val="24"/>
        </w:rPr>
        <w:t>）、运营费用（油</w:t>
      </w:r>
      <w:r>
        <w:rPr>
          <w:rFonts w:ascii="宋体" w:hAnsi="宋体" w:eastAsia="宋体" w:cs="宋体"/>
          <w:color w:val="FF0000"/>
          <w:kern w:val="0"/>
          <w:sz w:val="24"/>
        </w:rPr>
        <w:t>脂</w:t>
      </w:r>
      <w:r>
        <w:rPr>
          <w:rFonts w:hint="eastAsia" w:ascii="宋体" w:hAnsi="宋体" w:eastAsia="宋体" w:cs="宋体"/>
          <w:color w:val="FF0000"/>
          <w:kern w:val="0"/>
          <w:sz w:val="24"/>
        </w:rPr>
        <w:t>清掏</w:t>
      </w:r>
      <w:r>
        <w:rPr>
          <w:rFonts w:ascii="宋体" w:hAnsi="宋体" w:eastAsia="宋体" w:cs="宋体"/>
          <w:color w:val="FF0000"/>
          <w:kern w:val="0"/>
          <w:sz w:val="24"/>
        </w:rPr>
        <w:t>、</w:t>
      </w:r>
      <w:r>
        <w:rPr>
          <w:rFonts w:hint="eastAsia" w:ascii="宋体" w:hAnsi="宋体" w:eastAsia="宋体" w:cs="宋体"/>
          <w:color w:val="FF0000"/>
          <w:kern w:val="0"/>
          <w:sz w:val="24"/>
        </w:rPr>
        <w:t>一次性用品）等均由投标人自行承担，不包含在投标报价中。</w:t>
      </w:r>
    </w:p>
    <w:p w14:paraId="26F92C1C">
      <w:pPr>
        <w:autoSpaceDE w:val="0"/>
        <w:autoSpaceDN w:val="0"/>
        <w:spacing w:line="360" w:lineRule="auto"/>
        <w:ind w:firstLine="420"/>
        <w:rPr>
          <w:rFonts w:ascii="宋体" w:hAnsi="宋体" w:eastAsia="宋体" w:cs="宋体"/>
          <w:color w:val="FF0000"/>
          <w:kern w:val="0"/>
          <w:sz w:val="24"/>
        </w:rPr>
      </w:pPr>
      <w:r>
        <w:rPr>
          <w:rFonts w:hint="eastAsia" w:ascii="宋体" w:hAnsi="宋体" w:eastAsia="宋体" w:cs="宋体"/>
          <w:color w:val="FF0000"/>
          <w:kern w:val="0"/>
          <w:sz w:val="24"/>
        </w:rPr>
        <w:t>2</w:t>
      </w:r>
      <w:r>
        <w:rPr>
          <w:rFonts w:ascii="宋体" w:hAnsi="宋体" w:eastAsia="宋体" w:cs="宋体"/>
          <w:color w:val="FF0000"/>
          <w:kern w:val="0"/>
          <w:sz w:val="24"/>
        </w:rPr>
        <w:t>.职工食堂为职工自选+特色菜品模式，菜品要丰富多样、搭配合理、营养健康，价格需在投标文件中体现，原则上投标文件所拟定的菜价将作为今后食堂售卖价（除增加新品及重新调价外需招标人审核）（早点品种≥10种，中餐和晚餐，每餐大荤≥6种、小荤≥6种、蔬菜≥4种），特色档口需定期更新花色品种，原则上两周不重复。（提供单价成本分析表）。</w:t>
      </w:r>
    </w:p>
    <w:p w14:paraId="24321FD0">
      <w:pPr>
        <w:autoSpaceDE w:val="0"/>
        <w:autoSpaceDN w:val="0"/>
        <w:spacing w:line="360" w:lineRule="auto"/>
        <w:ind w:firstLine="420"/>
        <w:rPr>
          <w:rFonts w:ascii="宋体" w:hAnsi="宋体" w:eastAsia="宋体" w:cs="宋体"/>
          <w:color w:val="FF0000"/>
          <w:kern w:val="0"/>
          <w:sz w:val="24"/>
        </w:rPr>
      </w:pPr>
      <w:r>
        <w:rPr>
          <w:rFonts w:hint="eastAsia" w:ascii="宋体" w:hAnsi="宋体" w:eastAsia="宋体" w:cs="宋体"/>
          <w:color w:val="FF0000"/>
          <w:kern w:val="0"/>
          <w:sz w:val="24"/>
        </w:rPr>
        <w:t>3</w:t>
      </w:r>
      <w:r>
        <w:rPr>
          <w:rFonts w:ascii="宋体" w:hAnsi="宋体" w:eastAsia="宋体" w:cs="宋体"/>
          <w:color w:val="FF0000"/>
          <w:kern w:val="0"/>
          <w:sz w:val="24"/>
        </w:rPr>
        <w:t>.提供菜谱，并进行成本分析。</w:t>
      </w:r>
    </w:p>
    <w:p w14:paraId="0A8BB138">
      <w:pPr>
        <w:pStyle w:val="2"/>
        <w:spacing w:before="62"/>
        <w:ind w:firstLine="480" w:firstLineChars="200"/>
        <w:jc w:val="both"/>
        <w:rPr>
          <w:rFonts w:ascii="宋体" w:cs="宋体"/>
          <w:color w:val="FF0000"/>
          <w:kern w:val="0"/>
          <w:sz w:val="24"/>
          <w:szCs w:val="22"/>
        </w:rPr>
      </w:pPr>
      <w:r>
        <w:rPr>
          <w:rFonts w:hint="eastAsia" w:ascii="宋体" w:cs="宋体"/>
          <w:color w:val="FF0000"/>
          <w:kern w:val="0"/>
          <w:sz w:val="24"/>
          <w:szCs w:val="22"/>
        </w:rPr>
        <w:t>4</w:t>
      </w:r>
      <w:r>
        <w:rPr>
          <w:rFonts w:ascii="宋体" w:cs="宋体"/>
          <w:color w:val="FF0000"/>
          <w:kern w:val="0"/>
          <w:sz w:val="24"/>
          <w:szCs w:val="22"/>
        </w:rPr>
        <w:t>.</w:t>
      </w:r>
      <w:r>
        <w:rPr>
          <w:rFonts w:hint="eastAsia" w:ascii="宋体" w:cs="宋体"/>
          <w:color w:val="FF0000"/>
          <w:kern w:val="0"/>
          <w:sz w:val="24"/>
          <w:szCs w:val="22"/>
        </w:rPr>
        <w:t>分项报价明细，按照工种报价。</w:t>
      </w:r>
    </w:p>
    <w:p w14:paraId="7C9E1949">
      <w:pPr>
        <w:spacing w:line="360" w:lineRule="auto"/>
        <w:ind w:firstLine="482" w:firstLineChars="200"/>
        <w:rPr>
          <w:rFonts w:ascii="宋体" w:hAnsi="宋体" w:eastAsia="宋体"/>
          <w:b/>
          <w:sz w:val="24"/>
          <w:szCs w:val="24"/>
        </w:rPr>
      </w:pPr>
      <w:r>
        <w:rPr>
          <w:rFonts w:hint="eastAsia" w:ascii="宋体" w:hAnsi="宋体" w:eastAsia="宋体"/>
          <w:b/>
          <w:sz w:val="24"/>
          <w:szCs w:val="24"/>
        </w:rPr>
        <w:t>六、食材采购要求</w:t>
      </w:r>
    </w:p>
    <w:p w14:paraId="583D0AD1">
      <w:pPr>
        <w:tabs>
          <w:tab w:val="left" w:pos="308"/>
        </w:tabs>
        <w:autoSpaceDE w:val="0"/>
        <w:autoSpaceDN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rPr>
        <w:t>（</w:t>
      </w:r>
      <w:r>
        <w:rPr>
          <w:rFonts w:ascii="宋体" w:hAnsi="宋体" w:eastAsia="宋体" w:cs="宋体"/>
          <w:b/>
          <w:kern w:val="0"/>
          <w:sz w:val="24"/>
        </w:rPr>
        <w:t>一）农副产品价格要求</w:t>
      </w:r>
    </w:p>
    <w:p w14:paraId="38D4D329">
      <w:pPr>
        <w:tabs>
          <w:tab w:val="left" w:pos="308"/>
        </w:tabs>
        <w:autoSpaceDE w:val="0"/>
        <w:autoSpaceDN w:val="0"/>
        <w:spacing w:line="360" w:lineRule="auto"/>
        <w:ind w:firstLine="480" w:firstLineChars="200"/>
        <w:rPr>
          <w:rFonts w:ascii="宋体" w:hAnsi="宋体" w:eastAsia="宋体" w:cs="宋体"/>
          <w:color w:val="FF0000"/>
          <w:kern w:val="0"/>
          <w:sz w:val="24"/>
        </w:rPr>
      </w:pPr>
      <w:r>
        <w:rPr>
          <w:rFonts w:ascii="宋体" w:hAnsi="宋体" w:eastAsia="宋体" w:cs="宋体"/>
          <w:color w:val="FF0000"/>
          <w:kern w:val="0"/>
          <w:sz w:val="24"/>
        </w:rPr>
        <w:t>1、</w:t>
      </w:r>
      <w:r>
        <w:rPr>
          <w:rFonts w:hint="eastAsia" w:ascii="宋体" w:hAnsi="宋体" w:eastAsia="宋体" w:cs="宋体"/>
          <w:color w:val="FF0000"/>
          <w:kern w:val="0"/>
          <w:sz w:val="24"/>
        </w:rPr>
        <w:t>所有配送蔬菜、肉类、禽蛋类、冷冻类、水产类、豆制品类的价格应参考上海市发展和改革委员会公布的价格，具体标准：（1）上海市主副食品品种价格信息表目录内的产品：采购价以上海市发展和改革委员会</w:t>
      </w:r>
      <w:r>
        <w:rPr>
          <w:rFonts w:ascii="宋体" w:hAnsi="宋体" w:eastAsia="宋体" w:cs="宋体"/>
          <w:color w:val="FF0000"/>
          <w:kern w:val="0"/>
          <w:sz w:val="24"/>
        </w:rPr>
        <w:t>https://fgw.sh.gov.cn/fgw jgjgdt/index.html 每周三公布的“上海市主副食品品种价格信息表”中所有监测点的平均价为基数，（</w:t>
      </w:r>
      <w:r>
        <w:rPr>
          <w:rFonts w:hint="eastAsia" w:ascii="宋体" w:hAnsi="宋体" w:eastAsia="宋体" w:cs="宋体"/>
          <w:color w:val="FF0000"/>
          <w:kern w:val="0"/>
          <w:sz w:val="24"/>
        </w:rPr>
        <w:t>2</w:t>
      </w:r>
      <w:r>
        <w:rPr>
          <w:rFonts w:ascii="宋体" w:hAnsi="宋体" w:eastAsia="宋体" w:cs="宋体"/>
          <w:color w:val="FF0000"/>
          <w:kern w:val="0"/>
          <w:sz w:val="24"/>
        </w:rPr>
        <w:t>）</w:t>
      </w:r>
      <w:r>
        <w:rPr>
          <w:rFonts w:hint="eastAsia" w:ascii="宋体" w:hAnsi="宋体" w:eastAsia="宋体" w:cs="宋体"/>
          <w:color w:val="FF0000"/>
          <w:kern w:val="0"/>
          <w:sz w:val="24"/>
        </w:rPr>
        <w:t>上海市主副食品品种价格信息表目录外的产品：由招标人和投标人组建询价小组，在农贸市场进行询价，经招标人、投标人双方确定后作为基准价。部分副食品需经加工后配送到现场或免费提供现场加工服务。</w:t>
      </w:r>
    </w:p>
    <w:p w14:paraId="57B5A090">
      <w:pPr>
        <w:tabs>
          <w:tab w:val="left" w:pos="308"/>
        </w:tabs>
        <w:autoSpaceDE w:val="0"/>
        <w:autoSpaceDN w:val="0"/>
        <w:spacing w:line="360" w:lineRule="auto"/>
        <w:ind w:firstLine="480" w:firstLineChars="200"/>
        <w:rPr>
          <w:rFonts w:ascii="宋体" w:hAnsi="宋体" w:eastAsia="宋体" w:cs="宋体"/>
          <w:color w:val="FF0000"/>
          <w:kern w:val="0"/>
          <w:sz w:val="24"/>
        </w:rPr>
      </w:pPr>
      <w:r>
        <w:rPr>
          <w:rFonts w:ascii="宋体" w:hAnsi="宋体" w:eastAsia="宋体" w:cs="宋体"/>
          <w:color w:val="FF0000"/>
          <w:kern w:val="0"/>
          <w:sz w:val="24"/>
        </w:rPr>
        <w:t>2、所有配送蔬菜、肉类、禽蛋类、冷冻类、水产类、豆制品类等的价格，每周定价一次，每一品种报价明确价格范围，价格</w:t>
      </w:r>
      <w:r>
        <w:rPr>
          <w:rFonts w:hint="eastAsia" w:ascii="宋体" w:hAnsi="宋体" w:eastAsia="宋体" w:cs="宋体"/>
          <w:color w:val="FF0000"/>
          <w:kern w:val="0"/>
          <w:sz w:val="24"/>
        </w:rPr>
        <w:t>应参考上海市发展和改革委员会公布的价格，具体标准：（1）上海市主副食品品种价格信息表目录内的产品：采购价以上海市发展和改革委员会</w:t>
      </w:r>
      <w:r>
        <w:rPr>
          <w:rFonts w:ascii="宋体" w:hAnsi="宋体" w:eastAsia="宋体" w:cs="宋体"/>
          <w:color w:val="FF0000"/>
          <w:kern w:val="0"/>
          <w:sz w:val="24"/>
        </w:rPr>
        <w:t>https://fgw.sh.gov.cn/fgw jgjgdt/index.html 每周三公布的“上海市主副食品品种价格信息表”中所有监测点的平均价为基数，（</w:t>
      </w:r>
      <w:r>
        <w:rPr>
          <w:rFonts w:hint="eastAsia" w:ascii="宋体" w:hAnsi="宋体" w:eastAsia="宋体" w:cs="宋体"/>
          <w:color w:val="FF0000"/>
          <w:kern w:val="0"/>
          <w:sz w:val="24"/>
        </w:rPr>
        <w:t>2</w:t>
      </w:r>
      <w:r>
        <w:rPr>
          <w:rFonts w:ascii="宋体" w:hAnsi="宋体" w:eastAsia="宋体" w:cs="宋体"/>
          <w:color w:val="FF0000"/>
          <w:kern w:val="0"/>
          <w:sz w:val="24"/>
        </w:rPr>
        <w:t>）</w:t>
      </w:r>
      <w:r>
        <w:rPr>
          <w:rFonts w:hint="eastAsia" w:ascii="宋体" w:hAnsi="宋体" w:eastAsia="宋体" w:cs="宋体"/>
          <w:color w:val="FF0000"/>
          <w:kern w:val="0"/>
          <w:sz w:val="24"/>
        </w:rPr>
        <w:t>上海市主副食品品种价格信息表目录外的产品：由招标人和投标人组建询价小组，在农贸市场进行询价，经招标人、投标人双方确定后作为基准价。</w:t>
      </w:r>
      <w:r>
        <w:rPr>
          <w:rFonts w:ascii="宋体" w:hAnsi="宋体" w:eastAsia="宋体" w:cs="宋体"/>
          <w:color w:val="FF0000"/>
          <w:kern w:val="0"/>
          <w:sz w:val="24"/>
        </w:rPr>
        <w:t>每周五下午2点前，由供应商提供完整报价单，报价单内容包括：品名、规格、单位、单价、产地或者品牌（主要针对肉类、豆制品类、冻品类、粮油类、干货类、调味品类、奶制品与饮料类等），双方以书面形式确定下一周（包括周六与周日）的价格，以双方确认的价格作为结算依据。经双方确认的价格，在该配送周期内不受市场因素做浮动。</w:t>
      </w:r>
    </w:p>
    <w:p w14:paraId="6DDD97E4">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3、粮油、南北货调味品类的价格按</w:t>
      </w:r>
      <w:r>
        <w:rPr>
          <w:rFonts w:hint="eastAsia" w:ascii="宋体" w:hAnsi="宋体" w:eastAsia="宋体" w:cs="宋体"/>
          <w:kern w:val="0"/>
          <w:sz w:val="24"/>
        </w:rPr>
        <w:t>麦德龙或同类大型超市的同类促销价格为参照，每半年定价一次。每半年双方以书面形式确定下一周期商品的价格，以双方确认的价格作为结算依据。经双方确认的价格，在该配送周期内不受市场因素做浮动。</w:t>
      </w:r>
    </w:p>
    <w:p w14:paraId="6918EF06">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4、如遇特殊情况造成部分品种价格波动明显的，供应商需与采购人提前沟通，说明情况，经双方友好协商后做相应调整。</w:t>
      </w:r>
    </w:p>
    <w:p w14:paraId="7C96BA47">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5、服务期限内，营养厨房保留因疾病</w:t>
      </w:r>
      <w:r>
        <w:rPr>
          <w:rFonts w:hint="eastAsia" w:ascii="宋体" w:hAnsi="宋体" w:eastAsia="宋体" w:cs="宋体"/>
          <w:kern w:val="0"/>
          <w:sz w:val="24"/>
        </w:rPr>
        <w:t>治疗所需的特殊食物自行采购的需求，如低蛋白米面、低蛋白饼干、玉米淀粉、低</w:t>
      </w:r>
      <w:r>
        <w:rPr>
          <w:rFonts w:ascii="宋体" w:hAnsi="宋体" w:eastAsia="宋体" w:cs="宋体"/>
          <w:kern w:val="0"/>
          <w:sz w:val="24"/>
        </w:rPr>
        <w:t>GI面包饼干、低GI孕妇奶粉、特殊调味品如元贞糖等</w:t>
      </w:r>
      <w:r>
        <w:rPr>
          <w:rFonts w:hint="eastAsia" w:ascii="宋体" w:hAnsi="宋体" w:eastAsia="宋体" w:cs="宋体"/>
          <w:kern w:val="0"/>
          <w:sz w:val="24"/>
        </w:rPr>
        <w:t>，届时医院将提前一个月书面通知服务方。</w:t>
      </w:r>
    </w:p>
    <w:p w14:paraId="3D7534B9">
      <w:pPr>
        <w:tabs>
          <w:tab w:val="left" w:pos="308"/>
        </w:tabs>
        <w:autoSpaceDE w:val="0"/>
        <w:autoSpaceDN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rPr>
        <w:t>（</w:t>
      </w:r>
      <w:r>
        <w:rPr>
          <w:rFonts w:ascii="宋体" w:hAnsi="宋体" w:eastAsia="宋体" w:cs="宋体"/>
          <w:b/>
          <w:kern w:val="0"/>
          <w:sz w:val="24"/>
        </w:rPr>
        <w:t>二）下订单订货</w:t>
      </w:r>
    </w:p>
    <w:p w14:paraId="54746BA8">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1、采购人每天下午1：00前向供应商下达第二天的订单，采购人以书面、传真或电话等方式直接通知供应商，订单包括：品名、种类、规格、数量、运送时间、送达地点、订单联系人及加工要求等具体内容。</w:t>
      </w:r>
    </w:p>
    <w:p w14:paraId="1152ECB1">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2、双方可根据蔬菜季节性特点、天气、市场价格情况等协商调整订单的品种和数量。供应商必须能保证提供丰富的品种供采购人选择，有义务向采购人推荐质量优性价比高的品种供采购人参考。</w:t>
      </w:r>
    </w:p>
    <w:p w14:paraId="354F01EA">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3、根据传统节日或营养室原料需求，提前做好原材料品种与数量的配备。</w:t>
      </w:r>
    </w:p>
    <w:p w14:paraId="33095004">
      <w:pPr>
        <w:tabs>
          <w:tab w:val="left" w:pos="308"/>
        </w:tabs>
        <w:autoSpaceDE w:val="0"/>
        <w:autoSpaceDN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rPr>
        <w:t>（</w:t>
      </w:r>
      <w:r>
        <w:rPr>
          <w:rFonts w:ascii="宋体" w:hAnsi="宋体" w:eastAsia="宋体" w:cs="宋体"/>
          <w:b/>
          <w:kern w:val="0"/>
          <w:sz w:val="24"/>
        </w:rPr>
        <w:t>三）配送要求</w:t>
      </w:r>
    </w:p>
    <w:p w14:paraId="074F7369">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1、供应商配送时间必须及时，配送方提供《送货清单》一式三份，双方现场过秤并验收签名，作结算凭证。</w:t>
      </w:r>
    </w:p>
    <w:p w14:paraId="0E0B4157">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2、所有品种按除箱净重过磅，最终交易重量以双方确认的过磅数为准。</w:t>
      </w:r>
    </w:p>
    <w:p w14:paraId="60D650F0">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3、供应商送货人员根据现场验收人员要求负责将货物从车上搬到称上过磅，然后放到平板推车上，根据采购人营养室人员指引拉到指定地点，进入库房的食材必须按照先进先出的原则调整堆垛。</w:t>
      </w:r>
    </w:p>
    <w:p w14:paraId="18EBF915">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4、因采购人临时急需或数量、品种短缺时，供应商根据医院安排，工作日每天上午应有人驻守并按需及时补货，送货时间不得延误。若有违反，所造成的一切经济损失均有供应商承担。应急响应的到场时间应不超过30分钟。</w:t>
      </w:r>
    </w:p>
    <w:p w14:paraId="2FBF51B4">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5、生鲜类副食品全程冷链配送，高温季节食材采用有效的保温保湿箱等保鲜设备。</w:t>
      </w:r>
    </w:p>
    <w:p w14:paraId="59AE2D46">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6、具有突发食品安全事件、极端天气等各类应急事件处置能力，确保落实配送服务。</w:t>
      </w:r>
    </w:p>
    <w:p w14:paraId="0A0BA9D4">
      <w:pPr>
        <w:tabs>
          <w:tab w:val="left" w:pos="308"/>
        </w:tabs>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7、所有食材安全性可追溯。</w:t>
      </w:r>
    </w:p>
    <w:p w14:paraId="7C7EE3DB">
      <w:pPr>
        <w:spacing w:line="360" w:lineRule="auto"/>
        <w:ind w:firstLine="454" w:firstLineChars="200"/>
        <w:rPr>
          <w:rFonts w:ascii="宋体" w:hAnsi="宋体" w:eastAsia="宋体" w:cs="宋体"/>
          <w:b/>
          <w:sz w:val="24"/>
        </w:rPr>
      </w:pPr>
      <w:r>
        <w:rPr>
          <w:rFonts w:hint="eastAsia" w:ascii="宋体" w:hAnsi="宋体" w:eastAsia="宋体" w:cs="宋体"/>
          <w:b/>
          <w:spacing w:val="-7"/>
          <w:sz w:val="24"/>
        </w:rPr>
        <w:t>（</w:t>
      </w:r>
      <w:r>
        <w:rPr>
          <w:rFonts w:ascii="宋体" w:hAnsi="宋体" w:eastAsia="宋体" w:cs="宋体"/>
          <w:b/>
          <w:spacing w:val="-7"/>
          <w:sz w:val="24"/>
        </w:rPr>
        <w:t>四）仓库管理</w:t>
      </w:r>
      <w:r>
        <w:rPr>
          <w:rFonts w:ascii="宋体" w:hAnsi="宋体" w:eastAsia="宋体" w:cs="宋体"/>
          <w:b/>
          <w:spacing w:val="-6"/>
          <w:sz w:val="24"/>
        </w:rPr>
        <w:t>：</w:t>
      </w:r>
    </w:p>
    <w:p w14:paraId="2AF85174">
      <w:pPr>
        <w:spacing w:line="360" w:lineRule="auto"/>
        <w:ind w:firstLine="480" w:firstLineChars="200"/>
        <w:rPr>
          <w:rFonts w:ascii="宋体" w:hAnsi="宋体" w:eastAsia="宋体" w:cs="宋体"/>
          <w:kern w:val="0"/>
          <w:sz w:val="24"/>
        </w:rPr>
      </w:pPr>
      <w:r>
        <w:rPr>
          <w:rFonts w:ascii="宋体" w:hAnsi="宋体" w:eastAsia="宋体" w:cs="宋体"/>
          <w:kern w:val="0"/>
          <w:sz w:val="24"/>
        </w:rPr>
        <w:t>投标人必须建立仓库台帐以备核查，仓库台帐应有收/发/存数量明细、验收记 录、品名/规格/等级/计量单位/单价明细，并应做到货票(详单)同行，采购合同、 质量保证书、采购单据、入库验收单据、发票齐全。</w:t>
      </w:r>
    </w:p>
    <w:p w14:paraId="1359A396">
      <w:pPr>
        <w:spacing w:line="360" w:lineRule="auto"/>
        <w:ind w:firstLine="482" w:firstLineChars="200"/>
        <w:rPr>
          <w:rFonts w:ascii="宋体" w:hAnsi="宋体" w:eastAsia="宋体"/>
          <w:b/>
          <w:sz w:val="24"/>
          <w:szCs w:val="24"/>
        </w:rPr>
      </w:pPr>
      <w:r>
        <w:rPr>
          <w:rFonts w:hint="eastAsia" w:ascii="宋体" w:hAnsi="宋体" w:eastAsia="宋体"/>
          <w:b/>
          <w:sz w:val="24"/>
          <w:szCs w:val="24"/>
        </w:rPr>
        <w:t>七、补充要求：</w:t>
      </w:r>
    </w:p>
    <w:p w14:paraId="02F4EF24">
      <w:pPr>
        <w:autoSpaceDE w:val="0"/>
        <w:autoSpaceDN w:val="0"/>
        <w:spacing w:line="360" w:lineRule="auto"/>
        <w:ind w:firstLine="482" w:firstLineChars="200"/>
        <w:rPr>
          <w:rFonts w:ascii="宋体" w:hAnsi="宋体" w:eastAsia="宋体"/>
          <w:b/>
          <w:sz w:val="24"/>
          <w:szCs w:val="24"/>
        </w:rPr>
      </w:pPr>
      <w:r>
        <w:rPr>
          <w:rFonts w:hint="eastAsia" w:ascii="宋体" w:hAnsi="宋体" w:eastAsia="宋体"/>
          <w:b/>
          <w:sz w:val="24"/>
          <w:szCs w:val="24"/>
        </w:rPr>
        <w:t>（</w:t>
      </w:r>
      <w:r>
        <w:rPr>
          <w:rFonts w:ascii="宋体" w:hAnsi="宋体" w:eastAsia="宋体"/>
          <w:b/>
          <w:sz w:val="24"/>
          <w:szCs w:val="24"/>
        </w:rPr>
        <w:t>一）其他要求：</w:t>
      </w:r>
    </w:p>
    <w:p w14:paraId="70E5802A">
      <w:pPr>
        <w:autoSpaceDE w:val="0"/>
        <w:autoSpaceDN w:val="0"/>
        <w:spacing w:line="360" w:lineRule="auto"/>
        <w:ind w:firstLine="480" w:firstLineChars="200"/>
        <w:rPr>
          <w:rFonts w:ascii="宋体" w:hAnsi="宋体" w:eastAsia="宋体" w:cs="宋体"/>
          <w:kern w:val="0"/>
          <w:sz w:val="24"/>
        </w:rPr>
      </w:pPr>
      <w:r>
        <w:rPr>
          <w:rFonts w:ascii="宋体" w:hAnsi="宋体" w:eastAsia="宋体" w:cs="宋体"/>
          <w:kern w:val="0"/>
          <w:sz w:val="24"/>
        </w:rPr>
        <w:t>为确保投标方有提供大型企事业单位供餐服务的能力，有应对各类突发事件的保障能力，：</w:t>
      </w:r>
    </w:p>
    <w:p w14:paraId="605C11FA">
      <w:pPr>
        <w:autoSpaceDE w:val="0"/>
        <w:autoSpaceDN w:val="0"/>
        <w:spacing w:line="360" w:lineRule="auto"/>
        <w:ind w:firstLine="480" w:firstLineChars="200"/>
        <w:contextualSpacing/>
        <w:rPr>
          <w:rFonts w:ascii="宋体" w:hAnsi="宋体" w:eastAsia="宋体" w:cs="宋体"/>
          <w:kern w:val="0"/>
          <w:sz w:val="24"/>
        </w:rPr>
      </w:pPr>
      <w:r>
        <w:rPr>
          <w:rFonts w:ascii="宋体" w:hAnsi="宋体" w:eastAsia="宋体" w:cs="宋体"/>
          <w:kern w:val="0"/>
          <w:sz w:val="24"/>
        </w:rPr>
        <w:t>1.医院作为人口密集的公共区域，投标人在突发情况下必须具备足够的处置能力，在方案中，投标人必须出具详尽的应急处置的预案及相关制度，其中必须包括： 停水、停气、停电、食堂火灾、食品中毒以及重大工伤事故等事件的处置流程。各现场员工应充分了解应急处置流程，以确保医院的供餐正常。</w:t>
      </w:r>
    </w:p>
    <w:p w14:paraId="472A8DEB">
      <w:pPr>
        <w:autoSpaceDE w:val="0"/>
        <w:autoSpaceDN w:val="0"/>
        <w:spacing w:line="360" w:lineRule="auto"/>
        <w:ind w:firstLine="480" w:firstLineChars="200"/>
        <w:contextualSpacing/>
        <w:jc w:val="left"/>
        <w:rPr>
          <w:rFonts w:ascii="宋体" w:hAnsi="宋体" w:eastAsia="宋体" w:cs="宋体"/>
          <w:kern w:val="0"/>
          <w:sz w:val="24"/>
        </w:rPr>
      </w:pPr>
      <w:r>
        <w:rPr>
          <w:rFonts w:ascii="宋体" w:hAnsi="宋体" w:eastAsia="宋体" w:cs="宋体"/>
          <w:kern w:val="0"/>
          <w:sz w:val="24"/>
        </w:rPr>
        <w:t>2.投标人将通过医院审核确认后的食堂各项应急处置预案及流程张贴在醒目的工作区域，建立定期对现场操作人员的考核制度。</w:t>
      </w:r>
    </w:p>
    <w:p w14:paraId="46935201">
      <w:pPr>
        <w:autoSpaceDE w:val="0"/>
        <w:autoSpaceDN w:val="0"/>
        <w:spacing w:line="360" w:lineRule="auto"/>
        <w:ind w:firstLine="480" w:firstLineChars="200"/>
        <w:contextualSpacing/>
        <w:jc w:val="left"/>
        <w:rPr>
          <w:rFonts w:ascii="宋体" w:hAnsi="宋体" w:eastAsia="宋体" w:cs="宋体"/>
          <w:kern w:val="0"/>
          <w:sz w:val="24"/>
        </w:rPr>
      </w:pPr>
      <w:r>
        <w:rPr>
          <w:rFonts w:ascii="宋体" w:hAnsi="宋体" w:eastAsia="宋体" w:cs="宋体"/>
          <w:kern w:val="0"/>
          <w:sz w:val="24"/>
        </w:rPr>
        <w:t>3.人员管理要求：投标人须配置具有丰富餐饮管理经验及较强综合素质的现场管理人员，现场管理人员必须带领现场团队遵守履行合同中各项条款，严格落实各项管理制度，赏罚分明，与医院监管部门及后勤部</w:t>
      </w:r>
      <w:r>
        <w:rPr>
          <w:rFonts w:hint="eastAsia" w:ascii="宋体" w:hAnsi="宋体" w:eastAsia="宋体" w:cs="宋体"/>
          <w:kern w:val="0"/>
          <w:sz w:val="24"/>
        </w:rPr>
        <w:t>门</w:t>
      </w:r>
      <w:r>
        <w:rPr>
          <w:rFonts w:ascii="宋体" w:hAnsi="宋体" w:eastAsia="宋体" w:cs="宋体"/>
          <w:kern w:val="0"/>
          <w:sz w:val="24"/>
        </w:rPr>
        <w:t>保持及时的沟通与配合。若现场满意度持续三个月未达标或项目服务达不到招标人要求，医院有权提出更换现场管理人员，中标人必须在 3 周内响应医院要求更换现场管理人员；若依旧不能达到招标人要求的，招标人有权终止本项目的服务协议。中标人必须参照医院提供的现场管理人员信息表，提供现场管理人员（厨师长及项目经理均属现场管理人员）的基本信息并附相应资质证明。</w:t>
      </w:r>
    </w:p>
    <w:p w14:paraId="1CBDBDD7">
      <w:pPr>
        <w:autoSpaceDE w:val="0"/>
        <w:autoSpaceDN w:val="0"/>
        <w:spacing w:line="360" w:lineRule="auto"/>
        <w:ind w:firstLine="480" w:firstLineChars="200"/>
        <w:contextualSpacing/>
        <w:jc w:val="left"/>
        <w:rPr>
          <w:rFonts w:ascii="宋体" w:hAnsi="宋体" w:eastAsia="宋体"/>
          <w:sz w:val="24"/>
        </w:rPr>
      </w:pPr>
      <w:r>
        <w:rPr>
          <w:rFonts w:ascii="宋体" w:hAnsi="宋体" w:eastAsia="宋体"/>
          <w:sz w:val="24"/>
        </w:rPr>
        <w:t>4.</w:t>
      </w:r>
      <w:r>
        <w:rPr>
          <w:rFonts w:hint="eastAsia" w:ascii="宋体" w:hAnsi="宋体" w:eastAsia="宋体"/>
          <w:sz w:val="24"/>
        </w:rPr>
        <w:t>科技创新能力：具备能够搭建智慧食堂的能力，包括</w:t>
      </w:r>
      <w:r>
        <w:rPr>
          <w:rFonts w:ascii="宋体" w:hAnsi="宋体" w:eastAsia="宋体"/>
          <w:sz w:val="24"/>
        </w:rPr>
        <w:t>AI智能结算消费、手机电子会员系统、自助点餐取餐功能等，减少医护排队等待时间，方便取餐。</w:t>
      </w:r>
    </w:p>
    <w:p w14:paraId="3628B3E7">
      <w:pPr>
        <w:autoSpaceDE w:val="0"/>
        <w:autoSpaceDN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rPr>
        <w:t>（二）运营管理要求</w:t>
      </w:r>
    </w:p>
    <w:p w14:paraId="528A73BE">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.卫生检疫、工作人员体检、伤残疾病、各类保险等费用均由投标人自理，因投标人的管理不善造成用餐人员食物中毒，由投标人负全部责任。</w:t>
      </w:r>
    </w:p>
    <w:p w14:paraId="24871D29">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.做好医院职工食堂人员过渡。</w:t>
      </w:r>
    </w:p>
    <w:p w14:paraId="6E767F44">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.投标人派出的项目经理，须向招标人提供书面介绍材料，材料中应包含基本情况及招标人需要的其他材料。</w:t>
      </w:r>
    </w:p>
    <w:p w14:paraId="52FD3795">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.食堂管理餐饮服务应符合国家有关食品卫生许可的特殊要求，所有服务人员</w:t>
      </w:r>
    </w:p>
    <w:p w14:paraId="574A2DE9">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.应持证上岗，办理相关健康年检等费用由投标人承担；着装整洁、统一、常洗常换， 制服、劳动防护用品等与餐饮服务相关的物品费用由投标人承担。</w:t>
      </w:r>
    </w:p>
    <w:p w14:paraId="53D03B3B">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w:t>
      </w:r>
      <w:r>
        <w:rPr>
          <w:rFonts w:ascii="宋体" w:hAnsi="宋体" w:eastAsia="宋体" w:cs="宋体"/>
          <w:kern w:val="0"/>
          <w:sz w:val="24"/>
          <w:szCs w:val="24"/>
        </w:rPr>
        <w:t>.餐厅服务人员数量符合招标人要求，如有特殊要求需要增减人员岗位配置， 由中标人及招标人按需确定（人员增减必须由招标人餐饮部和后勤部</w:t>
      </w:r>
      <w:r>
        <w:rPr>
          <w:rFonts w:hint="eastAsia" w:ascii="宋体" w:hAnsi="宋体" w:eastAsia="宋体" w:cs="宋体"/>
          <w:kern w:val="0"/>
          <w:sz w:val="24"/>
          <w:szCs w:val="24"/>
        </w:rPr>
        <w:t>门</w:t>
      </w:r>
      <w:r>
        <w:rPr>
          <w:rFonts w:ascii="宋体" w:hAnsi="宋体" w:eastAsia="宋体" w:cs="宋体"/>
          <w:kern w:val="0"/>
          <w:sz w:val="24"/>
          <w:szCs w:val="24"/>
        </w:rPr>
        <w:t>核定</w:t>
      </w:r>
      <w:r>
        <w:rPr>
          <w:rFonts w:ascii="宋体" w:hAnsi="宋体" w:eastAsia="宋体" w:cs="宋体"/>
          <w:spacing w:val="-120"/>
          <w:kern w:val="0"/>
          <w:sz w:val="24"/>
          <w:szCs w:val="24"/>
        </w:rPr>
        <w:t>）</w:t>
      </w:r>
      <w:r>
        <w:rPr>
          <w:rFonts w:ascii="宋体" w:hAnsi="宋体" w:eastAsia="宋体" w:cs="宋体"/>
          <w:kern w:val="0"/>
          <w:sz w:val="24"/>
          <w:szCs w:val="24"/>
        </w:rPr>
        <w:t>。</w:t>
      </w:r>
    </w:p>
    <w:p w14:paraId="767D1C60">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投标人以本项目配备的餐饮服务总负责人须承担过类似规模的餐饮服务的同类职位。特殊岗位的工作人员应具备相应的上岗证书。相关服务人员均需持健康证书，餐饮服务单位有检查该岗位人员健康状况的管理措施，餐饮服务单位要按照上海市政府相关规定合法用工、足额缴金。并将本项详细资料编入投标文件中。（上述要求均需提供相应的证明文件）</w:t>
      </w:r>
    </w:p>
    <w:p w14:paraId="38B675D4">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.投标人负责其招聘员工的一切</w:t>
      </w:r>
      <w:r>
        <w:rPr>
          <w:rFonts w:hint="eastAsia" w:ascii="宋体" w:hAnsi="宋体" w:eastAsia="宋体" w:cs="宋体"/>
          <w:kern w:val="0"/>
          <w:sz w:val="24"/>
          <w:szCs w:val="24"/>
        </w:rPr>
        <w:t>跟人员相关的所有费用</w:t>
      </w:r>
      <w:r>
        <w:rPr>
          <w:rFonts w:ascii="宋体" w:hAnsi="宋体" w:eastAsia="宋体" w:cs="宋体"/>
          <w:kern w:val="0"/>
          <w:sz w:val="24"/>
          <w:szCs w:val="24"/>
        </w:rPr>
        <w:t>；如发生工伤、疾病乃至死亡的一切责任及费用由投标人全部负责；投标人应严格遵守国家有关的法律、法规及行业标准。投标方制定相应的交接过渡和接收方案，确保人员平稳过渡。人员过渡产生的相关费用均由投标人承担。</w:t>
      </w:r>
    </w:p>
    <w:p w14:paraId="4AD30FAB">
      <w:pPr>
        <w:autoSpaceDE w:val="0"/>
        <w:autoSpaceDN w:val="0"/>
        <w:spacing w:line="360" w:lineRule="auto"/>
        <w:ind w:firstLine="472" w:firstLineChars="200"/>
        <w:rPr>
          <w:rFonts w:ascii="宋体" w:hAnsi="宋体" w:eastAsia="宋体" w:cs="宋体"/>
          <w:kern w:val="0"/>
          <w:sz w:val="24"/>
          <w:szCs w:val="24"/>
        </w:rPr>
      </w:pPr>
      <w:r>
        <w:rPr>
          <w:rFonts w:hint="eastAsia" w:ascii="宋体" w:hAnsi="宋体" w:eastAsia="宋体" w:cs="宋体"/>
          <w:spacing w:val="-2"/>
          <w:kern w:val="0"/>
          <w:sz w:val="24"/>
          <w:szCs w:val="24"/>
        </w:rPr>
        <w:t>9</w:t>
      </w:r>
      <w:r>
        <w:rPr>
          <w:rFonts w:ascii="宋体" w:hAnsi="宋体" w:eastAsia="宋体" w:cs="宋体"/>
          <w:spacing w:val="-2"/>
          <w:kern w:val="0"/>
          <w:sz w:val="24"/>
          <w:szCs w:val="24"/>
        </w:rPr>
        <w:t>.投标人的人员准入必须经招标人餐饮部审核批准，人员流动率不得高于</w:t>
      </w:r>
      <w:r>
        <w:rPr>
          <w:rFonts w:ascii="宋体" w:hAnsi="宋体" w:eastAsia="宋体" w:cs="宋体"/>
          <w:kern w:val="0"/>
          <w:sz w:val="24"/>
          <w:szCs w:val="24"/>
        </w:rPr>
        <w:t>10%每月。管理人员的调动需提前一个月告知招标人。投标人更换项目经理或厨师长，须征得招标人同意。</w:t>
      </w:r>
    </w:p>
    <w:p w14:paraId="1E0D022B">
      <w:pPr>
        <w:autoSpaceDE w:val="0"/>
        <w:autoSpaceDN w:val="0"/>
        <w:spacing w:line="360" w:lineRule="auto"/>
        <w:ind w:firstLine="482" w:firstLineChars="200"/>
        <w:rPr>
          <w:rFonts w:ascii="宋体" w:hAnsi="宋体" w:eastAsia="宋体" w:cs="宋体"/>
          <w:b/>
          <w:kern w:val="0"/>
          <w:sz w:val="24"/>
        </w:rPr>
      </w:pPr>
      <w:r>
        <w:rPr>
          <w:rFonts w:ascii="宋体" w:hAnsi="宋体" w:eastAsia="宋体" w:cs="宋体"/>
          <w:b/>
          <w:kern w:val="0"/>
          <w:sz w:val="24"/>
        </w:rPr>
        <w:t>（三）场地设备要求：</w:t>
      </w:r>
    </w:p>
    <w:p w14:paraId="7418E670">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.招标人提供经营场地、水电气、设施设备及中标人办公场所。在经营过程中需要添加的设备设施（不含低值耗品</w:t>
      </w:r>
      <w:r>
        <w:rPr>
          <w:rFonts w:ascii="宋体" w:hAnsi="宋体" w:eastAsia="宋体" w:cs="宋体"/>
          <w:spacing w:val="-120"/>
          <w:kern w:val="0"/>
          <w:sz w:val="24"/>
          <w:szCs w:val="24"/>
        </w:rPr>
        <w:t>）</w:t>
      </w:r>
      <w:r>
        <w:rPr>
          <w:rFonts w:ascii="宋体" w:hAnsi="宋体" w:eastAsia="宋体" w:cs="宋体"/>
          <w:kern w:val="0"/>
          <w:sz w:val="24"/>
          <w:szCs w:val="24"/>
        </w:rPr>
        <w:t>，由投标人向招标人提出书面申请，经招标人审核批准后，由招标人采购；大型设备更新需要提前做预算计划上报。低值耗品由投标人提供。当新添置设备后应及时更新设备台账。</w:t>
      </w:r>
    </w:p>
    <w:p w14:paraId="7A4D4714">
      <w:pPr>
        <w:spacing w:line="360" w:lineRule="auto"/>
        <w:ind w:firstLine="480" w:firstLineChars="200"/>
        <w:jc w:val="left"/>
        <w:rPr>
          <w:rFonts w:ascii="宋体" w:hAnsi="宋体" w:eastAsia="宋体"/>
          <w:b/>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食堂的基础设备设施由招标人提供，</w:t>
      </w:r>
      <w:r>
        <w:rPr>
          <w:rFonts w:hint="eastAsia" w:ascii="宋体" w:hAnsi="宋体" w:eastAsia="宋体"/>
          <w:b/>
          <w:sz w:val="24"/>
          <w:szCs w:val="24"/>
        </w:rPr>
        <w:t>中标方负责日常的维护保养，质保期内的维修由设备公司承担，超出维保年限的维修由中标方承担（如因设备本身的质量问题所产生的维修及更换设备的由招标人承担相关费用）。</w:t>
      </w:r>
    </w:p>
    <w:p w14:paraId="59C6D309">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.按使用规范操作设备，禁止任何违章用电、用水的行为，妥善保管消防器材， 投标人定期清洗灶台、油烟机罩（每周至少一次</w:t>
      </w:r>
      <w:r>
        <w:rPr>
          <w:rFonts w:ascii="宋体" w:hAnsi="宋体" w:eastAsia="宋体" w:cs="宋体"/>
          <w:spacing w:val="-120"/>
          <w:kern w:val="0"/>
          <w:sz w:val="24"/>
          <w:szCs w:val="24"/>
        </w:rPr>
        <w:t>）</w:t>
      </w:r>
      <w:r>
        <w:rPr>
          <w:rFonts w:ascii="宋体" w:hAnsi="宋体" w:eastAsia="宋体" w:cs="宋体"/>
          <w:kern w:val="0"/>
          <w:sz w:val="24"/>
          <w:szCs w:val="24"/>
        </w:rPr>
        <w:t>。。协助并配合招标人定期完成脱</w:t>
      </w:r>
      <w:r>
        <w:rPr>
          <w:rFonts w:hint="eastAsia" w:ascii="宋体" w:hAnsi="宋体" w:eastAsia="宋体" w:cs="宋体"/>
          <w:kern w:val="0"/>
          <w:sz w:val="24"/>
          <w:szCs w:val="24"/>
        </w:rPr>
        <w:t>排</w:t>
      </w:r>
      <w:r>
        <w:rPr>
          <w:rFonts w:ascii="宋体" w:hAnsi="宋体" w:eastAsia="宋体" w:cs="宋体"/>
          <w:kern w:val="0"/>
          <w:sz w:val="24"/>
          <w:szCs w:val="24"/>
        </w:rPr>
        <w:t>油烟机、油烟管道清洗，清洗过程按照招标人要求落实现场跟踪验收和事后评价。</w:t>
      </w:r>
    </w:p>
    <w:p w14:paraId="3B9AD325">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在负责食堂工作期间，爱护好食堂内的各种设备和设施，做好节能降耗，协助院方做好治安、环保、绿化等工作，定期对食堂环境卫生进行清洁、扫清、灭四害；定期组织开展各类应急事件演练。若在负责管理期间因管理不善引起的安全、治安、卫生、消防等方面的事故造成的处罚均由中标人负责，并赔偿招标人的经济损失。</w:t>
      </w:r>
    </w:p>
    <w:p w14:paraId="23AF1C80">
      <w:pPr>
        <w:autoSpaceDE w:val="0"/>
        <w:autoSpaceDN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rPr>
        <w:t>（四）</w:t>
      </w:r>
      <w:r>
        <w:rPr>
          <w:rFonts w:ascii="宋体" w:hAnsi="宋体" w:eastAsia="宋体" w:cs="宋体"/>
          <w:b/>
          <w:kern w:val="0"/>
          <w:sz w:val="24"/>
        </w:rPr>
        <w:t>采购管理要求</w:t>
      </w:r>
    </w:p>
    <w:p w14:paraId="3DA2F8E0">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投标人应向合法、有良好经营资质和声誉的供应商采购，投标人应负责对供应商的合法性、良好声誉、质优价惠等方面的审核。医院专职管理员按比例抽查其合法性，包括审核其营业执照、质量保证书、采购合同等。</w:t>
      </w:r>
    </w:p>
    <w:p w14:paraId="775336C2">
      <w:pPr>
        <w:autoSpaceDE w:val="0"/>
        <w:autoSpaceDN w:val="0"/>
        <w:spacing w:line="360" w:lineRule="auto"/>
        <w:ind w:firstLine="482" w:firstLineChars="200"/>
        <w:rPr>
          <w:rFonts w:ascii="宋体" w:hAnsi="宋体" w:eastAsia="宋体" w:cs="宋体"/>
          <w:b/>
          <w:kern w:val="0"/>
          <w:sz w:val="24"/>
        </w:rPr>
      </w:pPr>
      <w:r>
        <w:rPr>
          <w:rFonts w:hint="eastAsia" w:ascii="宋体" w:hAnsi="宋体" w:eastAsia="宋体" w:cs="宋体"/>
          <w:b/>
          <w:kern w:val="0"/>
          <w:sz w:val="24"/>
        </w:rPr>
        <w:t>（</w:t>
      </w:r>
      <w:r>
        <w:rPr>
          <w:rFonts w:ascii="宋体" w:hAnsi="宋体" w:eastAsia="宋体" w:cs="宋体"/>
          <w:b/>
          <w:kern w:val="0"/>
          <w:sz w:val="24"/>
        </w:rPr>
        <w:t>五）仓库管理要求</w:t>
      </w:r>
    </w:p>
    <w:p w14:paraId="30327953">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投标人必须建立仓库台帐以备核查，仓库台帐应有收/发/存数量明细、验收记录、品名/规格/等级/计量单位/单价明细，并应做到货票（详单） 同行，采购合同、质量保证书、采购单据、入库验收单据、发票齐全。</w:t>
      </w:r>
    </w:p>
    <w:p w14:paraId="1B6537BA">
      <w:pPr>
        <w:autoSpaceDE w:val="0"/>
        <w:autoSpaceDN w:val="0"/>
        <w:spacing w:line="360" w:lineRule="auto"/>
        <w:ind w:firstLine="482" w:firstLineChars="200"/>
        <w:rPr>
          <w:rFonts w:ascii="宋体" w:hAnsi="宋体" w:eastAsia="宋体" w:cs="宋体"/>
          <w:b/>
          <w:kern w:val="0"/>
          <w:sz w:val="24"/>
        </w:rPr>
      </w:pPr>
      <w:r>
        <w:rPr>
          <w:rFonts w:ascii="宋体" w:hAnsi="宋体" w:eastAsia="宋体" w:cs="宋体"/>
          <w:b/>
          <w:kern w:val="0"/>
          <w:sz w:val="24"/>
        </w:rPr>
        <w:t>（六）管理考核要求：</w:t>
      </w:r>
    </w:p>
    <w:p w14:paraId="466253C2">
      <w:pPr>
        <w:autoSpaceDE w:val="0"/>
        <w:autoSpaceDN w:val="0"/>
        <w:spacing w:line="360" w:lineRule="auto"/>
        <w:ind w:firstLine="480" w:firstLineChars="200"/>
        <w:rPr>
          <w:rFonts w:ascii="宋体" w:hAnsi="宋体" w:eastAsia="宋体" w:cs="宋体"/>
          <w:color w:val="FF0000"/>
          <w:kern w:val="0"/>
          <w:sz w:val="24"/>
          <w:szCs w:val="24"/>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.投标人需按月度进行满意度调查，涵盖服务质量、供餐质量等多种维度的调查，调查结果纳入月度考核。</w:t>
      </w:r>
    </w:p>
    <w:p w14:paraId="2EF1B7EB">
      <w:pPr>
        <w:autoSpaceDE w:val="0"/>
        <w:autoSpaceDN w:val="0"/>
        <w:spacing w:line="360" w:lineRule="auto"/>
        <w:ind w:firstLine="480" w:firstLineChars="200"/>
        <w:rPr>
          <w:rFonts w:ascii="宋体" w:hAnsi="宋体" w:eastAsia="宋体" w:cs="宋体"/>
          <w:color w:val="FF0000"/>
          <w:spacing w:val="-5"/>
          <w:kern w:val="0"/>
          <w:sz w:val="24"/>
          <w:szCs w:val="24"/>
        </w:rPr>
      </w:pP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）职工餐</w:t>
      </w:r>
      <w:r>
        <w:rPr>
          <w:rFonts w:hint="eastAsia" w:ascii="宋体" w:hAnsi="宋体" w:eastAsia="宋体" w:cs="宋体"/>
          <w:color w:val="FF0000"/>
          <w:kern w:val="0"/>
          <w:sz w:val="24"/>
          <w:szCs w:val="24"/>
        </w:rPr>
        <w:t>、</w:t>
      </w:r>
      <w:r>
        <w:rPr>
          <w:rFonts w:ascii="宋体" w:hAnsi="宋体" w:eastAsia="宋体" w:cs="宋体"/>
          <w:color w:val="FF0000"/>
          <w:kern w:val="0"/>
          <w:sz w:val="24"/>
          <w:szCs w:val="24"/>
        </w:rPr>
        <w:t>病</w:t>
      </w:r>
      <w:r>
        <w:rPr>
          <w:rFonts w:hint="eastAsia" w:ascii="宋体" w:hAnsi="宋体" w:eastAsia="宋体" w:cs="宋体"/>
          <w:color w:val="FF0000"/>
          <w:kern w:val="0"/>
          <w:sz w:val="24"/>
          <w:szCs w:val="24"/>
        </w:rPr>
        <w:t>员</w:t>
      </w:r>
      <w:r>
        <w:rPr>
          <w:rFonts w:ascii="宋体" w:hAnsi="宋体" w:eastAsia="宋体" w:cs="宋体"/>
          <w:color w:val="FF0000"/>
          <w:kern w:val="0"/>
          <w:sz w:val="24"/>
          <w:szCs w:val="24"/>
        </w:rPr>
        <w:t>餐的满意度测算方式由医院和中标人在合同签订前共同确认并在合同中明确标注，每月进行公开测评，满意度问卷测评量不低于 100 份/月。</w:t>
      </w:r>
      <w:r>
        <w:rPr>
          <w:rFonts w:ascii="宋体" w:hAnsi="宋体" w:eastAsia="宋体" w:cs="宋体"/>
          <w:color w:val="FF0000"/>
          <w:spacing w:val="-5"/>
          <w:kern w:val="0"/>
          <w:sz w:val="24"/>
          <w:szCs w:val="24"/>
        </w:rPr>
        <w:t>每月职工</w:t>
      </w:r>
      <w:r>
        <w:rPr>
          <w:rFonts w:hint="eastAsia" w:ascii="宋体" w:hAnsi="宋体" w:eastAsia="宋体" w:cs="宋体"/>
          <w:color w:val="FF0000"/>
          <w:spacing w:val="-5"/>
          <w:kern w:val="0"/>
          <w:sz w:val="24"/>
          <w:szCs w:val="24"/>
        </w:rPr>
        <w:t>和</w:t>
      </w:r>
      <w:r>
        <w:rPr>
          <w:rFonts w:hint="eastAsia" w:ascii="宋体" w:hAnsi="宋体" w:eastAsia="宋体" w:cs="宋体"/>
          <w:color w:val="FF0000"/>
          <w:kern w:val="0"/>
          <w:sz w:val="24"/>
          <w:szCs w:val="24"/>
        </w:rPr>
        <w:t>住院患者</w:t>
      </w:r>
      <w:r>
        <w:rPr>
          <w:rFonts w:ascii="宋体" w:hAnsi="宋体" w:eastAsia="宋体" w:cs="宋体"/>
          <w:color w:val="FF0000"/>
          <w:spacing w:val="-5"/>
          <w:kern w:val="0"/>
          <w:sz w:val="24"/>
          <w:szCs w:val="24"/>
        </w:rPr>
        <w:t xml:space="preserve">满意度不得低于 </w:t>
      </w:r>
      <w:r>
        <w:rPr>
          <w:rFonts w:ascii="宋体" w:hAnsi="宋体" w:eastAsia="宋体" w:cs="宋体"/>
          <w:color w:val="FF0000"/>
          <w:kern w:val="0"/>
          <w:sz w:val="24"/>
          <w:szCs w:val="24"/>
        </w:rPr>
        <w:t>85%，</w:t>
      </w:r>
      <w:r>
        <w:rPr>
          <w:rFonts w:ascii="宋体" w:hAnsi="宋体" w:eastAsia="宋体" w:cs="宋体"/>
          <w:color w:val="FF0000"/>
          <w:spacing w:val="-15"/>
          <w:kern w:val="0"/>
          <w:sz w:val="24"/>
          <w:szCs w:val="24"/>
        </w:rPr>
        <w:t xml:space="preserve">如低于 </w:t>
      </w:r>
      <w:r>
        <w:rPr>
          <w:rFonts w:ascii="宋体" w:hAnsi="宋体" w:eastAsia="宋体" w:cs="宋体"/>
          <w:color w:val="FF0000"/>
          <w:kern w:val="0"/>
          <w:sz w:val="24"/>
          <w:szCs w:val="24"/>
        </w:rPr>
        <w:t>85%，</w:t>
      </w:r>
      <w:r>
        <w:rPr>
          <w:rFonts w:ascii="宋体" w:hAnsi="宋体" w:eastAsia="宋体" w:cs="宋体"/>
          <w:color w:val="FF0000"/>
          <w:spacing w:val="-5"/>
          <w:kern w:val="0"/>
          <w:sz w:val="24"/>
          <w:szCs w:val="24"/>
        </w:rPr>
        <w:t>约谈中标人项目经理。</w:t>
      </w:r>
      <w:r>
        <w:rPr>
          <w:rFonts w:hint="eastAsia" w:ascii="宋体" w:hAnsi="宋体" w:eastAsia="宋体" w:cs="宋体"/>
          <w:color w:val="FF0000"/>
          <w:spacing w:val="-5"/>
          <w:kern w:val="0"/>
          <w:sz w:val="24"/>
          <w:szCs w:val="24"/>
        </w:rPr>
        <w:t>针对职工在满意度测评中提出的需求和意见，中标人必须有改进措施，并有效落实。</w:t>
      </w:r>
    </w:p>
    <w:p w14:paraId="5E673286">
      <w:pPr>
        <w:autoSpaceDE w:val="0"/>
        <w:autoSpaceDN w:val="0"/>
        <w:spacing w:line="360" w:lineRule="auto"/>
        <w:ind w:firstLine="460" w:firstLineChars="200"/>
        <w:rPr>
          <w:rFonts w:ascii="宋体" w:hAnsi="宋体" w:eastAsia="宋体" w:cs="宋体"/>
          <w:color w:val="FF0000"/>
          <w:kern w:val="0"/>
          <w:sz w:val="24"/>
          <w:szCs w:val="24"/>
        </w:rPr>
      </w:pPr>
      <w:r>
        <w:rPr>
          <w:rFonts w:ascii="宋体" w:hAnsi="宋体" w:eastAsia="宋体" w:cs="宋体"/>
          <w:color w:val="FF0000"/>
          <w:spacing w:val="-5"/>
          <w:kern w:val="0"/>
          <w:sz w:val="24"/>
          <w:szCs w:val="24"/>
        </w:rPr>
        <w:t>（</w:t>
      </w:r>
      <w:r>
        <w:rPr>
          <w:rFonts w:hint="eastAsia" w:ascii="宋体" w:hAnsi="宋体" w:eastAsia="宋体" w:cs="宋体"/>
          <w:color w:val="FF0000"/>
          <w:spacing w:val="-5"/>
          <w:kern w:val="0"/>
          <w:sz w:val="24"/>
          <w:szCs w:val="24"/>
        </w:rPr>
        <w:t>2</w:t>
      </w:r>
      <w:r>
        <w:rPr>
          <w:rFonts w:ascii="宋体" w:hAnsi="宋体" w:eastAsia="宋体" w:cs="宋体"/>
          <w:color w:val="FF0000"/>
          <w:spacing w:val="-5"/>
          <w:kern w:val="0"/>
          <w:sz w:val="24"/>
          <w:szCs w:val="24"/>
        </w:rPr>
        <w:t>）</w:t>
      </w:r>
      <w:r>
        <w:rPr>
          <w:rFonts w:ascii="宋体" w:hAnsi="宋体" w:eastAsia="宋体" w:cs="宋体"/>
          <w:color w:val="FF0000"/>
          <w:kern w:val="0"/>
          <w:sz w:val="24"/>
          <w:szCs w:val="24"/>
        </w:rPr>
        <w:t xml:space="preserve"> 若</w:t>
      </w:r>
      <w:r>
        <w:rPr>
          <w:rFonts w:hint="eastAsia" w:ascii="宋体" w:hAnsi="宋体" w:eastAsia="宋体" w:cs="宋体"/>
          <w:color w:val="FF0000"/>
          <w:kern w:val="0"/>
          <w:sz w:val="24"/>
          <w:szCs w:val="24"/>
        </w:rPr>
        <w:t>月考核分数低于</w:t>
      </w:r>
      <w:r>
        <w:rPr>
          <w:rFonts w:ascii="宋体" w:hAnsi="宋体" w:eastAsia="宋体" w:cs="宋体"/>
          <w:color w:val="FF0000"/>
          <w:kern w:val="0"/>
          <w:sz w:val="24"/>
          <w:szCs w:val="24"/>
        </w:rPr>
        <w:t>85分，约谈中标人项目经理，并扣除月营业额的5%；</w:t>
      </w:r>
      <w:r>
        <w:rPr>
          <w:rFonts w:hint="eastAsia" w:ascii="宋体" w:hAnsi="宋体" w:eastAsia="宋体" w:cs="宋体"/>
          <w:color w:val="FF0000"/>
          <w:kern w:val="0"/>
          <w:sz w:val="24"/>
          <w:szCs w:val="24"/>
        </w:rPr>
        <w:t>月考核分数</w:t>
      </w:r>
      <w:r>
        <w:rPr>
          <w:rFonts w:ascii="宋体" w:hAnsi="宋体" w:eastAsia="宋体" w:cs="宋体"/>
          <w:color w:val="FF0000"/>
          <w:kern w:val="0"/>
          <w:sz w:val="24"/>
          <w:szCs w:val="24"/>
        </w:rPr>
        <w:t>低于60分，终止合同。</w:t>
      </w:r>
    </w:p>
    <w:p w14:paraId="1F07E68D">
      <w:pPr>
        <w:widowControl/>
        <w:jc w:val="left"/>
        <w:rPr>
          <w:rFonts w:ascii="宋体" w:hAnsi="宋体" w:eastAsia="宋体"/>
          <w:b/>
          <w:bCs/>
          <w:sz w:val="28"/>
          <w:szCs w:val="28"/>
        </w:rPr>
      </w:pPr>
      <w:r>
        <w:rPr>
          <w:rFonts w:ascii="宋体" w:hAnsi="宋体" w:eastAsia="宋体"/>
          <w:b/>
          <w:bCs/>
          <w:sz w:val="28"/>
          <w:szCs w:val="28"/>
        </w:rPr>
        <w:t>附：顾客满意度调查表</w:t>
      </w:r>
    </w:p>
    <w:p w14:paraId="1181E693">
      <w:pPr>
        <w:widowControl/>
        <w:jc w:val="left"/>
        <w:rPr>
          <w:rFonts w:ascii="宋体" w:hAnsi="宋体" w:eastAsia="宋体"/>
          <w:b/>
          <w:bCs/>
          <w:sz w:val="28"/>
          <w:szCs w:val="28"/>
        </w:rPr>
      </w:pPr>
      <w:r>
        <w:rPr>
          <w:rFonts w:ascii="宋体" w:hAnsi="宋体" w:eastAsia="宋体"/>
          <w:b/>
          <w:bCs/>
          <w:sz w:val="28"/>
          <w:szCs w:val="28"/>
        </w:rPr>
        <w:br w:type="page"/>
      </w:r>
    </w:p>
    <w:p w14:paraId="528A291B">
      <w:pPr>
        <w:spacing w:line="360" w:lineRule="auto"/>
        <w:jc w:val="center"/>
        <w:rPr>
          <w:rFonts w:ascii="宋体" w:hAnsi="宋体" w:eastAsia="宋体"/>
          <w:b/>
          <w:bCs/>
          <w:sz w:val="28"/>
          <w:szCs w:val="28"/>
        </w:rPr>
      </w:pPr>
      <w:r>
        <w:rPr>
          <w:rFonts w:hint="eastAsia" w:ascii="宋体" w:hAnsi="宋体" w:eastAsia="宋体"/>
          <w:b/>
          <w:bCs/>
          <w:sz w:val="28"/>
          <w:szCs w:val="28"/>
        </w:rPr>
        <w:t>顾客满意度调查表</w:t>
      </w:r>
    </w:p>
    <w:p w14:paraId="1957D930">
      <w:pPr>
        <w:pStyle w:val="17"/>
        <w:spacing w:line="360" w:lineRule="auto"/>
        <w:ind w:firstLine="480" w:firstLineChars="200"/>
        <w:rPr>
          <w:rFonts w:ascii="宋体" w:hAnsi="宋体"/>
          <w:sz w:val="24"/>
        </w:rPr>
      </w:pPr>
      <w:r>
        <w:rPr>
          <w:rFonts w:hint="eastAsia" w:ascii="宋体" w:hAnsi="宋体"/>
          <w:sz w:val="24"/>
        </w:rPr>
        <w:t>您好！您的满意，我们的追求！为使我们所提供的膳食和服务能更好地满足您和其他顾客的需求，谢谢您能配合我们进行此次顾客满意度调查！请将您的意见填写在意见栏中（打上勾号）。</w:t>
      </w:r>
    </w:p>
    <w:p w14:paraId="0D957600">
      <w:pPr>
        <w:spacing w:line="360" w:lineRule="auto"/>
        <w:rPr>
          <w:rFonts w:ascii="宋体" w:hAnsi="宋体" w:eastAsia="宋体"/>
          <w:u w:val="single"/>
        </w:rPr>
      </w:pPr>
      <w:r>
        <w:rPr>
          <w:rFonts w:ascii="宋体" w:hAnsi="宋体" w:eastAsia="宋体"/>
        </w:rPr>
        <mc:AlternateContent>
          <mc:Choice Requires="wps">
            <w:drawing>
              <wp:anchor distT="0" distB="0" distL="114300" distR="114300" simplePos="0" relativeHeight="251659264" behindDoc="0" locked="0" layoutInCell="1" allowOverlap="1">
                <wp:simplePos x="0" y="0"/>
                <wp:positionH relativeFrom="column">
                  <wp:posOffset>2867025</wp:posOffset>
                </wp:positionH>
                <wp:positionV relativeFrom="paragraph">
                  <wp:posOffset>96520</wp:posOffset>
                </wp:positionV>
                <wp:extent cx="114300" cy="99060"/>
                <wp:effectExtent l="4445" t="4445" r="8255" b="10795"/>
                <wp:wrapNone/>
                <wp:docPr id="1" name="矩形 1"/>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68E53F">
                            <w:pPr>
                              <w:rPr>
                                <w:ins w:id="0" w:author="杨俐君" w:date="2025-03-04T15:38:00Z"/>
                              </w:rPr>
                            </w:pPr>
                          </w:p>
                        </w:txbxContent>
                      </wps:txbx>
                      <wps:bodyPr upright="1"/>
                    </wps:wsp>
                  </a:graphicData>
                </a:graphic>
              </wp:anchor>
            </w:drawing>
          </mc:Choice>
          <mc:Fallback>
            <w:pict>
              <v:rect id="_x0000_s1026" o:spid="_x0000_s1026" o:spt="1" style="position:absolute;left:0pt;margin-left:225.75pt;margin-top:7.6pt;height:7.8pt;width:9pt;z-index:251659264;mso-width-relative:page;mso-height-relative:page;" fillcolor="#FFFFFF" filled="t" stroked="t" coordsize="21600,21600" o:gfxdata="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jlAPnXAAAACQEAAA8AAAAAAAAAAQAgAAAAIgAAAGRycy9kb3du&#10;cmV2LnhtbFBLAQIUABQAAAAIAIdO4kCbnqV7AAIAACcEAAAOAAAAAAAAAAEAIAAAACYBAABkcnMv&#10;ZTJvRG9jLnhtbFBLBQYAAAAABgAGAFkBAACYBQAAAAA=&#10;">
                <v:fill on="t" focussize="0,0"/>
                <v:stroke color="#000000" joinstyle="miter"/>
                <v:imagedata o:title=""/>
                <o:lock v:ext="edit" aspectratio="f"/>
                <v:textbox>
                  <w:txbxContent>
                    <w:p w14:paraId="5168E53F">
                      <w:pPr>
                        <w:rPr>
                          <w:ins w:id="1" w:author="杨俐君" w:date="2025-03-04T15:38:00Z"/>
                        </w:rPr>
                      </w:pPr>
                    </w:p>
                  </w:txbxContent>
                </v:textbox>
              </v:rect>
            </w:pict>
          </mc:Fallback>
        </mc:AlternateContent>
      </w:r>
      <w:r>
        <w:rPr>
          <w:rFonts w:ascii="宋体" w:hAnsi="宋体" w:eastAsia="宋体"/>
        </w:rPr>
        <mc:AlternateContent>
          <mc:Choice Requires="wps">
            <w:drawing>
              <wp:anchor distT="0" distB="0" distL="114300" distR="114300" simplePos="0" relativeHeight="251661312" behindDoc="0" locked="0" layoutInCell="1" allowOverlap="1">
                <wp:simplePos x="0" y="0"/>
                <wp:positionH relativeFrom="column">
                  <wp:posOffset>1638935</wp:posOffset>
                </wp:positionH>
                <wp:positionV relativeFrom="paragraph">
                  <wp:posOffset>88265</wp:posOffset>
                </wp:positionV>
                <wp:extent cx="114300" cy="99060"/>
                <wp:effectExtent l="4445" t="4445" r="8255" b="10795"/>
                <wp:wrapNone/>
                <wp:docPr id="2" name="矩形 2"/>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2F889D">
                            <w:pPr>
                              <w:rPr>
                                <w:ins w:id="2" w:author="杨俐君" w:date="2025-03-04T15:38:00Z"/>
                              </w:rPr>
                            </w:pPr>
                          </w:p>
                        </w:txbxContent>
                      </wps:txbx>
                      <wps:bodyPr upright="1"/>
                    </wps:wsp>
                  </a:graphicData>
                </a:graphic>
              </wp:anchor>
            </w:drawing>
          </mc:Choice>
          <mc:Fallback>
            <w:pict>
              <v:rect id="_x0000_s1026" o:spid="_x0000_s1026" o:spt="1" style="position:absolute;left:0pt;margin-left:129.05pt;margin-top:6.95pt;height:7.8pt;width:9pt;z-index:251661312;mso-width-relative:page;mso-height-relative:page;" fillcolor="#FFFFFF" filled="t" stroked="t" coordsize="21600,21600" o:gfxdata="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aMNgAAAAJAQAADwAAAAAAAAABACAAAAAiAAAAZHJzL2Rv&#10;d25yZXYueG1sUEsBAhQAFAAAAAgAh07iQPH/5ksBAgAAJwQAAA4AAAAAAAAAAQAgAAAAJwEAAGRy&#10;cy9lMm9Eb2MueG1sUEsFBgAAAAAGAAYAWQEAAJoFAAAAAA==&#10;">
                <v:fill on="t" focussize="0,0"/>
                <v:stroke color="#000000" joinstyle="miter"/>
                <v:imagedata o:title=""/>
                <o:lock v:ext="edit" aspectratio="f"/>
                <v:textbox>
                  <w:txbxContent>
                    <w:p w14:paraId="402F889D">
                      <w:pPr>
                        <w:rPr>
                          <w:ins w:id="3" w:author="杨俐君" w:date="2025-03-04T15:38:00Z"/>
                        </w:rPr>
                      </w:pPr>
                    </w:p>
                  </w:txbxContent>
                </v:textbox>
              </v:rect>
            </w:pict>
          </mc:Fallback>
        </mc:AlternateContent>
      </w: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721995</wp:posOffset>
                </wp:positionH>
                <wp:positionV relativeFrom="paragraph">
                  <wp:posOffset>106045</wp:posOffset>
                </wp:positionV>
                <wp:extent cx="114300" cy="99060"/>
                <wp:effectExtent l="4445" t="4445" r="8255" b="10795"/>
                <wp:wrapNone/>
                <wp:docPr id="3" name="矩形 3"/>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98C9FF">
                            <w:pPr>
                              <w:rPr>
                                <w:ins w:id="4" w:author="杨俐君" w:date="2025-03-04T15:38:00Z"/>
                              </w:rPr>
                            </w:pPr>
                          </w:p>
                        </w:txbxContent>
                      </wps:txbx>
                      <wps:bodyPr upright="1"/>
                    </wps:wsp>
                  </a:graphicData>
                </a:graphic>
              </wp:anchor>
            </w:drawing>
          </mc:Choice>
          <mc:Fallback>
            <w:pict>
              <v:rect id="_x0000_s1026" o:spid="_x0000_s1026" o:spt="1" style="position:absolute;left:0pt;margin-left:56.85pt;margin-top:8.35pt;height:7.8pt;width:9pt;z-index:251660288;mso-width-relative:page;mso-height-relative:page;" fillcolor="#FFFFFF" filled="t" stroked="t" coordsize="21600,21600" o:gfxdata="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d/zvNUAAAAJAQAADwAAAAAAAAABACAAAAAiAAAAZHJzL2Rvd25y&#10;ZXYueG1sUEsBAhQAFAAAAAgAh07iQNcg2FsBAgAAJwQAAA4AAAAAAAAAAQAgAAAAJAEAAGRycy9l&#10;Mm9Eb2MueG1sUEsFBgAAAAAGAAYAWQEAAJcFAAAAAA==&#10;">
                <v:fill on="t" focussize="0,0"/>
                <v:stroke color="#000000" joinstyle="miter"/>
                <v:imagedata o:title=""/>
                <o:lock v:ext="edit" aspectratio="f"/>
                <v:textbox>
                  <w:txbxContent>
                    <w:p w14:paraId="7A98C9FF">
                      <w:pPr>
                        <w:rPr>
                          <w:ins w:id="5" w:author="杨俐君" w:date="2025-03-04T15:38:00Z"/>
                        </w:rPr>
                      </w:pPr>
                    </w:p>
                  </w:txbxContent>
                </v:textbox>
              </v:rect>
            </w:pict>
          </mc:Fallback>
        </mc:AlternateContent>
      </w:r>
      <w:r>
        <w:rPr>
          <w:rFonts w:hint="eastAsia" w:ascii="宋体" w:hAnsi="宋体" w:eastAsia="宋体"/>
        </w:rPr>
        <w:t xml:space="preserve">   身份：    医院职工      其它：</w:t>
      </w:r>
    </w:p>
    <w:tbl>
      <w:tblPr>
        <w:tblStyle w:val="39"/>
        <w:tblW w:w="55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936"/>
        <w:gridCol w:w="932"/>
        <w:gridCol w:w="786"/>
        <w:gridCol w:w="780"/>
        <w:gridCol w:w="938"/>
        <w:gridCol w:w="1468"/>
      </w:tblGrid>
      <w:tr w14:paraId="75DA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93" w:type="pct"/>
            <w:tcBorders>
              <w:tl2br w:val="single" w:color="auto" w:sz="4" w:space="0"/>
            </w:tcBorders>
            <w:vAlign w:val="center"/>
          </w:tcPr>
          <w:p w14:paraId="39DCA82E">
            <w:pPr>
              <w:spacing w:line="360" w:lineRule="auto"/>
              <w:ind w:firstLine="540"/>
              <w:jc w:val="center"/>
              <w:rPr>
                <w:rFonts w:ascii="宋体" w:hAnsi="宋体" w:eastAsia="宋体"/>
              </w:rPr>
            </w:pPr>
            <w:r>
              <w:rPr>
                <w:rFonts w:hint="eastAsia" w:ascii="宋体" w:hAnsi="宋体" w:eastAsia="宋体"/>
              </w:rPr>
              <w:t xml:space="preserve">        意见栏</w:t>
            </w:r>
          </w:p>
          <w:p w14:paraId="612CBFCE">
            <w:pPr>
              <w:spacing w:line="360" w:lineRule="auto"/>
              <w:rPr>
                <w:rFonts w:ascii="宋体" w:hAnsi="宋体" w:eastAsia="宋体"/>
              </w:rPr>
            </w:pPr>
            <w:r>
              <w:rPr>
                <w:rFonts w:hint="eastAsia" w:ascii="宋体" w:hAnsi="宋体" w:eastAsia="宋体"/>
              </w:rPr>
              <w:t>调查项目</w:t>
            </w:r>
          </w:p>
        </w:tc>
        <w:tc>
          <w:tcPr>
            <w:tcW w:w="498" w:type="pct"/>
            <w:vAlign w:val="center"/>
          </w:tcPr>
          <w:p w14:paraId="0CC72C8A">
            <w:pPr>
              <w:spacing w:line="360" w:lineRule="auto"/>
              <w:jc w:val="center"/>
              <w:rPr>
                <w:rFonts w:ascii="宋体" w:hAnsi="宋体" w:eastAsia="宋体"/>
              </w:rPr>
            </w:pPr>
            <w:r>
              <w:rPr>
                <w:rFonts w:hint="eastAsia" w:ascii="宋体" w:hAnsi="宋体" w:eastAsia="宋体"/>
              </w:rPr>
              <w:t>非常</w:t>
            </w:r>
          </w:p>
          <w:p w14:paraId="5004506C">
            <w:pPr>
              <w:spacing w:line="360" w:lineRule="auto"/>
              <w:jc w:val="center"/>
              <w:rPr>
                <w:rFonts w:ascii="宋体" w:hAnsi="宋体" w:eastAsia="宋体"/>
              </w:rPr>
            </w:pPr>
            <w:r>
              <w:rPr>
                <w:rFonts w:hint="eastAsia" w:ascii="宋体" w:hAnsi="宋体" w:eastAsia="宋体"/>
              </w:rPr>
              <w:t>满意</w:t>
            </w:r>
          </w:p>
        </w:tc>
        <w:tc>
          <w:tcPr>
            <w:tcW w:w="496" w:type="pct"/>
            <w:vAlign w:val="center"/>
          </w:tcPr>
          <w:p w14:paraId="508E121B">
            <w:pPr>
              <w:spacing w:line="360" w:lineRule="auto"/>
              <w:jc w:val="center"/>
              <w:rPr>
                <w:rFonts w:ascii="宋体" w:hAnsi="宋体" w:eastAsia="宋体"/>
              </w:rPr>
            </w:pPr>
            <w:r>
              <w:rPr>
                <w:rFonts w:hint="eastAsia" w:ascii="宋体" w:hAnsi="宋体" w:eastAsia="宋体"/>
              </w:rPr>
              <w:t>比较</w:t>
            </w:r>
          </w:p>
          <w:p w14:paraId="75596B99">
            <w:pPr>
              <w:spacing w:line="360" w:lineRule="auto"/>
              <w:jc w:val="center"/>
              <w:rPr>
                <w:rFonts w:ascii="宋体" w:hAnsi="宋体" w:eastAsia="宋体"/>
              </w:rPr>
            </w:pPr>
            <w:r>
              <w:rPr>
                <w:rFonts w:hint="eastAsia" w:ascii="宋体" w:hAnsi="宋体" w:eastAsia="宋体"/>
              </w:rPr>
              <w:t>满意</w:t>
            </w:r>
          </w:p>
        </w:tc>
        <w:tc>
          <w:tcPr>
            <w:tcW w:w="418" w:type="pct"/>
            <w:vAlign w:val="center"/>
          </w:tcPr>
          <w:p w14:paraId="0281CBF7">
            <w:pPr>
              <w:spacing w:line="360" w:lineRule="auto"/>
              <w:jc w:val="center"/>
              <w:rPr>
                <w:rFonts w:ascii="宋体" w:hAnsi="宋体" w:eastAsia="宋体"/>
              </w:rPr>
            </w:pPr>
            <w:r>
              <w:rPr>
                <w:rFonts w:hint="eastAsia" w:ascii="宋体" w:hAnsi="宋体" w:eastAsia="宋体"/>
              </w:rPr>
              <w:t>尚满意</w:t>
            </w:r>
          </w:p>
        </w:tc>
        <w:tc>
          <w:tcPr>
            <w:tcW w:w="415" w:type="pct"/>
            <w:vAlign w:val="center"/>
          </w:tcPr>
          <w:p w14:paraId="487A6E1D">
            <w:pPr>
              <w:spacing w:line="360" w:lineRule="auto"/>
              <w:jc w:val="center"/>
              <w:rPr>
                <w:rFonts w:ascii="宋体" w:hAnsi="宋体" w:eastAsia="宋体"/>
              </w:rPr>
            </w:pPr>
            <w:r>
              <w:rPr>
                <w:rFonts w:hint="eastAsia" w:ascii="宋体" w:hAnsi="宋体" w:eastAsia="宋体"/>
              </w:rPr>
              <w:t>不满意</w:t>
            </w:r>
          </w:p>
        </w:tc>
        <w:tc>
          <w:tcPr>
            <w:tcW w:w="499" w:type="pct"/>
            <w:vAlign w:val="center"/>
          </w:tcPr>
          <w:p w14:paraId="1BDF2EE6">
            <w:pPr>
              <w:spacing w:line="360" w:lineRule="auto"/>
              <w:jc w:val="center"/>
              <w:rPr>
                <w:rFonts w:ascii="宋体" w:hAnsi="宋体" w:eastAsia="宋体"/>
              </w:rPr>
            </w:pPr>
            <w:r>
              <w:rPr>
                <w:rFonts w:hint="eastAsia" w:ascii="宋体" w:hAnsi="宋体" w:eastAsia="宋体"/>
              </w:rPr>
              <w:t>很不满意</w:t>
            </w:r>
          </w:p>
        </w:tc>
        <w:tc>
          <w:tcPr>
            <w:tcW w:w="781" w:type="pct"/>
            <w:vAlign w:val="center"/>
          </w:tcPr>
          <w:p w14:paraId="5C16E84C">
            <w:pPr>
              <w:spacing w:line="360" w:lineRule="auto"/>
              <w:jc w:val="center"/>
              <w:rPr>
                <w:rFonts w:ascii="宋体" w:hAnsi="宋体" w:eastAsia="宋体"/>
              </w:rPr>
            </w:pPr>
            <w:r>
              <w:rPr>
                <w:rFonts w:hint="eastAsia" w:ascii="宋体" w:hAnsi="宋体" w:eastAsia="宋体"/>
              </w:rPr>
              <w:t>意见和建议</w:t>
            </w:r>
          </w:p>
        </w:tc>
      </w:tr>
      <w:tr w14:paraId="03FD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3" w:type="pct"/>
            <w:vAlign w:val="center"/>
          </w:tcPr>
          <w:p w14:paraId="5D94438C">
            <w:pPr>
              <w:spacing w:line="360" w:lineRule="auto"/>
              <w:rPr>
                <w:rFonts w:ascii="宋体" w:hAnsi="宋体" w:eastAsia="宋体"/>
                <w:lang w:val="zh-CN"/>
              </w:rPr>
            </w:pPr>
            <w:r>
              <w:rPr>
                <w:rFonts w:hint="eastAsia" w:ascii="宋体" w:hAnsi="宋体" w:eastAsia="宋体"/>
                <w:lang w:val="zh-CN"/>
              </w:rPr>
              <w:t>1.餐厅菜肴的品种</w:t>
            </w:r>
          </w:p>
        </w:tc>
        <w:tc>
          <w:tcPr>
            <w:tcW w:w="498" w:type="pct"/>
            <w:vAlign w:val="center"/>
          </w:tcPr>
          <w:p w14:paraId="1BF04494">
            <w:pPr>
              <w:spacing w:line="360" w:lineRule="auto"/>
              <w:jc w:val="center"/>
              <w:rPr>
                <w:rFonts w:ascii="宋体" w:hAnsi="宋体" w:eastAsia="宋体"/>
              </w:rPr>
            </w:pPr>
          </w:p>
        </w:tc>
        <w:tc>
          <w:tcPr>
            <w:tcW w:w="496" w:type="pct"/>
            <w:vAlign w:val="center"/>
          </w:tcPr>
          <w:p w14:paraId="6B8398C3">
            <w:pPr>
              <w:spacing w:line="360" w:lineRule="auto"/>
              <w:jc w:val="center"/>
              <w:rPr>
                <w:rFonts w:ascii="宋体" w:hAnsi="宋体" w:eastAsia="宋体"/>
              </w:rPr>
            </w:pPr>
          </w:p>
        </w:tc>
        <w:tc>
          <w:tcPr>
            <w:tcW w:w="418" w:type="pct"/>
            <w:vAlign w:val="center"/>
          </w:tcPr>
          <w:p w14:paraId="3288571E">
            <w:pPr>
              <w:spacing w:line="360" w:lineRule="auto"/>
              <w:jc w:val="center"/>
              <w:rPr>
                <w:rFonts w:ascii="宋体" w:hAnsi="宋体" w:eastAsia="宋体"/>
              </w:rPr>
            </w:pPr>
          </w:p>
        </w:tc>
        <w:tc>
          <w:tcPr>
            <w:tcW w:w="415" w:type="pct"/>
          </w:tcPr>
          <w:p w14:paraId="3382F17E">
            <w:pPr>
              <w:spacing w:line="360" w:lineRule="auto"/>
              <w:jc w:val="center"/>
              <w:rPr>
                <w:rFonts w:ascii="宋体" w:hAnsi="宋体" w:eastAsia="宋体"/>
              </w:rPr>
            </w:pPr>
          </w:p>
        </w:tc>
        <w:tc>
          <w:tcPr>
            <w:tcW w:w="499" w:type="pct"/>
            <w:vAlign w:val="center"/>
          </w:tcPr>
          <w:p w14:paraId="41772F36">
            <w:pPr>
              <w:spacing w:line="360" w:lineRule="auto"/>
              <w:jc w:val="center"/>
              <w:rPr>
                <w:rFonts w:ascii="宋体" w:hAnsi="宋体" w:eastAsia="宋体"/>
              </w:rPr>
            </w:pPr>
          </w:p>
        </w:tc>
        <w:tc>
          <w:tcPr>
            <w:tcW w:w="781" w:type="pct"/>
            <w:vAlign w:val="center"/>
          </w:tcPr>
          <w:p w14:paraId="145B0C8D">
            <w:pPr>
              <w:spacing w:line="360" w:lineRule="auto"/>
              <w:jc w:val="center"/>
              <w:rPr>
                <w:rFonts w:ascii="宋体" w:hAnsi="宋体" w:eastAsia="宋体"/>
              </w:rPr>
            </w:pPr>
          </w:p>
        </w:tc>
      </w:tr>
      <w:tr w14:paraId="5FB6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3" w:type="pct"/>
            <w:vAlign w:val="center"/>
          </w:tcPr>
          <w:p w14:paraId="259519EE">
            <w:pPr>
              <w:spacing w:line="360" w:lineRule="auto"/>
              <w:rPr>
                <w:rFonts w:ascii="宋体" w:hAnsi="宋体" w:eastAsia="宋体"/>
                <w:lang w:val="zh-CN"/>
              </w:rPr>
            </w:pPr>
            <w:r>
              <w:rPr>
                <w:rFonts w:hint="eastAsia" w:ascii="宋体" w:hAnsi="宋体" w:eastAsia="宋体"/>
                <w:lang w:val="zh-CN"/>
              </w:rPr>
              <w:t>2.餐厅菜肴的搭配</w:t>
            </w:r>
          </w:p>
        </w:tc>
        <w:tc>
          <w:tcPr>
            <w:tcW w:w="498" w:type="pct"/>
            <w:vAlign w:val="center"/>
          </w:tcPr>
          <w:p w14:paraId="64108FC8">
            <w:pPr>
              <w:spacing w:line="360" w:lineRule="auto"/>
              <w:jc w:val="center"/>
              <w:rPr>
                <w:rFonts w:ascii="宋体" w:hAnsi="宋体" w:eastAsia="宋体"/>
              </w:rPr>
            </w:pPr>
          </w:p>
        </w:tc>
        <w:tc>
          <w:tcPr>
            <w:tcW w:w="496" w:type="pct"/>
            <w:vAlign w:val="center"/>
          </w:tcPr>
          <w:p w14:paraId="6A68E111">
            <w:pPr>
              <w:spacing w:line="360" w:lineRule="auto"/>
              <w:jc w:val="center"/>
              <w:rPr>
                <w:rFonts w:ascii="宋体" w:hAnsi="宋体" w:eastAsia="宋体"/>
              </w:rPr>
            </w:pPr>
          </w:p>
        </w:tc>
        <w:tc>
          <w:tcPr>
            <w:tcW w:w="418" w:type="pct"/>
            <w:vAlign w:val="center"/>
          </w:tcPr>
          <w:p w14:paraId="548F3B37">
            <w:pPr>
              <w:spacing w:line="360" w:lineRule="auto"/>
              <w:jc w:val="center"/>
              <w:rPr>
                <w:rFonts w:ascii="宋体" w:hAnsi="宋体" w:eastAsia="宋体"/>
              </w:rPr>
            </w:pPr>
          </w:p>
        </w:tc>
        <w:tc>
          <w:tcPr>
            <w:tcW w:w="415" w:type="pct"/>
          </w:tcPr>
          <w:p w14:paraId="15DF985B">
            <w:pPr>
              <w:spacing w:line="360" w:lineRule="auto"/>
              <w:jc w:val="center"/>
              <w:rPr>
                <w:rFonts w:ascii="宋体" w:hAnsi="宋体" w:eastAsia="宋体"/>
              </w:rPr>
            </w:pPr>
          </w:p>
        </w:tc>
        <w:tc>
          <w:tcPr>
            <w:tcW w:w="499" w:type="pct"/>
            <w:vAlign w:val="center"/>
          </w:tcPr>
          <w:p w14:paraId="3DE499B3">
            <w:pPr>
              <w:spacing w:line="360" w:lineRule="auto"/>
              <w:jc w:val="center"/>
              <w:rPr>
                <w:rFonts w:ascii="宋体" w:hAnsi="宋体" w:eastAsia="宋体"/>
              </w:rPr>
            </w:pPr>
          </w:p>
        </w:tc>
        <w:tc>
          <w:tcPr>
            <w:tcW w:w="781" w:type="pct"/>
            <w:vAlign w:val="center"/>
          </w:tcPr>
          <w:p w14:paraId="05E93C2D">
            <w:pPr>
              <w:spacing w:line="360" w:lineRule="auto"/>
              <w:jc w:val="center"/>
              <w:rPr>
                <w:rFonts w:ascii="宋体" w:hAnsi="宋体" w:eastAsia="宋体"/>
              </w:rPr>
            </w:pPr>
          </w:p>
        </w:tc>
      </w:tr>
      <w:tr w14:paraId="13E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3" w:type="pct"/>
            <w:vAlign w:val="center"/>
          </w:tcPr>
          <w:p w14:paraId="6D54BA7C">
            <w:pPr>
              <w:spacing w:line="360" w:lineRule="auto"/>
              <w:rPr>
                <w:rFonts w:ascii="宋体" w:hAnsi="宋体" w:eastAsia="宋体"/>
                <w:lang w:val="zh-CN"/>
              </w:rPr>
            </w:pPr>
            <w:r>
              <w:rPr>
                <w:rFonts w:hint="eastAsia" w:ascii="宋体" w:hAnsi="宋体" w:eastAsia="宋体"/>
                <w:lang w:val="zh-CN"/>
              </w:rPr>
              <w:t>3.餐厅菜肴的口味</w:t>
            </w:r>
          </w:p>
        </w:tc>
        <w:tc>
          <w:tcPr>
            <w:tcW w:w="498" w:type="pct"/>
            <w:vAlign w:val="center"/>
          </w:tcPr>
          <w:p w14:paraId="66832586">
            <w:pPr>
              <w:spacing w:line="360" w:lineRule="auto"/>
              <w:jc w:val="center"/>
              <w:rPr>
                <w:rFonts w:ascii="宋体" w:hAnsi="宋体" w:eastAsia="宋体"/>
              </w:rPr>
            </w:pPr>
          </w:p>
        </w:tc>
        <w:tc>
          <w:tcPr>
            <w:tcW w:w="496" w:type="pct"/>
            <w:vAlign w:val="center"/>
          </w:tcPr>
          <w:p w14:paraId="504376E5">
            <w:pPr>
              <w:spacing w:line="360" w:lineRule="auto"/>
              <w:jc w:val="center"/>
              <w:rPr>
                <w:rFonts w:ascii="宋体" w:hAnsi="宋体" w:eastAsia="宋体"/>
              </w:rPr>
            </w:pPr>
          </w:p>
        </w:tc>
        <w:tc>
          <w:tcPr>
            <w:tcW w:w="418" w:type="pct"/>
            <w:vAlign w:val="center"/>
          </w:tcPr>
          <w:p w14:paraId="47351AA3">
            <w:pPr>
              <w:spacing w:line="360" w:lineRule="auto"/>
              <w:jc w:val="center"/>
              <w:rPr>
                <w:rFonts w:ascii="宋体" w:hAnsi="宋体" w:eastAsia="宋体"/>
              </w:rPr>
            </w:pPr>
          </w:p>
        </w:tc>
        <w:tc>
          <w:tcPr>
            <w:tcW w:w="415" w:type="pct"/>
          </w:tcPr>
          <w:p w14:paraId="5B4BCB2F">
            <w:pPr>
              <w:spacing w:line="360" w:lineRule="auto"/>
              <w:jc w:val="center"/>
              <w:rPr>
                <w:rFonts w:ascii="宋体" w:hAnsi="宋体" w:eastAsia="宋体"/>
              </w:rPr>
            </w:pPr>
          </w:p>
        </w:tc>
        <w:tc>
          <w:tcPr>
            <w:tcW w:w="499" w:type="pct"/>
            <w:vAlign w:val="center"/>
          </w:tcPr>
          <w:p w14:paraId="05BEC077">
            <w:pPr>
              <w:spacing w:line="360" w:lineRule="auto"/>
              <w:jc w:val="center"/>
              <w:rPr>
                <w:rFonts w:ascii="宋体" w:hAnsi="宋体" w:eastAsia="宋体"/>
              </w:rPr>
            </w:pPr>
          </w:p>
        </w:tc>
        <w:tc>
          <w:tcPr>
            <w:tcW w:w="781" w:type="pct"/>
            <w:vAlign w:val="center"/>
          </w:tcPr>
          <w:p w14:paraId="01EA4869">
            <w:pPr>
              <w:spacing w:line="360" w:lineRule="auto"/>
              <w:jc w:val="center"/>
              <w:rPr>
                <w:rFonts w:ascii="宋体" w:hAnsi="宋体" w:eastAsia="宋体"/>
              </w:rPr>
            </w:pPr>
          </w:p>
        </w:tc>
      </w:tr>
      <w:tr w14:paraId="37A9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3" w:type="pct"/>
            <w:vAlign w:val="center"/>
          </w:tcPr>
          <w:p w14:paraId="5D669C6D">
            <w:pPr>
              <w:spacing w:line="360" w:lineRule="auto"/>
              <w:rPr>
                <w:rFonts w:ascii="宋体" w:hAnsi="宋体" w:eastAsia="宋体"/>
                <w:lang w:val="zh-CN"/>
              </w:rPr>
            </w:pPr>
            <w:r>
              <w:rPr>
                <w:rFonts w:hint="eastAsia" w:ascii="宋体" w:hAnsi="宋体" w:eastAsia="宋体"/>
                <w:lang w:val="zh-CN"/>
              </w:rPr>
              <w:t>4.餐厅的配汤</w:t>
            </w:r>
          </w:p>
        </w:tc>
        <w:tc>
          <w:tcPr>
            <w:tcW w:w="498" w:type="pct"/>
            <w:vAlign w:val="center"/>
          </w:tcPr>
          <w:p w14:paraId="448BE554">
            <w:pPr>
              <w:spacing w:line="360" w:lineRule="auto"/>
              <w:jc w:val="center"/>
              <w:rPr>
                <w:rFonts w:ascii="宋体" w:hAnsi="宋体" w:eastAsia="宋体"/>
              </w:rPr>
            </w:pPr>
          </w:p>
        </w:tc>
        <w:tc>
          <w:tcPr>
            <w:tcW w:w="496" w:type="pct"/>
            <w:vAlign w:val="center"/>
          </w:tcPr>
          <w:p w14:paraId="45E9984A">
            <w:pPr>
              <w:spacing w:line="360" w:lineRule="auto"/>
              <w:jc w:val="center"/>
              <w:rPr>
                <w:rFonts w:ascii="宋体" w:hAnsi="宋体" w:eastAsia="宋体"/>
              </w:rPr>
            </w:pPr>
          </w:p>
        </w:tc>
        <w:tc>
          <w:tcPr>
            <w:tcW w:w="418" w:type="pct"/>
            <w:vAlign w:val="center"/>
          </w:tcPr>
          <w:p w14:paraId="2D842161">
            <w:pPr>
              <w:spacing w:line="360" w:lineRule="auto"/>
              <w:jc w:val="center"/>
              <w:rPr>
                <w:rFonts w:ascii="宋体" w:hAnsi="宋体" w:eastAsia="宋体"/>
              </w:rPr>
            </w:pPr>
          </w:p>
        </w:tc>
        <w:tc>
          <w:tcPr>
            <w:tcW w:w="415" w:type="pct"/>
          </w:tcPr>
          <w:p w14:paraId="41015F8E">
            <w:pPr>
              <w:spacing w:line="360" w:lineRule="auto"/>
              <w:jc w:val="center"/>
              <w:rPr>
                <w:rFonts w:ascii="宋体" w:hAnsi="宋体" w:eastAsia="宋体"/>
              </w:rPr>
            </w:pPr>
          </w:p>
        </w:tc>
        <w:tc>
          <w:tcPr>
            <w:tcW w:w="499" w:type="pct"/>
            <w:vAlign w:val="center"/>
          </w:tcPr>
          <w:p w14:paraId="6CBB91D7">
            <w:pPr>
              <w:spacing w:line="360" w:lineRule="auto"/>
              <w:jc w:val="center"/>
              <w:rPr>
                <w:rFonts w:ascii="宋体" w:hAnsi="宋体" w:eastAsia="宋体"/>
              </w:rPr>
            </w:pPr>
          </w:p>
        </w:tc>
        <w:tc>
          <w:tcPr>
            <w:tcW w:w="781" w:type="pct"/>
            <w:vAlign w:val="center"/>
          </w:tcPr>
          <w:p w14:paraId="72D6DB57">
            <w:pPr>
              <w:spacing w:line="360" w:lineRule="auto"/>
              <w:jc w:val="center"/>
              <w:rPr>
                <w:rFonts w:ascii="宋体" w:hAnsi="宋体" w:eastAsia="宋体"/>
              </w:rPr>
            </w:pPr>
          </w:p>
        </w:tc>
      </w:tr>
      <w:tr w14:paraId="313C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93" w:type="pct"/>
            <w:vAlign w:val="center"/>
          </w:tcPr>
          <w:p w14:paraId="7E3BA741">
            <w:pPr>
              <w:spacing w:line="360" w:lineRule="auto"/>
              <w:rPr>
                <w:rFonts w:ascii="宋体" w:hAnsi="宋体" w:eastAsia="宋体"/>
                <w:lang w:val="zh-CN"/>
              </w:rPr>
            </w:pPr>
            <w:r>
              <w:rPr>
                <w:rFonts w:hint="eastAsia" w:ascii="宋体" w:hAnsi="宋体" w:eastAsia="宋体"/>
                <w:lang w:val="zh-CN"/>
              </w:rPr>
              <w:t>5.餐厅提供的饮品</w:t>
            </w:r>
          </w:p>
        </w:tc>
        <w:tc>
          <w:tcPr>
            <w:tcW w:w="498" w:type="pct"/>
            <w:vAlign w:val="center"/>
          </w:tcPr>
          <w:p w14:paraId="518C76D4">
            <w:pPr>
              <w:spacing w:line="360" w:lineRule="auto"/>
              <w:jc w:val="center"/>
              <w:rPr>
                <w:rFonts w:ascii="宋体" w:hAnsi="宋体" w:eastAsia="宋体"/>
              </w:rPr>
            </w:pPr>
          </w:p>
        </w:tc>
        <w:tc>
          <w:tcPr>
            <w:tcW w:w="496" w:type="pct"/>
            <w:vAlign w:val="center"/>
          </w:tcPr>
          <w:p w14:paraId="14B77391">
            <w:pPr>
              <w:spacing w:line="360" w:lineRule="auto"/>
              <w:jc w:val="center"/>
              <w:rPr>
                <w:rFonts w:ascii="宋体" w:hAnsi="宋体" w:eastAsia="宋体"/>
              </w:rPr>
            </w:pPr>
          </w:p>
        </w:tc>
        <w:tc>
          <w:tcPr>
            <w:tcW w:w="418" w:type="pct"/>
            <w:vAlign w:val="center"/>
          </w:tcPr>
          <w:p w14:paraId="5CD93F44">
            <w:pPr>
              <w:spacing w:line="360" w:lineRule="auto"/>
              <w:jc w:val="center"/>
              <w:rPr>
                <w:rFonts w:ascii="宋体" w:hAnsi="宋体" w:eastAsia="宋体"/>
              </w:rPr>
            </w:pPr>
          </w:p>
        </w:tc>
        <w:tc>
          <w:tcPr>
            <w:tcW w:w="415" w:type="pct"/>
          </w:tcPr>
          <w:p w14:paraId="155CF962">
            <w:pPr>
              <w:spacing w:line="360" w:lineRule="auto"/>
              <w:jc w:val="center"/>
              <w:rPr>
                <w:rFonts w:ascii="宋体" w:hAnsi="宋体" w:eastAsia="宋体"/>
              </w:rPr>
            </w:pPr>
          </w:p>
        </w:tc>
        <w:tc>
          <w:tcPr>
            <w:tcW w:w="499" w:type="pct"/>
            <w:vAlign w:val="center"/>
          </w:tcPr>
          <w:p w14:paraId="2AD7EABC">
            <w:pPr>
              <w:spacing w:line="360" w:lineRule="auto"/>
              <w:jc w:val="center"/>
              <w:rPr>
                <w:rFonts w:ascii="宋体" w:hAnsi="宋体" w:eastAsia="宋体"/>
              </w:rPr>
            </w:pPr>
          </w:p>
        </w:tc>
        <w:tc>
          <w:tcPr>
            <w:tcW w:w="781" w:type="pct"/>
            <w:vAlign w:val="center"/>
          </w:tcPr>
          <w:p w14:paraId="385508BC">
            <w:pPr>
              <w:spacing w:line="360" w:lineRule="auto"/>
              <w:jc w:val="center"/>
              <w:rPr>
                <w:rFonts w:ascii="宋体" w:hAnsi="宋体" w:eastAsia="宋体"/>
              </w:rPr>
            </w:pPr>
          </w:p>
        </w:tc>
      </w:tr>
      <w:tr w14:paraId="0A17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3" w:type="pct"/>
            <w:vAlign w:val="center"/>
          </w:tcPr>
          <w:p w14:paraId="0AEA167C">
            <w:pPr>
              <w:spacing w:line="360" w:lineRule="auto"/>
              <w:rPr>
                <w:rFonts w:ascii="宋体" w:hAnsi="宋体" w:eastAsia="宋体"/>
                <w:lang w:val="zh-CN"/>
              </w:rPr>
            </w:pPr>
            <w:r>
              <w:rPr>
                <w:rFonts w:hint="eastAsia" w:ascii="宋体" w:hAnsi="宋体" w:eastAsia="宋体"/>
                <w:lang w:val="zh-CN"/>
              </w:rPr>
              <w:t>6.餐厅工作人员的服务态度</w:t>
            </w:r>
          </w:p>
        </w:tc>
        <w:tc>
          <w:tcPr>
            <w:tcW w:w="498" w:type="pct"/>
            <w:vAlign w:val="center"/>
          </w:tcPr>
          <w:p w14:paraId="516D3DE8">
            <w:pPr>
              <w:spacing w:line="360" w:lineRule="auto"/>
              <w:jc w:val="center"/>
              <w:rPr>
                <w:rFonts w:ascii="宋体" w:hAnsi="宋体" w:eastAsia="宋体"/>
              </w:rPr>
            </w:pPr>
          </w:p>
        </w:tc>
        <w:tc>
          <w:tcPr>
            <w:tcW w:w="496" w:type="pct"/>
            <w:vAlign w:val="center"/>
          </w:tcPr>
          <w:p w14:paraId="66ECC339">
            <w:pPr>
              <w:spacing w:line="360" w:lineRule="auto"/>
              <w:jc w:val="center"/>
              <w:rPr>
                <w:rFonts w:ascii="宋体" w:hAnsi="宋体" w:eastAsia="宋体"/>
              </w:rPr>
            </w:pPr>
          </w:p>
        </w:tc>
        <w:tc>
          <w:tcPr>
            <w:tcW w:w="418" w:type="pct"/>
            <w:vAlign w:val="center"/>
          </w:tcPr>
          <w:p w14:paraId="240A48A9">
            <w:pPr>
              <w:spacing w:line="360" w:lineRule="auto"/>
              <w:jc w:val="center"/>
              <w:rPr>
                <w:rFonts w:ascii="宋体" w:hAnsi="宋体" w:eastAsia="宋体"/>
              </w:rPr>
            </w:pPr>
          </w:p>
        </w:tc>
        <w:tc>
          <w:tcPr>
            <w:tcW w:w="415" w:type="pct"/>
          </w:tcPr>
          <w:p w14:paraId="399244E6">
            <w:pPr>
              <w:spacing w:line="360" w:lineRule="auto"/>
              <w:jc w:val="center"/>
              <w:rPr>
                <w:rFonts w:ascii="宋体" w:hAnsi="宋体" w:eastAsia="宋体"/>
              </w:rPr>
            </w:pPr>
          </w:p>
        </w:tc>
        <w:tc>
          <w:tcPr>
            <w:tcW w:w="499" w:type="pct"/>
            <w:vAlign w:val="center"/>
          </w:tcPr>
          <w:p w14:paraId="3B6A0CAA">
            <w:pPr>
              <w:spacing w:line="360" w:lineRule="auto"/>
              <w:jc w:val="center"/>
              <w:rPr>
                <w:rFonts w:ascii="宋体" w:hAnsi="宋体" w:eastAsia="宋体"/>
              </w:rPr>
            </w:pPr>
          </w:p>
        </w:tc>
        <w:tc>
          <w:tcPr>
            <w:tcW w:w="781" w:type="pct"/>
            <w:vAlign w:val="center"/>
          </w:tcPr>
          <w:p w14:paraId="6E7498D1">
            <w:pPr>
              <w:spacing w:line="360" w:lineRule="auto"/>
              <w:jc w:val="center"/>
              <w:rPr>
                <w:rFonts w:ascii="宋体" w:hAnsi="宋体" w:eastAsia="宋体"/>
              </w:rPr>
            </w:pPr>
          </w:p>
        </w:tc>
      </w:tr>
      <w:tr w14:paraId="35CA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3" w:type="pct"/>
            <w:vAlign w:val="center"/>
          </w:tcPr>
          <w:p w14:paraId="419FA264">
            <w:pPr>
              <w:spacing w:line="360" w:lineRule="auto"/>
              <w:rPr>
                <w:rFonts w:ascii="宋体" w:hAnsi="宋体" w:eastAsia="宋体"/>
                <w:lang w:val="zh-CN"/>
              </w:rPr>
            </w:pPr>
            <w:r>
              <w:rPr>
                <w:rFonts w:hint="eastAsia" w:ascii="宋体" w:hAnsi="宋体" w:eastAsia="宋体"/>
                <w:lang w:val="zh-CN"/>
              </w:rPr>
              <w:t>7.餐厅工作人员的仪容仪表</w:t>
            </w:r>
          </w:p>
        </w:tc>
        <w:tc>
          <w:tcPr>
            <w:tcW w:w="498" w:type="pct"/>
            <w:vAlign w:val="center"/>
          </w:tcPr>
          <w:p w14:paraId="2425B3B1">
            <w:pPr>
              <w:spacing w:line="360" w:lineRule="auto"/>
              <w:jc w:val="center"/>
              <w:rPr>
                <w:rFonts w:ascii="宋体" w:hAnsi="宋体" w:eastAsia="宋体"/>
              </w:rPr>
            </w:pPr>
          </w:p>
        </w:tc>
        <w:tc>
          <w:tcPr>
            <w:tcW w:w="496" w:type="pct"/>
            <w:vAlign w:val="center"/>
          </w:tcPr>
          <w:p w14:paraId="556B4D37">
            <w:pPr>
              <w:spacing w:line="360" w:lineRule="auto"/>
              <w:jc w:val="center"/>
              <w:rPr>
                <w:rFonts w:ascii="宋体" w:hAnsi="宋体" w:eastAsia="宋体"/>
              </w:rPr>
            </w:pPr>
          </w:p>
        </w:tc>
        <w:tc>
          <w:tcPr>
            <w:tcW w:w="418" w:type="pct"/>
            <w:vAlign w:val="center"/>
          </w:tcPr>
          <w:p w14:paraId="107E0E80">
            <w:pPr>
              <w:spacing w:line="360" w:lineRule="auto"/>
              <w:jc w:val="center"/>
              <w:rPr>
                <w:rFonts w:ascii="宋体" w:hAnsi="宋体" w:eastAsia="宋体"/>
              </w:rPr>
            </w:pPr>
          </w:p>
        </w:tc>
        <w:tc>
          <w:tcPr>
            <w:tcW w:w="415" w:type="pct"/>
          </w:tcPr>
          <w:p w14:paraId="4EFEFDF8">
            <w:pPr>
              <w:spacing w:line="360" w:lineRule="auto"/>
              <w:jc w:val="center"/>
              <w:rPr>
                <w:rFonts w:ascii="宋体" w:hAnsi="宋体" w:eastAsia="宋体"/>
              </w:rPr>
            </w:pPr>
          </w:p>
        </w:tc>
        <w:tc>
          <w:tcPr>
            <w:tcW w:w="499" w:type="pct"/>
            <w:vAlign w:val="center"/>
          </w:tcPr>
          <w:p w14:paraId="2761F926">
            <w:pPr>
              <w:spacing w:line="360" w:lineRule="auto"/>
              <w:jc w:val="center"/>
              <w:rPr>
                <w:rFonts w:ascii="宋体" w:hAnsi="宋体" w:eastAsia="宋体"/>
              </w:rPr>
            </w:pPr>
          </w:p>
        </w:tc>
        <w:tc>
          <w:tcPr>
            <w:tcW w:w="781" w:type="pct"/>
            <w:vAlign w:val="center"/>
          </w:tcPr>
          <w:p w14:paraId="749FE96A">
            <w:pPr>
              <w:spacing w:line="360" w:lineRule="auto"/>
              <w:jc w:val="center"/>
              <w:rPr>
                <w:rFonts w:ascii="宋体" w:hAnsi="宋体" w:eastAsia="宋体"/>
              </w:rPr>
            </w:pPr>
          </w:p>
        </w:tc>
      </w:tr>
      <w:tr w14:paraId="6294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3" w:type="pct"/>
            <w:vAlign w:val="center"/>
          </w:tcPr>
          <w:p w14:paraId="32C5A552">
            <w:pPr>
              <w:spacing w:line="360" w:lineRule="auto"/>
              <w:rPr>
                <w:rFonts w:ascii="宋体" w:hAnsi="宋体" w:eastAsia="宋体"/>
                <w:lang w:val="zh-CN"/>
              </w:rPr>
            </w:pPr>
            <w:r>
              <w:rPr>
                <w:rFonts w:hint="eastAsia" w:ascii="宋体" w:hAnsi="宋体" w:eastAsia="宋体"/>
                <w:lang w:val="zh-CN"/>
              </w:rPr>
              <w:t>8.餐厅的就餐环境</w:t>
            </w:r>
          </w:p>
        </w:tc>
        <w:tc>
          <w:tcPr>
            <w:tcW w:w="498" w:type="pct"/>
            <w:vAlign w:val="center"/>
          </w:tcPr>
          <w:p w14:paraId="636407F7">
            <w:pPr>
              <w:spacing w:line="360" w:lineRule="auto"/>
              <w:jc w:val="center"/>
              <w:rPr>
                <w:rFonts w:ascii="宋体" w:hAnsi="宋体" w:eastAsia="宋体"/>
              </w:rPr>
            </w:pPr>
          </w:p>
        </w:tc>
        <w:tc>
          <w:tcPr>
            <w:tcW w:w="496" w:type="pct"/>
            <w:vAlign w:val="center"/>
          </w:tcPr>
          <w:p w14:paraId="0F926C05">
            <w:pPr>
              <w:spacing w:line="360" w:lineRule="auto"/>
              <w:jc w:val="center"/>
              <w:rPr>
                <w:rFonts w:ascii="宋体" w:hAnsi="宋体" w:eastAsia="宋体"/>
              </w:rPr>
            </w:pPr>
          </w:p>
        </w:tc>
        <w:tc>
          <w:tcPr>
            <w:tcW w:w="418" w:type="pct"/>
            <w:vAlign w:val="center"/>
          </w:tcPr>
          <w:p w14:paraId="7F46B4C2">
            <w:pPr>
              <w:spacing w:line="360" w:lineRule="auto"/>
              <w:jc w:val="center"/>
              <w:rPr>
                <w:rFonts w:ascii="宋体" w:hAnsi="宋体" w:eastAsia="宋体"/>
              </w:rPr>
            </w:pPr>
          </w:p>
        </w:tc>
        <w:tc>
          <w:tcPr>
            <w:tcW w:w="415" w:type="pct"/>
          </w:tcPr>
          <w:p w14:paraId="5691787A">
            <w:pPr>
              <w:spacing w:line="360" w:lineRule="auto"/>
              <w:jc w:val="center"/>
              <w:rPr>
                <w:rFonts w:ascii="宋体" w:hAnsi="宋体" w:eastAsia="宋体"/>
              </w:rPr>
            </w:pPr>
          </w:p>
        </w:tc>
        <w:tc>
          <w:tcPr>
            <w:tcW w:w="499" w:type="pct"/>
            <w:vAlign w:val="center"/>
          </w:tcPr>
          <w:p w14:paraId="25C7BFDB">
            <w:pPr>
              <w:spacing w:line="360" w:lineRule="auto"/>
              <w:jc w:val="center"/>
              <w:rPr>
                <w:rFonts w:ascii="宋体" w:hAnsi="宋体" w:eastAsia="宋体"/>
              </w:rPr>
            </w:pPr>
          </w:p>
        </w:tc>
        <w:tc>
          <w:tcPr>
            <w:tcW w:w="781" w:type="pct"/>
            <w:vAlign w:val="center"/>
          </w:tcPr>
          <w:p w14:paraId="7B17FEBC">
            <w:pPr>
              <w:spacing w:line="360" w:lineRule="auto"/>
              <w:jc w:val="center"/>
              <w:rPr>
                <w:rFonts w:ascii="宋体" w:hAnsi="宋体" w:eastAsia="宋体"/>
              </w:rPr>
            </w:pPr>
          </w:p>
        </w:tc>
      </w:tr>
      <w:tr w14:paraId="3D8A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3" w:type="pct"/>
            <w:vAlign w:val="center"/>
          </w:tcPr>
          <w:p w14:paraId="72F6B5E2">
            <w:pPr>
              <w:spacing w:line="360" w:lineRule="auto"/>
              <w:rPr>
                <w:rFonts w:ascii="宋体" w:hAnsi="宋体" w:eastAsia="宋体"/>
                <w:lang w:val="zh-CN"/>
              </w:rPr>
            </w:pPr>
            <w:r>
              <w:rPr>
                <w:rFonts w:hint="eastAsia" w:ascii="宋体" w:hAnsi="宋体" w:eastAsia="宋体"/>
                <w:lang w:val="zh-CN"/>
              </w:rPr>
              <w:t>9.餐厅餐桌、椅的布置</w:t>
            </w:r>
          </w:p>
        </w:tc>
        <w:tc>
          <w:tcPr>
            <w:tcW w:w="498" w:type="pct"/>
            <w:vAlign w:val="center"/>
          </w:tcPr>
          <w:p w14:paraId="7DAC9915">
            <w:pPr>
              <w:spacing w:line="360" w:lineRule="auto"/>
              <w:jc w:val="center"/>
              <w:rPr>
                <w:rFonts w:ascii="宋体" w:hAnsi="宋体" w:eastAsia="宋体"/>
              </w:rPr>
            </w:pPr>
          </w:p>
        </w:tc>
        <w:tc>
          <w:tcPr>
            <w:tcW w:w="496" w:type="pct"/>
            <w:vAlign w:val="center"/>
          </w:tcPr>
          <w:p w14:paraId="6179AFBD">
            <w:pPr>
              <w:spacing w:line="360" w:lineRule="auto"/>
              <w:jc w:val="center"/>
              <w:rPr>
                <w:rFonts w:ascii="宋体" w:hAnsi="宋体" w:eastAsia="宋体"/>
              </w:rPr>
            </w:pPr>
          </w:p>
        </w:tc>
        <w:tc>
          <w:tcPr>
            <w:tcW w:w="418" w:type="pct"/>
            <w:vAlign w:val="center"/>
          </w:tcPr>
          <w:p w14:paraId="1457E245">
            <w:pPr>
              <w:spacing w:line="360" w:lineRule="auto"/>
              <w:jc w:val="center"/>
              <w:rPr>
                <w:rFonts w:ascii="宋体" w:hAnsi="宋体" w:eastAsia="宋体"/>
              </w:rPr>
            </w:pPr>
          </w:p>
        </w:tc>
        <w:tc>
          <w:tcPr>
            <w:tcW w:w="415" w:type="pct"/>
          </w:tcPr>
          <w:p w14:paraId="0A90272B">
            <w:pPr>
              <w:spacing w:line="360" w:lineRule="auto"/>
              <w:jc w:val="center"/>
              <w:rPr>
                <w:rFonts w:ascii="宋体" w:hAnsi="宋体" w:eastAsia="宋体"/>
              </w:rPr>
            </w:pPr>
          </w:p>
        </w:tc>
        <w:tc>
          <w:tcPr>
            <w:tcW w:w="499" w:type="pct"/>
            <w:vAlign w:val="center"/>
          </w:tcPr>
          <w:p w14:paraId="573B55A4">
            <w:pPr>
              <w:spacing w:line="360" w:lineRule="auto"/>
              <w:jc w:val="center"/>
              <w:rPr>
                <w:rFonts w:ascii="宋体" w:hAnsi="宋体" w:eastAsia="宋体"/>
              </w:rPr>
            </w:pPr>
          </w:p>
        </w:tc>
        <w:tc>
          <w:tcPr>
            <w:tcW w:w="781" w:type="pct"/>
            <w:vAlign w:val="center"/>
          </w:tcPr>
          <w:p w14:paraId="1A515730">
            <w:pPr>
              <w:spacing w:line="360" w:lineRule="auto"/>
              <w:jc w:val="center"/>
              <w:rPr>
                <w:rFonts w:ascii="宋体" w:hAnsi="宋体" w:eastAsia="宋体"/>
              </w:rPr>
            </w:pPr>
          </w:p>
        </w:tc>
      </w:tr>
      <w:tr w14:paraId="103B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93" w:type="pct"/>
            <w:vAlign w:val="center"/>
          </w:tcPr>
          <w:p w14:paraId="05938319">
            <w:pPr>
              <w:spacing w:line="360" w:lineRule="auto"/>
              <w:rPr>
                <w:rFonts w:ascii="宋体" w:hAnsi="宋体" w:eastAsia="宋体"/>
                <w:lang w:val="zh-CN"/>
              </w:rPr>
            </w:pPr>
            <w:r>
              <w:rPr>
                <w:rFonts w:hint="eastAsia" w:ascii="宋体" w:hAnsi="宋体" w:eastAsia="宋体"/>
                <w:lang w:val="zh-CN"/>
              </w:rPr>
              <w:t>10.您对餐厅的总体满意度</w:t>
            </w:r>
          </w:p>
        </w:tc>
        <w:tc>
          <w:tcPr>
            <w:tcW w:w="498" w:type="pct"/>
            <w:vAlign w:val="center"/>
          </w:tcPr>
          <w:p w14:paraId="0719036B">
            <w:pPr>
              <w:spacing w:line="360" w:lineRule="auto"/>
              <w:jc w:val="center"/>
              <w:rPr>
                <w:rFonts w:ascii="宋体" w:hAnsi="宋体" w:eastAsia="宋体"/>
              </w:rPr>
            </w:pPr>
          </w:p>
        </w:tc>
        <w:tc>
          <w:tcPr>
            <w:tcW w:w="496" w:type="pct"/>
            <w:vAlign w:val="center"/>
          </w:tcPr>
          <w:p w14:paraId="65A4CF39">
            <w:pPr>
              <w:spacing w:line="360" w:lineRule="auto"/>
              <w:jc w:val="center"/>
              <w:rPr>
                <w:rFonts w:ascii="宋体" w:hAnsi="宋体" w:eastAsia="宋体"/>
              </w:rPr>
            </w:pPr>
          </w:p>
        </w:tc>
        <w:tc>
          <w:tcPr>
            <w:tcW w:w="418" w:type="pct"/>
            <w:vAlign w:val="center"/>
          </w:tcPr>
          <w:p w14:paraId="7EAEB61D">
            <w:pPr>
              <w:spacing w:line="360" w:lineRule="auto"/>
              <w:jc w:val="center"/>
              <w:rPr>
                <w:rFonts w:ascii="宋体" w:hAnsi="宋体" w:eastAsia="宋体"/>
              </w:rPr>
            </w:pPr>
          </w:p>
        </w:tc>
        <w:tc>
          <w:tcPr>
            <w:tcW w:w="415" w:type="pct"/>
          </w:tcPr>
          <w:p w14:paraId="0F8D72C5">
            <w:pPr>
              <w:spacing w:line="360" w:lineRule="auto"/>
              <w:jc w:val="center"/>
              <w:rPr>
                <w:rFonts w:ascii="宋体" w:hAnsi="宋体" w:eastAsia="宋体"/>
              </w:rPr>
            </w:pPr>
          </w:p>
        </w:tc>
        <w:tc>
          <w:tcPr>
            <w:tcW w:w="499" w:type="pct"/>
            <w:vAlign w:val="center"/>
          </w:tcPr>
          <w:p w14:paraId="4078A956">
            <w:pPr>
              <w:spacing w:line="360" w:lineRule="auto"/>
              <w:jc w:val="center"/>
              <w:rPr>
                <w:rFonts w:ascii="宋体" w:hAnsi="宋体" w:eastAsia="宋体"/>
              </w:rPr>
            </w:pPr>
          </w:p>
        </w:tc>
        <w:tc>
          <w:tcPr>
            <w:tcW w:w="781" w:type="pct"/>
            <w:vAlign w:val="center"/>
          </w:tcPr>
          <w:p w14:paraId="700523CD">
            <w:pPr>
              <w:spacing w:line="360" w:lineRule="auto"/>
              <w:jc w:val="center"/>
              <w:rPr>
                <w:rFonts w:ascii="宋体" w:hAnsi="宋体" w:eastAsia="宋体"/>
              </w:rPr>
            </w:pPr>
          </w:p>
        </w:tc>
      </w:tr>
    </w:tbl>
    <w:p w14:paraId="530453EC">
      <w:pPr>
        <w:spacing w:line="360" w:lineRule="auto"/>
        <w:rPr>
          <w:rFonts w:ascii="宋体" w:hAnsi="宋体" w:eastAsia="宋体"/>
        </w:rPr>
      </w:pPr>
      <w:r>
        <w:rPr>
          <w:rFonts w:hint="eastAsia" w:ascii="宋体" w:hAnsi="宋体" w:eastAsia="宋体"/>
        </w:rPr>
        <w:t>姓名：                       联系电话：</w:t>
      </w:r>
    </w:p>
    <w:p w14:paraId="536128D9">
      <w:pPr>
        <w:pStyle w:val="2"/>
        <w:spacing w:before="62"/>
      </w:pPr>
    </w:p>
    <w:p w14:paraId="44A868E9">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.投标人必须严格遵守《食品卫生法》等相关的食品卫生法律法规，确保食品质量。</w:t>
      </w:r>
    </w:p>
    <w:p w14:paraId="0BCD82E5">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.投标人必须无条件接受市、区卫生防疫部门及有关职能部门等对食品卫生、经营范围、销售价格、服务态度等方面的检查、监督、管理、考核。</w:t>
      </w:r>
    </w:p>
    <w:p w14:paraId="66235345">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.投标人应遵守有关的中国法律、法规和规章条例，遵守招标人及其主管单位的有关管理制度，经营期间接受招标人及其授权管理公司的日常管理和监督。</w:t>
      </w:r>
    </w:p>
    <w:p w14:paraId="743E743A">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投标人职责涵盖场所的安全生产、餐厅保洁及消毒卫生清洁、依法合规、食堂安全保卫等工作由承包单位遵循相应法律法规及部门规章操作，并对违法违规行为产生的不良后果承担全部责任。并对管理区域、操作区域、相邻区域内所发生的所有不良后果（包括但不限于投毒、跌倒、摔倒、自杀等）承担全部责任。投标人应根据场地和经营的实际情况购买相应的商业保险并将保险单复印向招标人报备。</w:t>
      </w:r>
    </w:p>
    <w:p w14:paraId="1AFDC012">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w:t>
      </w:r>
      <w:r>
        <w:rPr>
          <w:rFonts w:ascii="宋体" w:hAnsi="宋体" w:eastAsia="宋体" w:cs="宋体"/>
          <w:kern w:val="0"/>
          <w:sz w:val="24"/>
          <w:szCs w:val="24"/>
        </w:rPr>
        <w:t>.中标人全面负责食堂的保洁消毒工作，保证餐厅就餐环境的卫生工作，建立全面的食堂卫生管理条例，制定相应的制度职责，定期对厨房及餐厅灯进行卫生大扫除，并接受院方的监督检查。同时制定一套食品卫生安全管理制度和安全保卫工作的制度，落实责任人，发生安全事故全部由中标人负责。</w:t>
      </w:r>
    </w:p>
    <w:p w14:paraId="13BE34B4">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用餐结束后需对餐具、餐桌、餐台等进行消毒，确保就餐环境；接受相关部门的卫生抽查，抽检不合格接受相应处罚，直至取消餐饮管理服务承包商资格；因午餐就餐人数较为集中，需考虑就餐过程中对餐厅、餐桌等部位及时进行清洁工作。</w:t>
      </w:r>
    </w:p>
    <w:p w14:paraId="02F89FC8">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.中标人应每天提供原材料进货清单，每月公布成本核算，公布食堂运营明细账，定期提交主管部门审核，并随时接受招标人的监督和抽查；招标人随时可对食堂成本核算、运营明细账、进行抽查。</w:t>
      </w:r>
    </w:p>
    <w:p w14:paraId="17166C96">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9</w:t>
      </w:r>
      <w:r>
        <w:rPr>
          <w:rFonts w:ascii="宋体" w:hAnsi="宋体" w:eastAsia="宋体" w:cs="宋体"/>
          <w:kern w:val="0"/>
          <w:sz w:val="24"/>
          <w:szCs w:val="24"/>
        </w:rPr>
        <w:t>.严格执行食品卫生法的要求和国家规定的有关法律法规，做好食堂各类菜肴的留样工作，保证食品进货渠道的安全可靠，做好相应的食品货源登记工作和供应方的食品卫生许可证的索取工作，严防食物中毒的发生。一旦发生食物中毒事件所有责任由中标人承担。</w:t>
      </w:r>
    </w:p>
    <w:p w14:paraId="5250816C">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0.中标人在餐饮服务过程中要主动配合接受招标人的监督，对招标人提出的建议或意见，及时采纳并制定具体整改措施。</w:t>
      </w:r>
    </w:p>
    <w:p w14:paraId="7581EF49">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1.食堂运营管理过程中每出现如下情况一次，应落实考核或处罚；</w:t>
      </w:r>
    </w:p>
    <w:p w14:paraId="14C5C8AC">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A、因经营管理不善造成重大投诉或发生食物中毒事件的取消其中标人资格；</w:t>
      </w:r>
    </w:p>
    <w:p w14:paraId="02B0196C">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B、院方抽验卫生不合格或不达标；</w:t>
      </w:r>
    </w:p>
    <w:p w14:paraId="38CBFAC8">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C、未按时进行食堂卫生大扫除或扫除不到位，造成就餐者投诉；</w:t>
      </w:r>
    </w:p>
    <w:p w14:paraId="0460AD7E">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D、因食品中出现异物造成就餐者投诉；</w:t>
      </w:r>
    </w:p>
    <w:p w14:paraId="0BEC754C">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E、未及时更新菜肴供应计划；</w:t>
      </w:r>
    </w:p>
    <w:p w14:paraId="095C92C5">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F、餐具、器皿消毒、清洗不及时造成投诉；</w:t>
      </w:r>
    </w:p>
    <w:p w14:paraId="7AAB1EDE">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G、不接受院方意见进行整改（卫生状况、菜肴出售价格、菜肴质量等）；</w:t>
      </w:r>
    </w:p>
    <w:p w14:paraId="5CB2D5E9">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H、未采取有效措施做好节能管理工作。</w:t>
      </w:r>
    </w:p>
    <w:p w14:paraId="53C525A2">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2.招标人可以组织后勤部</w:t>
      </w:r>
      <w:r>
        <w:rPr>
          <w:rFonts w:hint="eastAsia" w:ascii="宋体" w:hAnsi="宋体" w:eastAsia="宋体" w:cs="宋体"/>
          <w:kern w:val="0"/>
          <w:sz w:val="24"/>
          <w:szCs w:val="24"/>
        </w:rPr>
        <w:t>门</w:t>
      </w:r>
      <w:r>
        <w:rPr>
          <w:rFonts w:ascii="宋体" w:hAnsi="宋体" w:eastAsia="宋体" w:cs="宋体"/>
          <w:kern w:val="0"/>
          <w:sz w:val="24"/>
          <w:szCs w:val="24"/>
        </w:rPr>
        <w:t>、</w:t>
      </w:r>
      <w:r>
        <w:rPr>
          <w:rFonts w:hint="eastAsia" w:ascii="宋体" w:hAnsi="宋体" w:eastAsia="宋体" w:cs="宋体"/>
          <w:kern w:val="0"/>
          <w:sz w:val="24"/>
          <w:szCs w:val="24"/>
        </w:rPr>
        <w:t>临床营养科、</w:t>
      </w:r>
      <w:r>
        <w:rPr>
          <w:rFonts w:ascii="宋体" w:hAnsi="宋体" w:eastAsia="宋体" w:cs="宋体"/>
          <w:kern w:val="0"/>
          <w:sz w:val="24"/>
          <w:szCs w:val="24"/>
        </w:rPr>
        <w:t>精神文明办、工会、院感等相关部门人员组成餐饮监督考核小组，对中标人服务进行考核。</w:t>
      </w:r>
    </w:p>
    <w:p w14:paraId="4D419776">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3.中标人应根据实际情况，提交给招标人月度、季度、年度工作计划书，统计核算餐饮服务预算计划和实际费用发生的异同，并提交招标人相关数据表。</w:t>
      </w:r>
    </w:p>
    <w:p w14:paraId="685C5B03">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ascii="宋体" w:hAnsi="宋体" w:eastAsia="宋体" w:cs="宋体"/>
          <w:spacing w:val="-5"/>
          <w:kern w:val="0"/>
          <w:sz w:val="24"/>
          <w:szCs w:val="24"/>
        </w:rPr>
        <w:t xml:space="preserve">中标人在收到中标通知后 </w:t>
      </w:r>
      <w:r>
        <w:rPr>
          <w:rFonts w:ascii="宋体" w:hAnsi="宋体" w:eastAsia="宋体" w:cs="宋体"/>
          <w:kern w:val="0"/>
          <w:sz w:val="24"/>
          <w:szCs w:val="24"/>
        </w:rPr>
        <w:t>30</w:t>
      </w:r>
      <w:r>
        <w:rPr>
          <w:rFonts w:ascii="宋体" w:hAnsi="宋体" w:eastAsia="宋体" w:cs="宋体"/>
          <w:spacing w:val="-8"/>
          <w:kern w:val="0"/>
          <w:sz w:val="24"/>
          <w:szCs w:val="24"/>
        </w:rPr>
        <w:t xml:space="preserve"> 个工作日内与业主签订服务合同，不得转包、分包管理。投标人的投标总价及单价均应包含国家法律法规规定的税费。</w:t>
      </w:r>
    </w:p>
    <w:p w14:paraId="3A1C776E">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5.投标人经营所发生的所有纠纷及债权、债务均与招标人无关，招标人不承担任何责任；若因此给招标人或其他人带来损害或损失的，投标人应承担违约责任并赔偿损失。</w:t>
      </w:r>
    </w:p>
    <w:p w14:paraId="711E7BAB">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投标人应认真踏勘现场，熟悉医院现场及周围地形，交通道路等情况。以获得一切可能影响报价的直接资料。投标人一律视为已确认现场条件和预计到了可能发生的异常情况。中标人不得以不了解或不完全了解现场为理由而提出额外费用，对有关这一类的要求，招标人不予考虑。</w:t>
      </w:r>
    </w:p>
    <w:p w14:paraId="397B3E9D">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7.招标人不接受投标人任何因遗漏报价而发生的费用追加，因投标人违反《劳动法》等法律法规而造成院方的连带责任和损失全部由投标人承担。</w:t>
      </w:r>
    </w:p>
    <w:p w14:paraId="481DF1AA">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8.所有食堂服务运转经费中标后不得增加。</w:t>
      </w:r>
    </w:p>
    <w:p w14:paraId="1C5CD4E9">
      <w:pPr>
        <w:autoSpaceDE w:val="0"/>
        <w:autoSpaceDN w:val="0"/>
        <w:spacing w:line="360" w:lineRule="auto"/>
        <w:ind w:firstLine="482" w:firstLineChars="200"/>
        <w:rPr>
          <w:rFonts w:ascii="宋体" w:hAnsi="宋体" w:eastAsia="宋体" w:cs="宋体"/>
          <w:b/>
          <w:kern w:val="0"/>
          <w:sz w:val="24"/>
          <w:szCs w:val="24"/>
        </w:rPr>
      </w:pPr>
      <w:r>
        <w:rPr>
          <w:rFonts w:ascii="宋体" w:hAnsi="宋体" w:eastAsia="宋体" w:cs="宋体"/>
          <w:b/>
          <w:kern w:val="0"/>
          <w:sz w:val="24"/>
          <w:szCs w:val="24"/>
        </w:rPr>
        <w:t>八、</w:t>
      </w:r>
      <w:r>
        <w:rPr>
          <w:rFonts w:hint="eastAsia" w:ascii="宋体" w:hAnsi="宋体" w:eastAsia="宋体"/>
          <w:b/>
          <w:sz w:val="24"/>
          <w:szCs w:val="24"/>
        </w:rPr>
        <w:t>双方义务</w:t>
      </w:r>
    </w:p>
    <w:p w14:paraId="3060AA5D">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（一）招标人义务</w:t>
      </w:r>
    </w:p>
    <w:p w14:paraId="077482B6">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.医院负责提供水、电 、气的正常供应。</w:t>
      </w:r>
    </w:p>
    <w:p w14:paraId="1BC73A30">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.设施设备提供：医院提供现有的厨房设施、设备 、就餐区家具 、空调电器 、磁卡设施等。经双方验收后投标人签收。</w:t>
      </w:r>
    </w:p>
    <w:p w14:paraId="45101483">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.合同签订之前，医院应当制作一式两份设备、设施盘存清单(易耗品除外)，然后由双方当场清点、核对，共同签字确认后进行现场交接，再各执一份清单留存。</w:t>
      </w:r>
    </w:p>
    <w:p w14:paraId="14EFAD99">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.医院提供必备的更衣场所及库房。</w:t>
      </w:r>
    </w:p>
    <w:p w14:paraId="49E38F69">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.医院有权对投标人行使在食品卫生管理方面的检查 、监督 、指导 、责令整改和对违反食品卫生规定进行处罚以及对严重违约罚没履约保证金的权利。</w:t>
      </w:r>
    </w:p>
    <w:p w14:paraId="3A019E44">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（二）中标人义务</w:t>
      </w:r>
    </w:p>
    <w:p w14:paraId="6B21587D">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.人员配备：</w:t>
      </w:r>
    </w:p>
    <w:p w14:paraId="794C9FAE">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A.投标人应根据投标方案和合同要求的岗位配置要求，自行负责招聘职工、解决食宿及办理聘用相关手续，在符合《中华人民共和国劳动合同法》等政策法规的前提下，与从业人员签订劳动用工合同，规范用工。所聘用员工需相对稳定，持有上海市食品卫生监督机构发放的有效健康证 (无证不予上岗)，定期进行相关体检，确保从业人员身体健康。在经营过程中如发生劳务纠纷，由投标人解决并承担相应的经济和法律责任与医院无关。投标人必须加强食堂员工的管理，在经营过程中员工出现的一切问题(如员工的安全、纠纷等)由投标人负责解决并承担法律后果，医院概不负任何法律责任。投标人应提供所有合同内员工个人资料，包括但不仅限于： 员工登记表、身份证复印件、学历证复印件、上岗证等。</w:t>
      </w:r>
    </w:p>
    <w:p w14:paraId="0B96C230">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B.投标人员工变更应提前书面通知医院，员工个人资料、岗前培训证明应在新员工上岗前交付医院。</w:t>
      </w:r>
    </w:p>
    <w:p w14:paraId="31A4552C">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C.经理、厨师长更换应提前书面征询医院意见，新聘经理、厨师长应提交个人简历并经医院面试同意后方可实施。</w:t>
      </w:r>
    </w:p>
    <w:p w14:paraId="0864597F">
      <w:pPr>
        <w:tabs>
          <w:tab w:val="left" w:pos="8267"/>
        </w:tabs>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D.不能用加班来弥补岗位员工的不足，因特殊原因应向院方事前书面说明，并经院方同意，(但最长加班顶岗时间不得超过 7 天)，否则作缺岗处理。</w:t>
      </w:r>
    </w:p>
    <w:p w14:paraId="0CCA0ED1">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E.所有岗位员工都必须进行岗前培训，提供岗前培训合格证明，列明培训内容，投标人必须按国家相关的政策法规，为员工缴纳各种必须的社保、医保、工伤保险等费用。</w:t>
      </w:r>
    </w:p>
    <w:p w14:paraId="3EA72BD0">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F.岗位员工的一切工资、福利、社会保险、节假日、公休等费用，投标人不得拖欠员工；任何发生工伤、疾病乃至死亡等一切责任及费用均由投标人承担； 严格遵守国家有关的法律、法规及行业标准；严格按《劳动法》及国家、上海市的相关规范要求执行，须为所有员工缴纳各种社会保险。</w:t>
      </w:r>
    </w:p>
    <w:p w14:paraId="2E4893C5">
      <w:pPr>
        <w:autoSpaceDE w:val="0"/>
        <w:autoSpaceDN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（三）安全、卫生要求：</w:t>
      </w:r>
    </w:p>
    <w:p w14:paraId="3159B1CD">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A.投标人所制作的食品应符合卫生部门的要求，并对每天提供的所有食品留样 48 小时。如在食堂经营的过程中出现食品安全、卫生等重大问题的，经过当地卫生防疫机构确定属于投标人责任的，由投标人支付相关费用。</w:t>
      </w:r>
    </w:p>
    <w:p w14:paraId="5906D904">
      <w:pPr>
        <w:tabs>
          <w:tab w:val="left" w:pos="7158"/>
          <w:tab w:val="left" w:pos="7547"/>
        </w:tabs>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B.投标人必须做好环境卫生工作，严防食物中毒。每日三扫、三搌、二拖洗，并随时清理工作场地。保持工作场地的整齐、整洁。每月大扫除一次，定点做好自己包干地区的卫生。如发生安全卫生事故或相关部门检查不合格，投标人承担引起的一切经济和法律责任。食堂卫生及食堂周围包干区由投标人负责打扫，保证操作间、售饭间、配(洗)菜间、用餐地点以及卫生包干区等地方每次餐后清扫干净，保证地 面清洁，确保食堂(墙壁、门窗、洗碗池、餐桌椅</w:t>
      </w:r>
      <w:r>
        <w:rPr>
          <w:rFonts w:ascii="宋体" w:hAnsi="宋体" w:eastAsia="宋体" w:cs="宋体"/>
          <w:spacing w:val="-29"/>
          <w:kern w:val="0"/>
          <w:sz w:val="24"/>
          <w:szCs w:val="24"/>
        </w:rPr>
        <w:t xml:space="preserve"> </w:t>
      </w:r>
      <w:r>
        <w:rPr>
          <w:rFonts w:ascii="宋体" w:hAnsi="宋体" w:eastAsia="宋体" w:cs="宋体"/>
          <w:kern w:val="0"/>
          <w:sz w:val="24"/>
          <w:szCs w:val="24"/>
        </w:rPr>
        <w:t>、案板用具等)无油污、无废纸果壳、无灰尘、无卫生死角。</w:t>
      </w:r>
    </w:p>
    <w:p w14:paraId="76C05C98">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C.投标人购置食堂工作人员的工作服、帽、围裙、手套等，须符合国家相应标准，费用由投标人自行承担。上班时间，食堂工作人员必须穿工作服、戴工作帽、发餐时戴口罩、手套、围裙，严禁食堂工作人员在医院内吸烟、穿拖鞋等不文明举止。</w:t>
      </w:r>
    </w:p>
    <w:p w14:paraId="4CAD33DF">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D.投标人必须对员工加强防火、 防盗和劳动防护安全教育,落实安全防范措施， 如因投标人原因发生火灾、工伤等事故,应由投标人全部负责，如造成财产及人员伤亡的, 投标人应负责赔偿责任。</w:t>
      </w:r>
    </w:p>
    <w:p w14:paraId="2BABC735">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E.投标人对管辖区域内的厨房设施设备必须保持清洁卫生，按院方监管部门的要 求定期清洁，并接受监管部门的不定期检查，对监管部门开具的整改单据，必须在规定时间内按要求完成整改。</w:t>
      </w:r>
    </w:p>
    <w:p w14:paraId="780603E2">
      <w:pPr>
        <w:autoSpaceDE w:val="0"/>
        <w:autoSpaceDN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（四）食堂医院卫生与食品安全管理要求：</w:t>
      </w:r>
    </w:p>
    <w:p w14:paraId="19CFE7D2">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A.原料“三不”制度：采购员不买腐败变质的原料，库管员不收腐败变质的原料， 炊事员不用腐败变质的原料加工成食品。</w:t>
      </w:r>
    </w:p>
    <w:p w14:paraId="57FD1A5C">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B.成品(食物) 有效实行“四隔离”：生与熟食隔离，成品与半成品隔离，食物与杂物、药物隔离，储存的粮食、物品与墙壁隔离。</w:t>
      </w:r>
    </w:p>
    <w:p w14:paraId="23E928AB">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C.严格执行“食品留样制度”</w:t>
      </w:r>
    </w:p>
    <w:p w14:paraId="42C9FB84">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D.上班时工作衣 、帽、裤整洁，口罩不露鼻。个人卫生“四勤”：勤洗手剪指甲， 勤洗澡理发，勤洗衣服、勤换工作服(每周至少换两次工作服)。工作人员每天进行日常健康检查并记录.上班不得佩戴戒指、手链。</w:t>
      </w:r>
    </w:p>
    <w:p w14:paraId="22AD9962">
      <w:pPr>
        <w:autoSpaceDE w:val="0"/>
        <w:autoSpaceDN w:val="0"/>
        <w:spacing w:line="360" w:lineRule="auto"/>
        <w:ind w:firstLine="480" w:firstLineChars="200"/>
        <w:rPr>
          <w:rFonts w:ascii="宋体" w:hAnsi="宋体" w:eastAsia="宋体" w:cs="宋体"/>
          <w:spacing w:val="-4"/>
          <w:kern w:val="0"/>
          <w:sz w:val="24"/>
          <w:szCs w:val="24"/>
        </w:rPr>
      </w:pPr>
      <w:r>
        <w:rPr>
          <w:rFonts w:ascii="宋体" w:hAnsi="宋体" w:eastAsia="宋体" w:cs="宋体"/>
          <w:kern w:val="0"/>
          <w:sz w:val="24"/>
          <w:szCs w:val="24"/>
        </w:rPr>
        <w:t>E.</w:t>
      </w:r>
      <w:r>
        <w:rPr>
          <w:rFonts w:ascii="宋体" w:hAnsi="宋体" w:eastAsia="宋体" w:cs="宋体"/>
          <w:spacing w:val="-4"/>
          <w:kern w:val="0"/>
          <w:sz w:val="24"/>
          <w:szCs w:val="24"/>
        </w:rPr>
        <w:t>食堂卫生“四固定”：定人、定物、定时间、定质量划片包干负责，，做到消灭苍蝇、老鼠、蟑螂和其他害虫及滋生条件。</w:t>
      </w:r>
    </w:p>
    <w:p w14:paraId="04542FFC">
      <w:pPr>
        <w:autoSpaceDE w:val="0"/>
        <w:autoSpaceDN w:val="0"/>
        <w:spacing w:line="360" w:lineRule="auto"/>
        <w:ind w:firstLine="480" w:firstLineChars="200"/>
        <w:rPr>
          <w:rFonts w:ascii="宋体" w:hAnsi="宋体" w:eastAsia="宋体" w:cs="宋体"/>
          <w:spacing w:val="-9"/>
          <w:kern w:val="0"/>
          <w:sz w:val="24"/>
          <w:szCs w:val="24"/>
        </w:rPr>
      </w:pPr>
      <w:r>
        <w:rPr>
          <w:rFonts w:ascii="宋体" w:hAnsi="宋体" w:eastAsia="宋体" w:cs="宋体"/>
          <w:kern w:val="0"/>
          <w:sz w:val="24"/>
          <w:szCs w:val="24"/>
        </w:rPr>
        <w:t>F.重点单元严格消毒隔离制度，二次更衣，定时紫外线消毒。按规定对操作区、用具、餐具，手部清洁消毒，每月进行微生物监测，不得检出致病菌。接受院感控办</w:t>
      </w:r>
      <w:r>
        <w:rPr>
          <w:rFonts w:ascii="宋体" w:hAnsi="宋体" w:eastAsia="宋体" w:cs="宋体"/>
          <w:spacing w:val="-5"/>
          <w:kern w:val="0"/>
          <w:sz w:val="24"/>
          <w:szCs w:val="24"/>
        </w:rPr>
        <w:t xml:space="preserve">督查。熟食用具一律煮沸或蒸汽消毒 </w:t>
      </w:r>
      <w:r>
        <w:rPr>
          <w:rFonts w:ascii="宋体" w:hAnsi="宋体" w:eastAsia="宋体" w:cs="宋体"/>
          <w:kern w:val="0"/>
          <w:sz w:val="24"/>
          <w:szCs w:val="24"/>
        </w:rPr>
        <w:t>30</w:t>
      </w:r>
      <w:r>
        <w:rPr>
          <w:rFonts w:ascii="宋体" w:hAnsi="宋体" w:eastAsia="宋体" w:cs="宋体"/>
          <w:spacing w:val="-9"/>
          <w:kern w:val="0"/>
          <w:sz w:val="24"/>
          <w:szCs w:val="24"/>
        </w:rPr>
        <w:t xml:space="preserve"> 分钟，所有餐具必须经过消毒后方能使用。</w:t>
      </w:r>
    </w:p>
    <w:p w14:paraId="10E2D872">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G.废弃物的存放场所设置区域合理，并及时清理，无腐烂变质。</w:t>
      </w:r>
    </w:p>
    <w:p w14:paraId="7DC188CC">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H.投标人必须配合医院院内感染管理部门定期对餐具、餐台、工作人员手部等进行病原学检测，当检测结果为阳性时，医院有权对投标人罚款人民币</w:t>
      </w:r>
      <w:r>
        <w:rPr>
          <w:rFonts w:ascii="宋体" w:hAnsi="宋体" w:eastAsia="宋体" w:cs="宋体"/>
          <w:spacing w:val="-60"/>
          <w:kern w:val="0"/>
          <w:sz w:val="24"/>
          <w:szCs w:val="24"/>
        </w:rPr>
        <w:t xml:space="preserve"> </w:t>
      </w:r>
      <w:r>
        <w:rPr>
          <w:rFonts w:ascii="宋体" w:hAnsi="宋体" w:eastAsia="宋体" w:cs="宋体"/>
          <w:kern w:val="0"/>
          <w:sz w:val="24"/>
          <w:szCs w:val="24"/>
        </w:rPr>
        <w:t>500元/次。如连续</w:t>
      </w:r>
      <w:r>
        <w:rPr>
          <w:rFonts w:ascii="宋体" w:hAnsi="宋体" w:eastAsia="宋体" w:cs="宋体"/>
          <w:spacing w:val="-60"/>
          <w:kern w:val="0"/>
          <w:sz w:val="24"/>
          <w:szCs w:val="24"/>
        </w:rPr>
        <w:t xml:space="preserve"> </w:t>
      </w:r>
      <w:r>
        <w:rPr>
          <w:rFonts w:ascii="宋体" w:hAnsi="宋体" w:eastAsia="宋体" w:cs="宋体"/>
          <w:kern w:val="0"/>
          <w:sz w:val="24"/>
          <w:szCs w:val="24"/>
        </w:rPr>
        <w:t>3</w:t>
      </w:r>
      <w:r>
        <w:rPr>
          <w:rFonts w:ascii="宋体" w:hAnsi="宋体" w:eastAsia="宋体" w:cs="宋体"/>
          <w:spacing w:val="-60"/>
          <w:kern w:val="0"/>
          <w:sz w:val="24"/>
          <w:szCs w:val="24"/>
        </w:rPr>
        <w:t xml:space="preserve"> </w:t>
      </w:r>
      <w:r>
        <w:rPr>
          <w:rFonts w:ascii="宋体" w:hAnsi="宋体" w:eastAsia="宋体" w:cs="宋体"/>
          <w:kern w:val="0"/>
          <w:sz w:val="24"/>
          <w:szCs w:val="24"/>
        </w:rPr>
        <w:t>次发生大肠肝菌检测阳性或多人食物中毒，并由当地卫生防疫官方机构检验核实，确认是投标人因本身操作原因所导致的，医院有权利单方面终止合同并要求投标人赔偿由此造成的一切损失。</w:t>
      </w:r>
    </w:p>
    <w:p w14:paraId="58D07A09">
      <w:pPr>
        <w:spacing w:line="360" w:lineRule="auto"/>
        <w:ind w:firstLine="482" w:firstLineChars="200"/>
        <w:rPr>
          <w:rFonts w:ascii="宋体" w:hAnsi="宋体" w:eastAsia="宋体"/>
          <w:b/>
          <w:sz w:val="24"/>
          <w:szCs w:val="24"/>
          <w:highlight w:val="cyan"/>
        </w:rPr>
      </w:pPr>
    </w:p>
    <w:p w14:paraId="1BAA5A57">
      <w:pPr>
        <w:spacing w:line="360" w:lineRule="auto"/>
        <w:ind w:firstLine="482" w:firstLineChars="200"/>
        <w:rPr>
          <w:rFonts w:ascii="宋体" w:hAnsi="宋体" w:eastAsia="宋体"/>
          <w:b/>
          <w:sz w:val="24"/>
          <w:szCs w:val="24"/>
        </w:rPr>
      </w:pPr>
      <w:r>
        <w:rPr>
          <w:rFonts w:hint="eastAsia" w:ascii="宋体" w:hAnsi="宋体" w:eastAsia="宋体"/>
          <w:b/>
          <w:sz w:val="24"/>
          <w:szCs w:val="24"/>
          <w:highlight w:val="cyan"/>
        </w:rPr>
        <w:t>（五）商务要求</w:t>
      </w:r>
    </w:p>
    <w:p w14:paraId="715877C5">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项目地点：</w:t>
      </w:r>
      <w:r>
        <w:rPr>
          <w:rFonts w:hint="eastAsia" w:ascii="宋体" w:hAnsi="宋体" w:eastAsia="宋体" w:cs="宋体"/>
          <w:kern w:val="0"/>
          <w:sz w:val="24"/>
          <w:szCs w:val="24"/>
        </w:rPr>
        <w:t>上海交通大学医学院附属新华医院奉贤院区</w:t>
      </w:r>
      <w:r>
        <w:rPr>
          <w:rFonts w:hint="eastAsia" w:ascii="宋体" w:hAnsi="宋体" w:eastAsia="宋体"/>
          <w:sz w:val="24"/>
          <w:szCs w:val="24"/>
        </w:rPr>
        <w:t xml:space="preserve"> </w:t>
      </w:r>
    </w:p>
    <w:p w14:paraId="69F7BB4C">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服务期限：自合同签订正式运行之日起至</w:t>
      </w:r>
      <w:r>
        <w:rPr>
          <w:rFonts w:ascii="宋体" w:hAnsi="宋体" w:eastAsia="宋体"/>
          <w:sz w:val="24"/>
          <w:szCs w:val="24"/>
        </w:rPr>
        <w:t>2027年12月31日止。</w:t>
      </w:r>
    </w:p>
    <w:p w14:paraId="5FD940D4">
      <w:pPr>
        <w:spacing w:line="360" w:lineRule="auto"/>
        <w:ind w:firstLine="480" w:firstLineChars="200"/>
        <w:rPr>
          <w:rFonts w:ascii="宋体" w:hAnsi="宋体" w:eastAsia="宋体"/>
          <w:sz w:val="24"/>
          <w:szCs w:val="24"/>
        </w:rPr>
      </w:pPr>
      <w:r>
        <w:rPr>
          <w:rFonts w:ascii="宋体" w:hAnsi="宋体" w:eastAsia="宋体"/>
          <w:sz w:val="24"/>
          <w:szCs w:val="24"/>
        </w:rPr>
        <w:t>3、付款方法：</w:t>
      </w:r>
      <w:r>
        <w:rPr>
          <w:rFonts w:hint="eastAsia" w:ascii="宋体" w:hAnsi="宋体" w:eastAsia="宋体"/>
          <w:sz w:val="24"/>
          <w:szCs w:val="24"/>
        </w:rPr>
        <w:t xml:space="preserve"> </w:t>
      </w:r>
      <w:r>
        <w:rPr>
          <w:rFonts w:hint="eastAsia" w:ascii="宋体" w:hAnsi="宋体" w:eastAsia="宋体" w:cs="宋体"/>
          <w:kern w:val="0"/>
          <w:sz w:val="24"/>
        </w:rPr>
        <w:t>每月</w:t>
      </w:r>
      <w:r>
        <w:rPr>
          <w:rFonts w:ascii="宋体" w:hAnsi="宋体" w:eastAsia="宋体" w:cs="宋体"/>
          <w:kern w:val="0"/>
          <w:sz w:val="24"/>
        </w:rPr>
        <w:t>10日为对账</w:t>
      </w:r>
      <w:r>
        <w:rPr>
          <w:rFonts w:hint="eastAsia" w:ascii="宋体" w:hAnsi="宋体" w:eastAsia="宋体" w:cs="宋体"/>
          <w:kern w:val="0"/>
          <w:sz w:val="24"/>
        </w:rPr>
        <w:t>日，经双方确认无误后，由供应商开具正规的餐饮发票给予招标人，</w:t>
      </w:r>
      <w:r>
        <w:rPr>
          <w:rFonts w:ascii="宋体" w:hAnsi="宋体" w:eastAsia="宋体" w:cs="宋体"/>
          <w:kern w:val="0"/>
          <w:sz w:val="24"/>
        </w:rPr>
        <w:t>清算后医院财务科由银行转账供方。</w:t>
      </w:r>
    </w:p>
    <w:p w14:paraId="497466D3">
      <w:pPr>
        <w:widowControl/>
        <w:jc w:val="left"/>
        <w:rPr>
          <w:rFonts w:ascii="宋体" w:hAnsi="宋体" w:cs="宋体"/>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细等线_GBK">
    <w:altName w:val="Microsoft YaHei UI"/>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32A69">
    <w:pPr>
      <w:pStyle w:val="27"/>
      <w:framePr w:wrap="around" w:vAnchor="text" w:hAnchor="margin" w:xAlign="center" w:y="1"/>
      <w:rPr>
        <w:rStyle w:val="43"/>
      </w:rPr>
    </w:pPr>
    <w:r>
      <w:fldChar w:fldCharType="begin"/>
    </w:r>
    <w:r>
      <w:rPr>
        <w:rStyle w:val="43"/>
      </w:rPr>
      <w:instrText xml:space="preserve">PAGE  </w:instrText>
    </w:r>
    <w:r>
      <w:fldChar w:fldCharType="separate"/>
    </w:r>
    <w:r>
      <w:rPr>
        <w:rStyle w:val="43"/>
      </w:rPr>
      <w:t>16</w:t>
    </w:r>
    <w:r>
      <w:fldChar w:fldCharType="end"/>
    </w:r>
  </w:p>
  <w:p w14:paraId="056EDA16">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785D9">
    <w:pPr>
      <w:pStyle w:val="27"/>
      <w:framePr w:wrap="around" w:vAnchor="text" w:hAnchor="margin" w:xAlign="center" w:y="1"/>
      <w:rPr>
        <w:rStyle w:val="43"/>
      </w:rPr>
    </w:pPr>
    <w:r>
      <w:fldChar w:fldCharType="begin"/>
    </w:r>
    <w:r>
      <w:rPr>
        <w:rStyle w:val="43"/>
      </w:rPr>
      <w:instrText xml:space="preserve">PAGE  </w:instrText>
    </w:r>
    <w:r>
      <w:fldChar w:fldCharType="end"/>
    </w:r>
  </w:p>
  <w:p w14:paraId="0786E147">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9315A"/>
    <w:multiLevelType w:val="multilevel"/>
    <w:tmpl w:val="0889315A"/>
    <w:lvl w:ilvl="0" w:tentative="0">
      <w:start w:val="1"/>
      <w:numFmt w:val="bullet"/>
      <w:pStyle w:val="104"/>
      <w:lvlText w:val=""/>
      <w:lvlJc w:val="left"/>
      <w:pPr>
        <w:tabs>
          <w:tab w:val="left" w:pos="1475"/>
        </w:tabs>
        <w:ind w:left="1475" w:hanging="420"/>
      </w:pPr>
      <w:rPr>
        <w:rFonts w:hint="default" w:ascii="Wingdings" w:hAnsi="Wingdings"/>
      </w:rPr>
    </w:lvl>
    <w:lvl w:ilvl="1" w:tentative="0">
      <w:start w:val="1"/>
      <w:numFmt w:val="bullet"/>
      <w:pStyle w:val="105"/>
      <w:lvlText w:val=""/>
      <w:lvlJc w:val="left"/>
      <w:pPr>
        <w:tabs>
          <w:tab w:val="left" w:pos="1895"/>
        </w:tabs>
        <w:ind w:left="1895" w:hanging="420"/>
      </w:pPr>
      <w:rPr>
        <w:rFonts w:hint="default" w:ascii="Wingdings" w:hAnsi="Wingdings"/>
      </w:rPr>
    </w:lvl>
    <w:lvl w:ilvl="2" w:tentative="0">
      <w:start w:val="1"/>
      <w:numFmt w:val="bullet"/>
      <w:lvlText w:val=""/>
      <w:lvlJc w:val="left"/>
      <w:pPr>
        <w:tabs>
          <w:tab w:val="left" w:pos="2315"/>
        </w:tabs>
        <w:ind w:left="2315" w:hanging="420"/>
      </w:pPr>
      <w:rPr>
        <w:rFonts w:hint="default" w:ascii="Wingdings" w:hAnsi="Wingdings"/>
      </w:rPr>
    </w:lvl>
    <w:lvl w:ilvl="3" w:tentative="0">
      <w:start w:val="1"/>
      <w:numFmt w:val="bullet"/>
      <w:lvlText w:val=""/>
      <w:lvlJc w:val="left"/>
      <w:pPr>
        <w:tabs>
          <w:tab w:val="left" w:pos="2735"/>
        </w:tabs>
        <w:ind w:left="2735" w:hanging="420"/>
      </w:pPr>
      <w:rPr>
        <w:rFonts w:hint="default" w:ascii="Wingdings" w:hAnsi="Wingdings"/>
      </w:rPr>
    </w:lvl>
    <w:lvl w:ilvl="4" w:tentative="0">
      <w:start w:val="1"/>
      <w:numFmt w:val="bullet"/>
      <w:lvlText w:val=""/>
      <w:lvlJc w:val="left"/>
      <w:pPr>
        <w:tabs>
          <w:tab w:val="left" w:pos="3155"/>
        </w:tabs>
        <w:ind w:left="3155" w:hanging="420"/>
      </w:pPr>
      <w:rPr>
        <w:rFonts w:hint="default" w:ascii="Wingdings" w:hAnsi="Wingdings"/>
      </w:rPr>
    </w:lvl>
    <w:lvl w:ilvl="5" w:tentative="0">
      <w:start w:val="1"/>
      <w:numFmt w:val="bullet"/>
      <w:lvlText w:val=""/>
      <w:lvlJc w:val="left"/>
      <w:pPr>
        <w:tabs>
          <w:tab w:val="left" w:pos="3575"/>
        </w:tabs>
        <w:ind w:left="3575" w:hanging="420"/>
      </w:pPr>
      <w:rPr>
        <w:rFonts w:hint="default" w:ascii="Wingdings" w:hAnsi="Wingdings"/>
      </w:rPr>
    </w:lvl>
    <w:lvl w:ilvl="6" w:tentative="0">
      <w:start w:val="1"/>
      <w:numFmt w:val="bullet"/>
      <w:lvlText w:val=""/>
      <w:lvlJc w:val="left"/>
      <w:pPr>
        <w:tabs>
          <w:tab w:val="left" w:pos="3995"/>
        </w:tabs>
        <w:ind w:left="3995" w:hanging="420"/>
      </w:pPr>
      <w:rPr>
        <w:rFonts w:hint="default" w:ascii="Wingdings" w:hAnsi="Wingdings"/>
      </w:rPr>
    </w:lvl>
    <w:lvl w:ilvl="7" w:tentative="0">
      <w:start w:val="1"/>
      <w:numFmt w:val="bullet"/>
      <w:lvlText w:val=""/>
      <w:lvlJc w:val="left"/>
      <w:pPr>
        <w:tabs>
          <w:tab w:val="left" w:pos="4415"/>
        </w:tabs>
        <w:ind w:left="4415" w:hanging="420"/>
      </w:pPr>
      <w:rPr>
        <w:rFonts w:hint="default" w:ascii="Wingdings" w:hAnsi="Wingdings"/>
      </w:rPr>
    </w:lvl>
    <w:lvl w:ilvl="8" w:tentative="0">
      <w:start w:val="1"/>
      <w:numFmt w:val="bullet"/>
      <w:lvlText w:val=""/>
      <w:lvlJc w:val="left"/>
      <w:pPr>
        <w:tabs>
          <w:tab w:val="left" w:pos="4835"/>
        </w:tabs>
        <w:ind w:left="4835" w:hanging="420"/>
      </w:pPr>
      <w:rPr>
        <w:rFonts w:hint="default" w:ascii="Wingdings" w:hAnsi="Wingdings"/>
      </w:rPr>
    </w:lvl>
  </w:abstractNum>
  <w:abstractNum w:abstractNumId="1">
    <w:nsid w:val="416D274C"/>
    <w:multiLevelType w:val="multilevel"/>
    <w:tmpl w:val="416D274C"/>
    <w:lvl w:ilvl="0" w:tentative="0">
      <w:start w:val="1"/>
      <w:numFmt w:val="decimal"/>
      <w:pStyle w:val="98"/>
      <w:lvlText w:val="%1."/>
      <w:lvlJc w:val="left"/>
      <w:pPr>
        <w:tabs>
          <w:tab w:val="left" w:pos="1055"/>
        </w:tabs>
        <w:ind w:left="0" w:firstLine="0"/>
      </w:pPr>
      <w:rPr>
        <w:rFonts w:hint="eastAsia"/>
      </w:rPr>
    </w:lvl>
    <w:lvl w:ilvl="1" w:tentative="0">
      <w:start w:val="1"/>
      <w:numFmt w:val="decimal"/>
      <w:pStyle w:val="97"/>
      <w:lvlText w:val="%1.%2."/>
      <w:lvlJc w:val="left"/>
      <w:pPr>
        <w:tabs>
          <w:tab w:val="left" w:pos="1055"/>
        </w:tabs>
        <w:ind w:left="0" w:firstLine="0"/>
      </w:pPr>
      <w:rPr>
        <w:rFonts w:hint="eastAsia"/>
      </w:rPr>
    </w:lvl>
    <w:lvl w:ilvl="2" w:tentative="0">
      <w:start w:val="1"/>
      <w:numFmt w:val="decimal"/>
      <w:pStyle w:val="100"/>
      <w:lvlText w:val="%1.%2.%3."/>
      <w:lvlJc w:val="left"/>
      <w:pPr>
        <w:tabs>
          <w:tab w:val="left" w:pos="1055"/>
        </w:tabs>
        <w:ind w:left="0" w:firstLine="0"/>
      </w:pPr>
      <w:rPr>
        <w:rFonts w:hint="eastAsia"/>
      </w:rPr>
    </w:lvl>
    <w:lvl w:ilvl="3" w:tentative="0">
      <w:start w:val="1"/>
      <w:numFmt w:val="decimal"/>
      <w:pStyle w:val="101"/>
      <w:lvlText w:val="%1.%2.%3.%4."/>
      <w:lvlJc w:val="left"/>
      <w:pPr>
        <w:tabs>
          <w:tab w:val="left" w:pos="1055"/>
        </w:tabs>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俐君">
    <w15:presenceInfo w15:providerId="None" w15:userId="杨俐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MzhjYTE4MmFjZTZlOTcyZGY5YWUwNDlmMDI0MzQifQ=="/>
  </w:docVars>
  <w:rsids>
    <w:rsidRoot w:val="00E23EA9"/>
    <w:rsid w:val="00005DFD"/>
    <w:rsid w:val="00010CD9"/>
    <w:rsid w:val="0001319F"/>
    <w:rsid w:val="00014E3B"/>
    <w:rsid w:val="00045001"/>
    <w:rsid w:val="000505DB"/>
    <w:rsid w:val="000A0652"/>
    <w:rsid w:val="000C3527"/>
    <w:rsid w:val="000E20C3"/>
    <w:rsid w:val="00127581"/>
    <w:rsid w:val="001279AB"/>
    <w:rsid w:val="00132DB3"/>
    <w:rsid w:val="001521C2"/>
    <w:rsid w:val="001625B5"/>
    <w:rsid w:val="00173B33"/>
    <w:rsid w:val="00190C52"/>
    <w:rsid w:val="0019300F"/>
    <w:rsid w:val="001D6EB8"/>
    <w:rsid w:val="00201968"/>
    <w:rsid w:val="00325245"/>
    <w:rsid w:val="00341247"/>
    <w:rsid w:val="003416BA"/>
    <w:rsid w:val="00361CB8"/>
    <w:rsid w:val="003A24CC"/>
    <w:rsid w:val="003A36D3"/>
    <w:rsid w:val="003B3486"/>
    <w:rsid w:val="003C6098"/>
    <w:rsid w:val="003D1158"/>
    <w:rsid w:val="003D4E4A"/>
    <w:rsid w:val="003E38DB"/>
    <w:rsid w:val="003F3547"/>
    <w:rsid w:val="00405BCE"/>
    <w:rsid w:val="00411387"/>
    <w:rsid w:val="004149FF"/>
    <w:rsid w:val="004259BD"/>
    <w:rsid w:val="00426D76"/>
    <w:rsid w:val="0045606C"/>
    <w:rsid w:val="00456862"/>
    <w:rsid w:val="00497365"/>
    <w:rsid w:val="004C1AA2"/>
    <w:rsid w:val="004C63EF"/>
    <w:rsid w:val="004D797E"/>
    <w:rsid w:val="004F66F6"/>
    <w:rsid w:val="0050375A"/>
    <w:rsid w:val="00546A6C"/>
    <w:rsid w:val="00583DBC"/>
    <w:rsid w:val="005B0BDE"/>
    <w:rsid w:val="005D725B"/>
    <w:rsid w:val="00617A23"/>
    <w:rsid w:val="00630F0D"/>
    <w:rsid w:val="00634342"/>
    <w:rsid w:val="006545ED"/>
    <w:rsid w:val="006B1049"/>
    <w:rsid w:val="006D0E0B"/>
    <w:rsid w:val="006E7D17"/>
    <w:rsid w:val="00731BEF"/>
    <w:rsid w:val="007635A9"/>
    <w:rsid w:val="007703FB"/>
    <w:rsid w:val="0078595A"/>
    <w:rsid w:val="00786E3E"/>
    <w:rsid w:val="007D25F9"/>
    <w:rsid w:val="007D6B48"/>
    <w:rsid w:val="00801330"/>
    <w:rsid w:val="008227B3"/>
    <w:rsid w:val="00841E27"/>
    <w:rsid w:val="008501F4"/>
    <w:rsid w:val="008A7D1C"/>
    <w:rsid w:val="008C2793"/>
    <w:rsid w:val="008E654A"/>
    <w:rsid w:val="008F0AE6"/>
    <w:rsid w:val="008F12C4"/>
    <w:rsid w:val="0092084B"/>
    <w:rsid w:val="00922BF4"/>
    <w:rsid w:val="00944995"/>
    <w:rsid w:val="00974F5B"/>
    <w:rsid w:val="00A02820"/>
    <w:rsid w:val="00A20BD1"/>
    <w:rsid w:val="00A33C0C"/>
    <w:rsid w:val="00A640A2"/>
    <w:rsid w:val="00A727E1"/>
    <w:rsid w:val="00AA7FE4"/>
    <w:rsid w:val="00AB1D70"/>
    <w:rsid w:val="00AB7610"/>
    <w:rsid w:val="00AC53FA"/>
    <w:rsid w:val="00AD3AF9"/>
    <w:rsid w:val="00AF1F52"/>
    <w:rsid w:val="00AF2F17"/>
    <w:rsid w:val="00B07E07"/>
    <w:rsid w:val="00B215F7"/>
    <w:rsid w:val="00B70C7A"/>
    <w:rsid w:val="00BA3C8F"/>
    <w:rsid w:val="00BA7DEA"/>
    <w:rsid w:val="00BB15D8"/>
    <w:rsid w:val="00BC196A"/>
    <w:rsid w:val="00BE31D0"/>
    <w:rsid w:val="00C0380E"/>
    <w:rsid w:val="00C1762F"/>
    <w:rsid w:val="00C429A5"/>
    <w:rsid w:val="00C43973"/>
    <w:rsid w:val="00C6744F"/>
    <w:rsid w:val="00CC633B"/>
    <w:rsid w:val="00CD08F0"/>
    <w:rsid w:val="00CF6ED7"/>
    <w:rsid w:val="00D00F33"/>
    <w:rsid w:val="00D5044E"/>
    <w:rsid w:val="00D5300F"/>
    <w:rsid w:val="00D871FC"/>
    <w:rsid w:val="00DA2768"/>
    <w:rsid w:val="00DD3F3D"/>
    <w:rsid w:val="00DE3E4E"/>
    <w:rsid w:val="00DF771C"/>
    <w:rsid w:val="00E16A29"/>
    <w:rsid w:val="00E23EA9"/>
    <w:rsid w:val="00E5504F"/>
    <w:rsid w:val="00E646DB"/>
    <w:rsid w:val="00E91802"/>
    <w:rsid w:val="00ED7CA5"/>
    <w:rsid w:val="00EE3B88"/>
    <w:rsid w:val="00F03527"/>
    <w:rsid w:val="00F223DC"/>
    <w:rsid w:val="00FC2553"/>
    <w:rsid w:val="00FF39D3"/>
    <w:rsid w:val="00FF6C72"/>
    <w:rsid w:val="067B5774"/>
    <w:rsid w:val="09B31394"/>
    <w:rsid w:val="16921FDB"/>
    <w:rsid w:val="262A47AB"/>
    <w:rsid w:val="2675396A"/>
    <w:rsid w:val="2BBB1FDC"/>
    <w:rsid w:val="35343E3C"/>
    <w:rsid w:val="404853E3"/>
    <w:rsid w:val="48F0733B"/>
    <w:rsid w:val="5E335FFB"/>
    <w:rsid w:val="69DD2502"/>
    <w:rsid w:val="6F641C6A"/>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iPriority="0" w:semiHidden="0" w:name="toc 4"/>
    <w:lsdException w:uiPriority="0" w:semiHidden="0" w:name="toc 5"/>
    <w:lsdException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07"/>
    <w:unhideWhenUsed/>
    <w:qFormat/>
    <w:uiPriority w:val="0"/>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6">
    <w:name w:val="heading 3"/>
    <w:basedOn w:val="1"/>
    <w:next w:val="1"/>
    <w:link w:val="108"/>
    <w:unhideWhenUsed/>
    <w:qFormat/>
    <w:uiPriority w:val="0"/>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7">
    <w:name w:val="heading 4"/>
    <w:basedOn w:val="1"/>
    <w:next w:val="1"/>
    <w:link w:val="109"/>
    <w:semiHidden/>
    <w:unhideWhenUsed/>
    <w:qFormat/>
    <w:uiPriority w:val="9"/>
    <w:pPr>
      <w:keepNext/>
      <w:keepLines/>
      <w:spacing w:before="80" w:after="40"/>
      <w:outlineLvl w:val="3"/>
    </w:pPr>
    <w:rPr>
      <w:rFonts w:ascii="Calibri" w:hAnsi="Calibri" w:eastAsia="宋体" w:cstheme="majorBidi"/>
      <w:color w:val="2E75B6" w:themeColor="accent1" w:themeShade="BF"/>
      <w:sz w:val="28"/>
      <w:szCs w:val="28"/>
    </w:rPr>
  </w:style>
  <w:style w:type="paragraph" w:styleId="8">
    <w:name w:val="heading 5"/>
    <w:basedOn w:val="1"/>
    <w:next w:val="1"/>
    <w:link w:val="110"/>
    <w:semiHidden/>
    <w:unhideWhenUsed/>
    <w:qFormat/>
    <w:uiPriority w:val="9"/>
    <w:pPr>
      <w:keepNext/>
      <w:keepLines/>
      <w:spacing w:before="80" w:after="40"/>
      <w:outlineLvl w:val="4"/>
    </w:pPr>
    <w:rPr>
      <w:rFonts w:ascii="Calibri" w:hAnsi="Calibri" w:eastAsia="宋体" w:cstheme="majorBidi"/>
      <w:color w:val="2E75B6" w:themeColor="accent1" w:themeShade="BF"/>
      <w:sz w:val="24"/>
      <w:szCs w:val="24"/>
    </w:rPr>
  </w:style>
  <w:style w:type="paragraph" w:styleId="9">
    <w:name w:val="heading 6"/>
    <w:basedOn w:val="1"/>
    <w:next w:val="1"/>
    <w:link w:val="111"/>
    <w:semiHidden/>
    <w:unhideWhenUsed/>
    <w:qFormat/>
    <w:uiPriority w:val="9"/>
    <w:pPr>
      <w:keepNext/>
      <w:keepLines/>
      <w:spacing w:before="40"/>
      <w:outlineLvl w:val="5"/>
    </w:pPr>
    <w:rPr>
      <w:rFonts w:ascii="Calibri" w:hAnsi="Calibri" w:eastAsia="宋体" w:cstheme="majorBidi"/>
      <w:b/>
      <w:bCs/>
      <w:color w:val="2E75B6" w:themeColor="accent1" w:themeShade="BF"/>
      <w:szCs w:val="24"/>
    </w:rPr>
  </w:style>
  <w:style w:type="paragraph" w:styleId="10">
    <w:name w:val="heading 7"/>
    <w:basedOn w:val="1"/>
    <w:next w:val="1"/>
    <w:link w:val="112"/>
    <w:semiHidden/>
    <w:unhideWhenUsed/>
    <w:qFormat/>
    <w:uiPriority w:val="9"/>
    <w:pPr>
      <w:keepNext/>
      <w:keepLines/>
      <w:spacing w:before="40"/>
      <w:outlineLvl w:val="6"/>
    </w:pPr>
    <w:rPr>
      <w:rFonts w:ascii="Calibri" w:hAnsi="Calibri" w:eastAsia="宋体" w:cstheme="majorBidi"/>
      <w:b/>
      <w:bCs/>
      <w:color w:val="595959" w:themeColor="text1" w:themeTint="A6"/>
      <w:szCs w:val="24"/>
      <w14:textFill>
        <w14:solidFill>
          <w14:schemeClr w14:val="tx1">
            <w14:lumMod w14:val="65000"/>
            <w14:lumOff w14:val="35000"/>
          </w14:schemeClr>
        </w14:solidFill>
      </w14:textFill>
    </w:rPr>
  </w:style>
  <w:style w:type="paragraph" w:styleId="11">
    <w:name w:val="heading 8"/>
    <w:basedOn w:val="1"/>
    <w:next w:val="1"/>
    <w:link w:val="113"/>
    <w:semiHidden/>
    <w:unhideWhenUsed/>
    <w:qFormat/>
    <w:uiPriority w:val="9"/>
    <w:pPr>
      <w:keepNext/>
      <w:keepLines/>
      <w:outlineLvl w:val="7"/>
    </w:pPr>
    <w:rPr>
      <w:rFonts w:ascii="Calibri" w:hAnsi="Calibri" w:eastAsia="宋体" w:cstheme="majorBidi"/>
      <w:color w:val="595959" w:themeColor="text1" w:themeTint="A6"/>
      <w:szCs w:val="24"/>
      <w14:textFill>
        <w14:solidFill>
          <w14:schemeClr w14:val="tx1">
            <w14:lumMod w14:val="65000"/>
            <w14:lumOff w14:val="35000"/>
          </w14:schemeClr>
        </w14:solidFill>
      </w14:textFill>
    </w:rPr>
  </w:style>
  <w:style w:type="paragraph" w:styleId="12">
    <w:name w:val="heading 9"/>
    <w:basedOn w:val="1"/>
    <w:next w:val="1"/>
    <w:link w:val="114"/>
    <w:semiHidden/>
    <w:unhideWhenUsed/>
    <w:qFormat/>
    <w:uiPriority w:val="9"/>
    <w:pPr>
      <w:keepNext/>
      <w:keepLines/>
      <w:outlineLvl w:val="8"/>
    </w:pPr>
    <w:rPr>
      <w:rFonts w:ascii="Calibri" w:hAnsi="Calibri" w:eastAsiaTheme="majorEastAsia" w:cstheme="majorBidi"/>
      <w:color w:val="595959" w:themeColor="text1" w:themeTint="A6"/>
      <w:szCs w:val="24"/>
      <w14:textFill>
        <w14:solidFill>
          <w14:schemeClr w14:val="tx1">
            <w14:lumMod w14:val="65000"/>
            <w14:lumOff w14:val="35000"/>
          </w14:schemeClr>
        </w14:solidFill>
      </w14:textFill>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正文（文本）"/>
    <w:next w:val="3"/>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styleId="3">
    <w:name w:val="toc 6"/>
    <w:basedOn w:val="1"/>
    <w:next w:val="1"/>
    <w:unhideWhenUsed/>
    <w:uiPriority w:val="0"/>
    <w:pPr>
      <w:ind w:left="2100" w:leftChars="1000"/>
    </w:pPr>
    <w:rPr>
      <w:rFonts w:ascii="Calibri" w:hAnsi="Calibri" w:eastAsia="宋体" w:cs="Times New Roman"/>
    </w:rPr>
  </w:style>
  <w:style w:type="paragraph" w:styleId="13">
    <w:name w:val="toc 7"/>
    <w:basedOn w:val="1"/>
    <w:next w:val="1"/>
    <w:unhideWhenUsed/>
    <w:qFormat/>
    <w:uiPriority w:val="0"/>
    <w:pPr>
      <w:ind w:left="2520" w:leftChars="1200"/>
    </w:pPr>
    <w:rPr>
      <w:rFonts w:ascii="Calibri" w:hAnsi="Calibri" w:eastAsia="宋体" w:cs="Times New Roman"/>
    </w:rPr>
  </w:style>
  <w:style w:type="paragraph" w:styleId="14">
    <w:name w:val="Normal Indent"/>
    <w:basedOn w:val="1"/>
    <w:qFormat/>
    <w:uiPriority w:val="0"/>
    <w:pPr>
      <w:ind w:firstLine="420"/>
    </w:pPr>
    <w:rPr>
      <w:rFonts w:ascii="Calibri" w:hAnsi="Calibri" w:eastAsia="宋体" w:cs="Times New Roman"/>
      <w:szCs w:val="20"/>
    </w:rPr>
  </w:style>
  <w:style w:type="paragraph" w:styleId="15">
    <w:name w:val="Document Map"/>
    <w:basedOn w:val="1"/>
    <w:link w:val="123"/>
    <w:semiHidden/>
    <w:uiPriority w:val="0"/>
    <w:rPr>
      <w:rFonts w:ascii="宋体" w:hAnsi="Calibri" w:eastAsia="宋体" w:cs="Times New Roman"/>
      <w:sz w:val="18"/>
      <w:szCs w:val="18"/>
    </w:rPr>
  </w:style>
  <w:style w:type="paragraph" w:styleId="16">
    <w:name w:val="annotation text"/>
    <w:basedOn w:val="1"/>
    <w:link w:val="49"/>
    <w:unhideWhenUsed/>
    <w:qFormat/>
    <w:uiPriority w:val="0"/>
    <w:pPr>
      <w:jc w:val="left"/>
    </w:pPr>
  </w:style>
  <w:style w:type="paragraph" w:styleId="17">
    <w:name w:val="Body Text"/>
    <w:basedOn w:val="1"/>
    <w:next w:val="18"/>
    <w:link w:val="124"/>
    <w:qFormat/>
    <w:uiPriority w:val="0"/>
    <w:pPr>
      <w:spacing w:after="120"/>
    </w:pPr>
    <w:rPr>
      <w:rFonts w:ascii="Calibri" w:hAnsi="Calibri" w:eastAsia="宋体" w:cs="Times New Roman"/>
      <w:szCs w:val="24"/>
    </w:rPr>
  </w:style>
  <w:style w:type="paragraph" w:styleId="18">
    <w:name w:val="Body Text First Indent"/>
    <w:basedOn w:val="17"/>
    <w:next w:val="3"/>
    <w:qFormat/>
    <w:uiPriority w:val="0"/>
    <w:pPr>
      <w:ind w:firstLine="420" w:firstLineChars="100"/>
    </w:pPr>
  </w:style>
  <w:style w:type="paragraph" w:styleId="19">
    <w:name w:val="Body Text Indent"/>
    <w:basedOn w:val="1"/>
    <w:link w:val="125"/>
    <w:qFormat/>
    <w:uiPriority w:val="0"/>
    <w:pPr>
      <w:spacing w:line="360" w:lineRule="auto"/>
      <w:ind w:left="420" w:firstLine="420"/>
    </w:pPr>
    <w:rPr>
      <w:rFonts w:ascii="宋体" w:hAnsi="宋体" w:eastAsia="宋体" w:cs="Times New Roman"/>
      <w:sz w:val="24"/>
      <w:szCs w:val="24"/>
      <w:shd w:val="pct10" w:color="auto" w:fill="FFFFFF"/>
    </w:rPr>
  </w:style>
  <w:style w:type="paragraph" w:styleId="20">
    <w:name w:val="toc 5"/>
    <w:basedOn w:val="1"/>
    <w:next w:val="1"/>
    <w:unhideWhenUsed/>
    <w:uiPriority w:val="0"/>
    <w:pPr>
      <w:ind w:left="1680" w:leftChars="800"/>
    </w:pPr>
    <w:rPr>
      <w:rFonts w:ascii="Calibri" w:hAnsi="Calibri" w:eastAsia="宋体" w:cs="Times New Roman"/>
    </w:rPr>
  </w:style>
  <w:style w:type="paragraph" w:styleId="21">
    <w:name w:val="toc 3"/>
    <w:basedOn w:val="1"/>
    <w:next w:val="1"/>
    <w:semiHidden/>
    <w:qFormat/>
    <w:uiPriority w:val="0"/>
    <w:pPr>
      <w:ind w:left="840" w:leftChars="400"/>
    </w:pPr>
    <w:rPr>
      <w:rFonts w:ascii="Calibri" w:hAnsi="Calibri" w:eastAsia="宋体" w:cs="Times New Roman"/>
      <w:szCs w:val="24"/>
    </w:rPr>
  </w:style>
  <w:style w:type="paragraph" w:styleId="22">
    <w:name w:val="Plain Text"/>
    <w:basedOn w:val="1"/>
    <w:link w:val="53"/>
    <w:qFormat/>
    <w:uiPriority w:val="0"/>
    <w:pPr>
      <w:widowControl/>
    </w:pPr>
    <w:rPr>
      <w:rFonts w:ascii="宋体" w:hAnsi="Courier New" w:eastAsia="宋体" w:cs="Times New Roman"/>
      <w:szCs w:val="20"/>
      <w:lang w:eastAsia="en-US"/>
    </w:rPr>
  </w:style>
  <w:style w:type="paragraph" w:styleId="23">
    <w:name w:val="toc 8"/>
    <w:basedOn w:val="1"/>
    <w:next w:val="1"/>
    <w:unhideWhenUsed/>
    <w:qFormat/>
    <w:uiPriority w:val="0"/>
    <w:pPr>
      <w:ind w:left="2940" w:leftChars="1400"/>
    </w:pPr>
    <w:rPr>
      <w:rFonts w:ascii="Calibri" w:hAnsi="Calibri" w:eastAsia="宋体" w:cs="Times New Roman"/>
    </w:rPr>
  </w:style>
  <w:style w:type="paragraph" w:styleId="24">
    <w:name w:val="Date"/>
    <w:basedOn w:val="1"/>
    <w:next w:val="1"/>
    <w:link w:val="126"/>
    <w:qFormat/>
    <w:uiPriority w:val="0"/>
    <w:pPr>
      <w:spacing w:line="480" w:lineRule="exact"/>
    </w:pPr>
    <w:rPr>
      <w:rFonts w:ascii="Calibri" w:hAnsi="Calibri" w:eastAsia="宋体" w:cs="Times New Roman"/>
      <w:sz w:val="24"/>
      <w:szCs w:val="20"/>
    </w:rPr>
  </w:style>
  <w:style w:type="paragraph" w:styleId="25">
    <w:name w:val="Body Text Indent 2"/>
    <w:basedOn w:val="1"/>
    <w:link w:val="127"/>
    <w:qFormat/>
    <w:uiPriority w:val="0"/>
    <w:pPr>
      <w:spacing w:line="360" w:lineRule="auto"/>
      <w:ind w:left="840"/>
    </w:pPr>
    <w:rPr>
      <w:rFonts w:ascii="Calibri" w:hAnsi="Calibri" w:eastAsia="宋体" w:cs="Times New Roman"/>
      <w:color w:val="FF6600"/>
      <w:sz w:val="24"/>
      <w:szCs w:val="24"/>
    </w:rPr>
  </w:style>
  <w:style w:type="paragraph" w:styleId="26">
    <w:name w:val="Balloon Text"/>
    <w:basedOn w:val="1"/>
    <w:link w:val="51"/>
    <w:unhideWhenUsed/>
    <w:qFormat/>
    <w:uiPriority w:val="0"/>
    <w:rPr>
      <w:sz w:val="18"/>
      <w:szCs w:val="18"/>
    </w:rPr>
  </w:style>
  <w:style w:type="paragraph" w:styleId="27">
    <w:name w:val="footer"/>
    <w:basedOn w:val="1"/>
    <w:link w:val="57"/>
    <w:unhideWhenUsed/>
    <w:qFormat/>
    <w:uiPriority w:val="99"/>
    <w:pPr>
      <w:tabs>
        <w:tab w:val="center" w:pos="4153"/>
        <w:tab w:val="right" w:pos="8306"/>
      </w:tabs>
      <w:snapToGrid w:val="0"/>
      <w:jc w:val="left"/>
    </w:pPr>
    <w:rPr>
      <w:sz w:val="18"/>
      <w:szCs w:val="18"/>
    </w:rPr>
  </w:style>
  <w:style w:type="paragraph" w:styleId="28">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rPr>
      <w:rFonts w:ascii="Calibri" w:hAnsi="Calibri" w:eastAsia="宋体" w:cs="Times New Roman"/>
      <w:b/>
      <w:sz w:val="24"/>
      <w:szCs w:val="24"/>
    </w:rPr>
  </w:style>
  <w:style w:type="paragraph" w:styleId="30">
    <w:name w:val="toc 4"/>
    <w:basedOn w:val="1"/>
    <w:next w:val="1"/>
    <w:unhideWhenUsed/>
    <w:qFormat/>
    <w:uiPriority w:val="0"/>
    <w:pPr>
      <w:ind w:left="1260" w:leftChars="600"/>
    </w:pPr>
    <w:rPr>
      <w:rFonts w:ascii="Calibri" w:hAnsi="Calibri" w:eastAsia="宋体" w:cs="Times New Roman"/>
    </w:rPr>
  </w:style>
  <w:style w:type="paragraph" w:styleId="31">
    <w:name w:val="Subtitle"/>
    <w:basedOn w:val="1"/>
    <w:next w:val="1"/>
    <w:link w:val="11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Body Text Indent 3"/>
    <w:basedOn w:val="1"/>
    <w:link w:val="96"/>
    <w:qFormat/>
    <w:uiPriority w:val="0"/>
    <w:pPr>
      <w:spacing w:line="300" w:lineRule="auto"/>
      <w:ind w:firstLine="480" w:firstLineChars="200"/>
      <w:jc w:val="left"/>
    </w:pPr>
    <w:rPr>
      <w:rFonts w:ascii="Times New Roman" w:hAnsi="Times New Roman" w:eastAsia="宋体" w:cs="Times New Roman"/>
      <w:sz w:val="24"/>
      <w:szCs w:val="24"/>
    </w:rPr>
  </w:style>
  <w:style w:type="paragraph" w:styleId="33">
    <w:name w:val="toc 2"/>
    <w:basedOn w:val="1"/>
    <w:next w:val="1"/>
    <w:semiHidden/>
    <w:qFormat/>
    <w:uiPriority w:val="0"/>
    <w:pPr>
      <w:tabs>
        <w:tab w:val="right" w:leader="dot" w:pos="8303"/>
      </w:tabs>
      <w:spacing w:line="260" w:lineRule="exact"/>
      <w:ind w:left="420" w:leftChars="200"/>
    </w:pPr>
    <w:rPr>
      <w:rFonts w:ascii="宋体" w:hAnsi="宋体" w:eastAsia="宋体" w:cs="黑体"/>
      <w:spacing w:val="8"/>
      <w:kern w:val="0"/>
      <w:sz w:val="24"/>
      <w:szCs w:val="24"/>
    </w:rPr>
  </w:style>
  <w:style w:type="paragraph" w:styleId="34">
    <w:name w:val="toc 9"/>
    <w:basedOn w:val="1"/>
    <w:next w:val="1"/>
    <w:unhideWhenUsed/>
    <w:qFormat/>
    <w:uiPriority w:val="0"/>
    <w:pPr>
      <w:ind w:left="3360" w:leftChars="1600"/>
    </w:pPr>
    <w:rPr>
      <w:rFonts w:ascii="Calibri" w:hAnsi="Calibri" w:eastAsia="宋体" w:cs="Times New Roman"/>
    </w:rPr>
  </w:style>
  <w:style w:type="paragraph" w:styleId="35">
    <w:name w:val="Body Text 2"/>
    <w:basedOn w:val="1"/>
    <w:link w:val="129"/>
    <w:qFormat/>
    <w:uiPriority w:val="0"/>
    <w:pPr>
      <w:jc w:val="center"/>
    </w:pPr>
    <w:rPr>
      <w:rFonts w:ascii="楷体_GB2312" w:hAnsi="Calibri" w:eastAsia="楷体_GB2312" w:cs="Times New Roman"/>
      <w:b/>
      <w:sz w:val="72"/>
      <w:szCs w:val="20"/>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7">
    <w:name w:val="Title"/>
    <w:basedOn w:val="1"/>
    <w:next w:val="1"/>
    <w:link w:val="11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38">
    <w:name w:val="annotation subject"/>
    <w:basedOn w:val="16"/>
    <w:next w:val="16"/>
    <w:link w:val="50"/>
    <w:unhideWhenUsed/>
    <w:qFormat/>
    <w:uiPriority w:val="0"/>
    <w:rPr>
      <w:b/>
      <w:bCs/>
    </w:rPr>
  </w:style>
  <w:style w:type="table" w:styleId="40">
    <w:name w:val="Table Grid"/>
    <w:basedOn w:val="39"/>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hint="default" w:ascii="Verdana" w:hAnsi="Verdana" w:eastAsia="宋体" w:cs="Verdana"/>
      <w:b/>
      <w:sz w:val="21"/>
      <w:lang w:val="en-US" w:eastAsia="en-US"/>
    </w:rPr>
  </w:style>
  <w:style w:type="character" w:styleId="43">
    <w:name w:val="page number"/>
    <w:basedOn w:val="41"/>
    <w:qFormat/>
    <w:uiPriority w:val="0"/>
  </w:style>
  <w:style w:type="character" w:styleId="44">
    <w:name w:val="FollowedHyperlink"/>
    <w:basedOn w:val="41"/>
    <w:semiHidden/>
    <w:unhideWhenUsed/>
    <w:qFormat/>
    <w:uiPriority w:val="99"/>
    <w:rPr>
      <w:color w:val="954F72"/>
      <w:u w:val="single"/>
    </w:rPr>
  </w:style>
  <w:style w:type="character" w:styleId="45">
    <w:name w:val="Hyperlink"/>
    <w:basedOn w:val="41"/>
    <w:unhideWhenUsed/>
    <w:qFormat/>
    <w:uiPriority w:val="0"/>
    <w:rPr>
      <w:color w:val="0563C1"/>
      <w:u w:val="single"/>
    </w:rPr>
  </w:style>
  <w:style w:type="character" w:styleId="46">
    <w:name w:val="annotation reference"/>
    <w:basedOn w:val="41"/>
    <w:unhideWhenUsed/>
    <w:qFormat/>
    <w:uiPriority w:val="0"/>
    <w:rPr>
      <w:sz w:val="21"/>
      <w:szCs w:val="21"/>
    </w:rPr>
  </w:style>
  <w:style w:type="paragraph" w:styleId="47">
    <w:name w:val="List Paragraph"/>
    <w:basedOn w:val="1"/>
    <w:link w:val="48"/>
    <w:qFormat/>
    <w:uiPriority w:val="34"/>
    <w:pPr>
      <w:ind w:firstLine="420" w:firstLineChars="200"/>
    </w:pPr>
  </w:style>
  <w:style w:type="character" w:customStyle="1" w:styleId="48">
    <w:name w:val="列出段落 Char"/>
    <w:link w:val="47"/>
    <w:qFormat/>
    <w:uiPriority w:val="34"/>
  </w:style>
  <w:style w:type="character" w:customStyle="1" w:styleId="49">
    <w:name w:val="批注文字 Char"/>
    <w:basedOn w:val="41"/>
    <w:link w:val="16"/>
    <w:qFormat/>
    <w:uiPriority w:val="0"/>
  </w:style>
  <w:style w:type="character" w:customStyle="1" w:styleId="50">
    <w:name w:val="批注主题 Char"/>
    <w:basedOn w:val="49"/>
    <w:link w:val="38"/>
    <w:qFormat/>
    <w:uiPriority w:val="0"/>
    <w:rPr>
      <w:b/>
      <w:bCs/>
    </w:rPr>
  </w:style>
  <w:style w:type="character" w:customStyle="1" w:styleId="51">
    <w:name w:val="批注框文本 Char"/>
    <w:basedOn w:val="41"/>
    <w:link w:val="26"/>
    <w:qFormat/>
    <w:uiPriority w:val="0"/>
    <w:rPr>
      <w:sz w:val="18"/>
      <w:szCs w:val="18"/>
    </w:rPr>
  </w:style>
  <w:style w:type="character" w:customStyle="1" w:styleId="52">
    <w:name w:val="标题 1 Char"/>
    <w:basedOn w:val="41"/>
    <w:link w:val="4"/>
    <w:qFormat/>
    <w:uiPriority w:val="0"/>
    <w:rPr>
      <w:b/>
      <w:bCs/>
      <w:kern w:val="44"/>
      <w:sz w:val="44"/>
      <w:szCs w:val="44"/>
    </w:rPr>
  </w:style>
  <w:style w:type="character" w:customStyle="1" w:styleId="53">
    <w:name w:val="纯文本 Char"/>
    <w:basedOn w:val="41"/>
    <w:link w:val="22"/>
    <w:qFormat/>
    <w:uiPriority w:val="0"/>
    <w:rPr>
      <w:rFonts w:ascii="宋体" w:hAnsi="Courier New" w:eastAsia="宋体" w:cs="Times New Roman"/>
      <w:szCs w:val="20"/>
      <w:lang w:eastAsia="en-US"/>
    </w:rPr>
  </w:style>
  <w:style w:type="paragraph" w:styleId="5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6">
    <w:name w:val="页眉 Char"/>
    <w:basedOn w:val="41"/>
    <w:link w:val="28"/>
    <w:qFormat/>
    <w:uiPriority w:val="99"/>
    <w:rPr>
      <w:kern w:val="2"/>
      <w:sz w:val="18"/>
      <w:szCs w:val="18"/>
    </w:rPr>
  </w:style>
  <w:style w:type="character" w:customStyle="1" w:styleId="57">
    <w:name w:val="页脚 Char"/>
    <w:basedOn w:val="41"/>
    <w:link w:val="27"/>
    <w:qFormat/>
    <w:uiPriority w:val="99"/>
    <w:rPr>
      <w:kern w:val="2"/>
      <w:sz w:val="18"/>
      <w:szCs w:val="18"/>
    </w:rPr>
  </w:style>
  <w:style w:type="paragraph" w:customStyle="1" w:styleId="58">
    <w:name w:val="msolistparagraph"/>
    <w:basedOn w:val="1"/>
    <w:qFormat/>
    <w:uiPriority w:val="0"/>
    <w:pPr>
      <w:widowControl/>
      <w:ind w:firstLine="420" w:firstLineChars="200"/>
    </w:pPr>
    <w:rPr>
      <w:rFonts w:ascii="Calibri" w:hAnsi="Calibri" w:eastAsia="宋体" w:cs="Times New Roman"/>
    </w:rPr>
  </w:style>
  <w:style w:type="paragraph" w:customStyle="1" w:styleId="5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0">
    <w:name w:val="xl64"/>
    <w:basedOn w:val="1"/>
    <w:uiPriority w:val="0"/>
    <w:pPr>
      <w:widowControl/>
      <w:shd w:val="clear" w:color="000000" w:fill="FFFFFF"/>
      <w:spacing w:before="100" w:beforeAutospacing="1" w:after="100" w:afterAutospacing="1"/>
      <w:jc w:val="left"/>
      <w:textAlignment w:val="center"/>
    </w:pPr>
    <w:rPr>
      <w:rFonts w:ascii="宋体" w:hAnsi="宋体" w:eastAsia="宋体" w:cs="宋体"/>
      <w:b/>
      <w:bCs/>
      <w:color w:val="00B0F0"/>
      <w:kern w:val="0"/>
      <w:sz w:val="24"/>
      <w:szCs w:val="24"/>
    </w:rPr>
  </w:style>
  <w:style w:type="paragraph" w:customStyle="1" w:styleId="61">
    <w:name w:val="xl65"/>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62">
    <w:name w:val="xl66"/>
    <w:basedOn w:val="1"/>
    <w:qFormat/>
    <w:uiPriority w:val="0"/>
    <w:pPr>
      <w:widowControl/>
      <w:shd w:val="clear" w:color="000000" w:fill="FFFFFF"/>
      <w:spacing w:before="100" w:beforeAutospacing="1" w:after="100" w:afterAutospacing="1"/>
      <w:jc w:val="left"/>
      <w:textAlignment w:val="center"/>
    </w:pPr>
    <w:rPr>
      <w:rFonts w:ascii="等线 Light" w:hAnsi="等线 Light" w:eastAsia="等线 Light" w:cs="宋体"/>
      <w:b/>
      <w:bCs/>
      <w:color w:val="00B0F0"/>
      <w:kern w:val="0"/>
      <w:sz w:val="24"/>
      <w:szCs w:val="24"/>
    </w:rPr>
  </w:style>
  <w:style w:type="paragraph" w:customStyle="1" w:styleId="63">
    <w:name w:val="xl67"/>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64">
    <w:name w:val="xl68"/>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65">
    <w:name w:val="xl69"/>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66">
    <w:name w:val="xl70"/>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67">
    <w:name w:val="xl71"/>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6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0">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1">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2">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7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5">
    <w:name w:val="xl79"/>
    <w:basedOn w:val="1"/>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7">
    <w:name w:val="xl81"/>
    <w:basedOn w:val="1"/>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8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8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9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Char Char4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95">
    <w:name w:val="正文文本缩进 3 Char"/>
    <w:basedOn w:val="41"/>
    <w:semiHidden/>
    <w:qFormat/>
    <w:uiPriority w:val="99"/>
    <w:rPr>
      <w:kern w:val="2"/>
      <w:sz w:val="16"/>
      <w:szCs w:val="16"/>
    </w:rPr>
  </w:style>
  <w:style w:type="character" w:customStyle="1" w:styleId="96">
    <w:name w:val="正文文本缩进 3 Char1"/>
    <w:link w:val="32"/>
    <w:qFormat/>
    <w:uiPriority w:val="0"/>
    <w:rPr>
      <w:rFonts w:ascii="Times New Roman" w:hAnsi="Times New Roman" w:eastAsia="宋体" w:cs="Times New Roman"/>
      <w:kern w:val="2"/>
      <w:sz w:val="24"/>
      <w:szCs w:val="24"/>
    </w:rPr>
  </w:style>
  <w:style w:type="paragraph" w:customStyle="1" w:styleId="97">
    <w:name w:val="标书二级编号"/>
    <w:basedOn w:val="1"/>
    <w:link w:val="106"/>
    <w:qFormat/>
    <w:uiPriority w:val="0"/>
    <w:pPr>
      <w:numPr>
        <w:ilvl w:val="1"/>
        <w:numId w:val="1"/>
      </w:numPr>
      <w:spacing w:beforeLines="50" w:afterLines="50" w:line="480" w:lineRule="exact"/>
      <w:outlineLvl w:val="3"/>
    </w:pPr>
    <w:rPr>
      <w:rFonts w:ascii="Times New Roman" w:hAnsi="Helvetica" w:eastAsia="方正细等线_GBK" w:cs="Times New Roman"/>
      <w:b/>
      <w:sz w:val="24"/>
      <w:szCs w:val="24"/>
    </w:rPr>
  </w:style>
  <w:style w:type="paragraph" w:customStyle="1" w:styleId="98">
    <w:name w:val="标书一级编号"/>
    <w:basedOn w:val="1"/>
    <w:link w:val="99"/>
    <w:qFormat/>
    <w:uiPriority w:val="0"/>
    <w:pPr>
      <w:numPr>
        <w:ilvl w:val="0"/>
        <w:numId w:val="1"/>
      </w:numPr>
      <w:spacing w:beforeLines="50" w:afterLines="50" w:line="480" w:lineRule="exact"/>
      <w:outlineLvl w:val="2"/>
    </w:pPr>
    <w:rPr>
      <w:rFonts w:ascii="Times New Roman" w:hAnsi="Times New Roman" w:eastAsia="方正细等线_GBK" w:cs="Times New Roman"/>
      <w:b/>
      <w:sz w:val="24"/>
      <w:szCs w:val="24"/>
    </w:rPr>
  </w:style>
  <w:style w:type="character" w:customStyle="1" w:styleId="99">
    <w:name w:val="标书一级编号 Char"/>
    <w:link w:val="98"/>
    <w:qFormat/>
    <w:uiPriority w:val="0"/>
    <w:rPr>
      <w:rFonts w:ascii="Times New Roman" w:hAnsi="Times New Roman" w:eastAsia="方正细等线_GBK" w:cs="Times New Roman"/>
      <w:b/>
      <w:kern w:val="2"/>
      <w:sz w:val="24"/>
      <w:szCs w:val="24"/>
    </w:rPr>
  </w:style>
  <w:style w:type="paragraph" w:customStyle="1" w:styleId="100">
    <w:name w:val="标书三级编号"/>
    <w:basedOn w:val="1"/>
    <w:qFormat/>
    <w:uiPriority w:val="0"/>
    <w:pPr>
      <w:numPr>
        <w:ilvl w:val="2"/>
        <w:numId w:val="1"/>
      </w:numPr>
      <w:spacing w:beforeLines="50" w:afterLines="50" w:line="480" w:lineRule="exact"/>
      <w:outlineLvl w:val="4"/>
    </w:pPr>
    <w:rPr>
      <w:rFonts w:ascii="Times New Roman" w:hAnsi="Helvetica" w:eastAsia="方正细等线_GBK" w:cs="Times New Roman"/>
      <w:b/>
      <w:sz w:val="24"/>
      <w:szCs w:val="24"/>
    </w:rPr>
  </w:style>
  <w:style w:type="paragraph" w:customStyle="1" w:styleId="101">
    <w:name w:val="标书四级编号"/>
    <w:basedOn w:val="1"/>
    <w:qFormat/>
    <w:uiPriority w:val="0"/>
    <w:pPr>
      <w:numPr>
        <w:ilvl w:val="3"/>
        <w:numId w:val="1"/>
      </w:numPr>
      <w:spacing w:beforeLines="50" w:afterLines="50" w:line="480" w:lineRule="exact"/>
      <w:outlineLvl w:val="5"/>
    </w:pPr>
    <w:rPr>
      <w:rFonts w:ascii="Times New Roman" w:hAnsi="Times New Roman" w:eastAsia="方正细等线_GBK" w:cs="Times New Roman"/>
      <w:b/>
      <w:sz w:val="24"/>
      <w:szCs w:val="24"/>
    </w:rPr>
  </w:style>
  <w:style w:type="paragraph" w:customStyle="1" w:styleId="102">
    <w:name w:val="标书正文（首行缩进）"/>
    <w:basedOn w:val="1"/>
    <w:qFormat/>
    <w:uiPriority w:val="0"/>
    <w:pPr>
      <w:spacing w:line="480" w:lineRule="exact"/>
      <w:ind w:firstLine="200" w:firstLineChars="200"/>
    </w:pPr>
    <w:rPr>
      <w:rFonts w:ascii="Times New Roman" w:hAnsi="Helvetica" w:eastAsia="方正细等线_GBK" w:cs="Times New Roman"/>
      <w:sz w:val="24"/>
      <w:szCs w:val="24"/>
    </w:rPr>
  </w:style>
  <w:style w:type="character" w:customStyle="1" w:styleId="103">
    <w:name w:val="text_g9iim"/>
    <w:basedOn w:val="41"/>
    <w:qFormat/>
    <w:uiPriority w:val="0"/>
  </w:style>
  <w:style w:type="paragraph" w:customStyle="1" w:styleId="104">
    <w:name w:val="标书一级项目编号"/>
    <w:basedOn w:val="1"/>
    <w:qFormat/>
    <w:uiPriority w:val="0"/>
    <w:pPr>
      <w:numPr>
        <w:ilvl w:val="0"/>
        <w:numId w:val="2"/>
      </w:numPr>
      <w:spacing w:line="480" w:lineRule="exact"/>
    </w:pPr>
    <w:rPr>
      <w:rFonts w:ascii="Times New Roman" w:hAnsi="Helvetica" w:eastAsia="方正细等线_GBK" w:cs="Times New Roman"/>
      <w:sz w:val="24"/>
      <w:szCs w:val="24"/>
    </w:rPr>
  </w:style>
  <w:style w:type="paragraph" w:customStyle="1" w:styleId="105">
    <w:name w:val="标书二级项目编号"/>
    <w:basedOn w:val="1"/>
    <w:qFormat/>
    <w:uiPriority w:val="0"/>
    <w:pPr>
      <w:numPr>
        <w:ilvl w:val="1"/>
        <w:numId w:val="2"/>
      </w:numPr>
      <w:spacing w:line="480" w:lineRule="exact"/>
    </w:pPr>
    <w:rPr>
      <w:rFonts w:ascii="Times New Roman" w:hAnsi="Times New Roman" w:eastAsia="方正细等线_GBK" w:cs="Times New Roman"/>
      <w:sz w:val="24"/>
      <w:szCs w:val="24"/>
    </w:rPr>
  </w:style>
  <w:style w:type="character" w:customStyle="1" w:styleId="106">
    <w:name w:val="标书二级编号 Char"/>
    <w:link w:val="97"/>
    <w:qFormat/>
    <w:uiPriority w:val="0"/>
    <w:rPr>
      <w:rFonts w:ascii="Times New Roman" w:hAnsi="Helvetica" w:eastAsia="方正细等线_GBK" w:cs="Times New Roman"/>
      <w:b/>
      <w:kern w:val="2"/>
      <w:sz w:val="24"/>
      <w:szCs w:val="24"/>
    </w:rPr>
  </w:style>
  <w:style w:type="character" w:customStyle="1" w:styleId="107">
    <w:name w:val="标题 2 Char"/>
    <w:basedOn w:val="41"/>
    <w:link w:val="5"/>
    <w:qFormat/>
    <w:uiPriority w:val="0"/>
    <w:rPr>
      <w:rFonts w:asciiTheme="majorHAnsi" w:hAnsiTheme="majorHAnsi" w:eastAsiaTheme="majorEastAsia" w:cstheme="majorBidi"/>
      <w:color w:val="2E75B6" w:themeColor="accent1" w:themeShade="BF"/>
      <w:kern w:val="2"/>
      <w:sz w:val="40"/>
      <w:szCs w:val="40"/>
    </w:rPr>
  </w:style>
  <w:style w:type="character" w:customStyle="1" w:styleId="108">
    <w:name w:val="标题 3 Char"/>
    <w:basedOn w:val="41"/>
    <w:link w:val="6"/>
    <w:qFormat/>
    <w:uiPriority w:val="0"/>
    <w:rPr>
      <w:rFonts w:asciiTheme="majorHAnsi" w:hAnsiTheme="majorHAnsi" w:eastAsiaTheme="majorEastAsia" w:cstheme="majorBidi"/>
      <w:color w:val="2E75B6" w:themeColor="accent1" w:themeShade="BF"/>
      <w:kern w:val="2"/>
      <w:sz w:val="32"/>
      <w:szCs w:val="32"/>
    </w:rPr>
  </w:style>
  <w:style w:type="character" w:customStyle="1" w:styleId="109">
    <w:name w:val="标题 4 Char"/>
    <w:basedOn w:val="41"/>
    <w:link w:val="7"/>
    <w:semiHidden/>
    <w:qFormat/>
    <w:uiPriority w:val="9"/>
    <w:rPr>
      <w:rFonts w:ascii="Calibri" w:hAnsi="Calibri" w:eastAsia="宋体" w:cstheme="majorBidi"/>
      <w:color w:val="2E75B6" w:themeColor="accent1" w:themeShade="BF"/>
      <w:kern w:val="2"/>
      <w:sz w:val="28"/>
      <w:szCs w:val="28"/>
    </w:rPr>
  </w:style>
  <w:style w:type="character" w:customStyle="1" w:styleId="110">
    <w:name w:val="标题 5 Char"/>
    <w:basedOn w:val="41"/>
    <w:link w:val="8"/>
    <w:semiHidden/>
    <w:qFormat/>
    <w:uiPriority w:val="9"/>
    <w:rPr>
      <w:rFonts w:ascii="Calibri" w:hAnsi="Calibri" w:eastAsia="宋体" w:cstheme="majorBidi"/>
      <w:color w:val="2E75B6" w:themeColor="accent1" w:themeShade="BF"/>
      <w:kern w:val="2"/>
      <w:sz w:val="24"/>
      <w:szCs w:val="24"/>
    </w:rPr>
  </w:style>
  <w:style w:type="character" w:customStyle="1" w:styleId="111">
    <w:name w:val="标题 6 Char"/>
    <w:basedOn w:val="41"/>
    <w:link w:val="9"/>
    <w:semiHidden/>
    <w:uiPriority w:val="9"/>
    <w:rPr>
      <w:rFonts w:ascii="Calibri" w:hAnsi="Calibri" w:eastAsia="宋体" w:cstheme="majorBidi"/>
      <w:b/>
      <w:bCs/>
      <w:color w:val="2E75B6" w:themeColor="accent1" w:themeShade="BF"/>
      <w:kern w:val="2"/>
      <w:sz w:val="21"/>
      <w:szCs w:val="24"/>
    </w:rPr>
  </w:style>
  <w:style w:type="character" w:customStyle="1" w:styleId="112">
    <w:name w:val="标题 7 Char"/>
    <w:basedOn w:val="41"/>
    <w:link w:val="10"/>
    <w:semiHidden/>
    <w:qFormat/>
    <w:uiPriority w:val="9"/>
    <w:rPr>
      <w:rFonts w:ascii="Calibri" w:hAnsi="Calibri" w:eastAsia="宋体" w:cstheme="majorBidi"/>
      <w:b/>
      <w:bCs/>
      <w:color w:val="595959" w:themeColor="text1" w:themeTint="A6"/>
      <w:kern w:val="2"/>
      <w:sz w:val="21"/>
      <w:szCs w:val="24"/>
      <w14:textFill>
        <w14:solidFill>
          <w14:schemeClr w14:val="tx1">
            <w14:lumMod w14:val="65000"/>
            <w14:lumOff w14:val="35000"/>
          </w14:schemeClr>
        </w14:solidFill>
      </w14:textFill>
    </w:rPr>
  </w:style>
  <w:style w:type="character" w:customStyle="1" w:styleId="113">
    <w:name w:val="标题 8 Char"/>
    <w:basedOn w:val="41"/>
    <w:link w:val="11"/>
    <w:semiHidden/>
    <w:qFormat/>
    <w:uiPriority w:val="9"/>
    <w:rPr>
      <w:rFonts w:ascii="Calibri" w:hAnsi="Calibri" w:eastAsia="宋体"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114">
    <w:name w:val="标题 9 Char"/>
    <w:basedOn w:val="41"/>
    <w:link w:val="12"/>
    <w:semiHidden/>
    <w:qFormat/>
    <w:uiPriority w:val="9"/>
    <w:rPr>
      <w:rFonts w:ascii="Calibri" w:hAnsi="Calibri" w:eastAsiaTheme="maj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115">
    <w:name w:val="标题 Char"/>
    <w:basedOn w:val="41"/>
    <w:link w:val="37"/>
    <w:qFormat/>
    <w:uiPriority w:val="10"/>
    <w:rPr>
      <w:rFonts w:asciiTheme="majorHAnsi" w:hAnsiTheme="majorHAnsi" w:eastAsiaTheme="majorEastAsia" w:cstheme="majorBidi"/>
      <w:spacing w:val="-10"/>
      <w:kern w:val="28"/>
      <w:sz w:val="56"/>
      <w:szCs w:val="56"/>
    </w:rPr>
  </w:style>
  <w:style w:type="character" w:customStyle="1" w:styleId="116">
    <w:name w:val="副标题 Char"/>
    <w:basedOn w:val="41"/>
    <w:link w:val="31"/>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117">
    <w:name w:val="Quote"/>
    <w:basedOn w:val="1"/>
    <w:next w:val="1"/>
    <w:link w:val="118"/>
    <w:qFormat/>
    <w:uiPriority w:val="29"/>
    <w:pPr>
      <w:spacing w:before="160" w:after="160"/>
      <w:jc w:val="center"/>
    </w:pPr>
    <w:rPr>
      <w:rFonts w:ascii="Calibri" w:hAnsi="Calibri" w:eastAsia="宋体" w:cs="Times New Roman"/>
      <w:i/>
      <w:iCs/>
      <w:color w:val="404040" w:themeColor="text1" w:themeTint="BF"/>
      <w:szCs w:val="24"/>
      <w14:textFill>
        <w14:solidFill>
          <w14:schemeClr w14:val="tx1">
            <w14:lumMod w14:val="75000"/>
            <w14:lumOff w14:val="25000"/>
          </w14:schemeClr>
        </w14:solidFill>
      </w14:textFill>
    </w:rPr>
  </w:style>
  <w:style w:type="character" w:customStyle="1" w:styleId="118">
    <w:name w:val="引用 Char"/>
    <w:basedOn w:val="41"/>
    <w:link w:val="117"/>
    <w:qFormat/>
    <w:uiPriority w:val="29"/>
    <w:rPr>
      <w:rFonts w:ascii="Calibri" w:hAnsi="Calibri" w:eastAsia="宋体" w:cs="Times New Roman"/>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19">
    <w:name w:val="明显强调1"/>
    <w:basedOn w:val="41"/>
    <w:qFormat/>
    <w:uiPriority w:val="21"/>
    <w:rPr>
      <w:i/>
      <w:iCs/>
      <w:color w:val="2E75B6" w:themeColor="accent1" w:themeShade="BF"/>
    </w:rPr>
  </w:style>
  <w:style w:type="paragraph" w:styleId="120">
    <w:name w:val="Intense Quote"/>
    <w:basedOn w:val="1"/>
    <w:next w:val="1"/>
    <w:link w:val="121"/>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rFonts w:ascii="Calibri" w:hAnsi="Calibri" w:eastAsia="宋体" w:cs="Times New Roman"/>
      <w:i/>
      <w:iCs/>
      <w:color w:val="2E75B6" w:themeColor="accent1" w:themeShade="BF"/>
      <w:szCs w:val="24"/>
    </w:rPr>
  </w:style>
  <w:style w:type="character" w:customStyle="1" w:styleId="121">
    <w:name w:val="明显引用 Char"/>
    <w:basedOn w:val="41"/>
    <w:link w:val="120"/>
    <w:qFormat/>
    <w:uiPriority w:val="30"/>
    <w:rPr>
      <w:rFonts w:ascii="Calibri" w:hAnsi="Calibri" w:eastAsia="宋体" w:cs="Times New Roman"/>
      <w:i/>
      <w:iCs/>
      <w:color w:val="2E75B6" w:themeColor="accent1" w:themeShade="BF"/>
      <w:kern w:val="2"/>
      <w:sz w:val="21"/>
      <w:szCs w:val="24"/>
    </w:rPr>
  </w:style>
  <w:style w:type="character" w:customStyle="1" w:styleId="122">
    <w:name w:val="明显参考1"/>
    <w:basedOn w:val="41"/>
    <w:qFormat/>
    <w:uiPriority w:val="32"/>
    <w:rPr>
      <w:b/>
      <w:bCs/>
      <w:smallCaps/>
      <w:color w:val="2E75B6" w:themeColor="accent1" w:themeShade="BF"/>
      <w:spacing w:val="5"/>
    </w:rPr>
  </w:style>
  <w:style w:type="character" w:customStyle="1" w:styleId="123">
    <w:name w:val="文档结构图 Char"/>
    <w:basedOn w:val="41"/>
    <w:link w:val="15"/>
    <w:semiHidden/>
    <w:uiPriority w:val="0"/>
    <w:rPr>
      <w:rFonts w:ascii="宋体" w:hAnsi="Calibri" w:eastAsia="宋体" w:cs="Times New Roman"/>
      <w:kern w:val="2"/>
      <w:sz w:val="18"/>
      <w:szCs w:val="18"/>
    </w:rPr>
  </w:style>
  <w:style w:type="character" w:customStyle="1" w:styleId="124">
    <w:name w:val="正文文本 Char"/>
    <w:basedOn w:val="41"/>
    <w:link w:val="17"/>
    <w:uiPriority w:val="0"/>
    <w:rPr>
      <w:rFonts w:ascii="Calibri" w:hAnsi="Calibri" w:eastAsia="宋体" w:cs="Times New Roman"/>
      <w:kern w:val="2"/>
      <w:sz w:val="21"/>
      <w:szCs w:val="24"/>
    </w:rPr>
  </w:style>
  <w:style w:type="character" w:customStyle="1" w:styleId="125">
    <w:name w:val="正文文本缩进 Char"/>
    <w:basedOn w:val="41"/>
    <w:link w:val="19"/>
    <w:uiPriority w:val="0"/>
    <w:rPr>
      <w:rFonts w:ascii="宋体" w:hAnsi="宋体" w:eastAsia="宋体" w:cs="Times New Roman"/>
      <w:kern w:val="2"/>
      <w:sz w:val="24"/>
      <w:szCs w:val="24"/>
    </w:rPr>
  </w:style>
  <w:style w:type="character" w:customStyle="1" w:styleId="126">
    <w:name w:val="日期 Char"/>
    <w:basedOn w:val="41"/>
    <w:link w:val="24"/>
    <w:qFormat/>
    <w:uiPriority w:val="0"/>
    <w:rPr>
      <w:rFonts w:ascii="Calibri" w:hAnsi="Calibri" w:eastAsia="宋体" w:cs="Times New Roman"/>
      <w:kern w:val="2"/>
      <w:sz w:val="24"/>
    </w:rPr>
  </w:style>
  <w:style w:type="character" w:customStyle="1" w:styleId="127">
    <w:name w:val="正文文本缩进 2 Char"/>
    <w:basedOn w:val="41"/>
    <w:link w:val="25"/>
    <w:qFormat/>
    <w:uiPriority w:val="0"/>
    <w:rPr>
      <w:rFonts w:ascii="Calibri" w:hAnsi="Calibri" w:eastAsia="宋体" w:cs="Times New Roman"/>
      <w:color w:val="FF6600"/>
      <w:kern w:val="2"/>
      <w:sz w:val="24"/>
      <w:szCs w:val="24"/>
    </w:rPr>
  </w:style>
  <w:style w:type="character" w:customStyle="1" w:styleId="128">
    <w:name w:val="页脚 Char1"/>
    <w:basedOn w:val="41"/>
    <w:uiPriority w:val="99"/>
    <w:rPr>
      <w:rFonts w:ascii="Calibri" w:hAnsi="Calibri" w:eastAsia="宋体" w:cs="Times New Roman"/>
      <w:sz w:val="18"/>
      <w:szCs w:val="18"/>
      <w14:ligatures w14:val="none"/>
    </w:rPr>
  </w:style>
  <w:style w:type="character" w:customStyle="1" w:styleId="129">
    <w:name w:val="正文文本 2 Char"/>
    <w:basedOn w:val="41"/>
    <w:link w:val="35"/>
    <w:qFormat/>
    <w:uiPriority w:val="0"/>
    <w:rPr>
      <w:rFonts w:ascii="楷体_GB2312" w:hAnsi="Calibri" w:eastAsia="楷体_GB2312" w:cs="Times New Roman"/>
      <w:b/>
      <w:kern w:val="2"/>
      <w:sz w:val="72"/>
    </w:rPr>
  </w:style>
  <w:style w:type="character" w:customStyle="1" w:styleId="130">
    <w:name w:val="Char Char3"/>
    <w:qFormat/>
    <w:uiPriority w:val="0"/>
    <w:rPr>
      <w:b/>
      <w:bCs/>
      <w:kern w:val="2"/>
      <w:sz w:val="21"/>
      <w:szCs w:val="24"/>
    </w:rPr>
  </w:style>
  <w:style w:type="character" w:customStyle="1" w:styleId="131">
    <w:name w:val="Char Char"/>
    <w:qFormat/>
    <w:uiPriority w:val="0"/>
    <w:rPr>
      <w:kern w:val="2"/>
      <w:sz w:val="21"/>
      <w:szCs w:val="24"/>
    </w:rPr>
  </w:style>
  <w:style w:type="character" w:customStyle="1" w:styleId="132">
    <w:name w:val="Char Char6"/>
    <w:uiPriority w:val="0"/>
    <w:rPr>
      <w:rFonts w:eastAsia="宋体"/>
      <w:b/>
      <w:bCs/>
      <w:kern w:val="2"/>
      <w:sz w:val="32"/>
      <w:szCs w:val="32"/>
      <w:lang w:val="en-US" w:eastAsia="zh-CN" w:bidi="ar-SA"/>
    </w:rPr>
  </w:style>
  <w:style w:type="character" w:customStyle="1" w:styleId="133">
    <w:name w:val="Char Char5"/>
    <w:qFormat/>
    <w:uiPriority w:val="0"/>
    <w:rPr>
      <w:rFonts w:ascii="宋体"/>
      <w:kern w:val="2"/>
      <w:sz w:val="18"/>
      <w:szCs w:val="18"/>
    </w:rPr>
  </w:style>
  <w:style w:type="character" w:customStyle="1" w:styleId="134">
    <w:name w:val="Char Char2"/>
    <w:uiPriority w:val="0"/>
    <w:rPr>
      <w:kern w:val="2"/>
      <w:sz w:val="18"/>
      <w:szCs w:val="18"/>
    </w:rPr>
  </w:style>
  <w:style w:type="character" w:customStyle="1" w:styleId="135">
    <w:name w:val="Char Char1"/>
    <w:qFormat/>
    <w:uiPriority w:val="0"/>
    <w:rPr>
      <w:kern w:val="2"/>
      <w:sz w:val="24"/>
    </w:rPr>
  </w:style>
  <w:style w:type="character" w:customStyle="1" w:styleId="136">
    <w:name w:val="Char Char4"/>
    <w:qFormat/>
    <w:uiPriority w:val="0"/>
    <w:rPr>
      <w:kern w:val="2"/>
      <w:sz w:val="21"/>
      <w:szCs w:val="24"/>
    </w:rPr>
  </w:style>
  <w:style w:type="character" w:customStyle="1" w:styleId="137">
    <w:name w:val="Char Char7"/>
    <w:qFormat/>
    <w:uiPriority w:val="0"/>
    <w:rPr>
      <w:rFonts w:eastAsia="宋体"/>
      <w:b/>
      <w:bCs/>
      <w:kern w:val="44"/>
      <w:sz w:val="44"/>
      <w:szCs w:val="44"/>
      <w:lang w:val="en-US" w:eastAsia="zh-CN" w:bidi="ar-SA"/>
    </w:rPr>
  </w:style>
  <w:style w:type="character" w:customStyle="1" w:styleId="138">
    <w:name w:val="font61"/>
    <w:qFormat/>
    <w:uiPriority w:val="0"/>
    <w:rPr>
      <w:rFonts w:hint="eastAsia" w:ascii="等线" w:hAnsi="等线" w:eastAsia="等线" w:cs="等线"/>
      <w:color w:val="000000"/>
      <w:sz w:val="21"/>
      <w:szCs w:val="21"/>
      <w:u w:val="single"/>
    </w:rPr>
  </w:style>
  <w:style w:type="character" w:customStyle="1" w:styleId="139">
    <w:name w:val="font51"/>
    <w:qFormat/>
    <w:uiPriority w:val="0"/>
    <w:rPr>
      <w:rFonts w:hint="eastAsia" w:ascii="等线" w:hAnsi="等线" w:eastAsia="等线" w:cs="等线"/>
      <w:color w:val="000000"/>
      <w:sz w:val="21"/>
      <w:szCs w:val="21"/>
      <w:u w:val="none"/>
    </w:rPr>
  </w:style>
  <w:style w:type="paragraph" w:customStyle="1" w:styleId="140">
    <w:name w:val="itb0"/>
    <w:basedOn w:val="141"/>
    <w:qFormat/>
    <w:uiPriority w:val="0"/>
    <w:pPr>
      <w:spacing w:before="240" w:after="240" w:line="360" w:lineRule="exact"/>
      <w:ind w:left="525" w:hanging="525"/>
      <w:jc w:val="left"/>
    </w:pPr>
    <w:rPr>
      <w:spacing w:val="8"/>
      <w:sz w:val="24"/>
    </w:rPr>
  </w:style>
  <w:style w:type="paragraph" w:customStyle="1" w:styleId="141">
    <w:name w:val="itb"/>
    <w:basedOn w:val="6"/>
    <w:qFormat/>
    <w:uiPriority w:val="0"/>
    <w:pPr>
      <w:autoSpaceDE w:val="0"/>
      <w:autoSpaceDN w:val="0"/>
      <w:spacing w:before="120" w:after="120" w:line="240" w:lineRule="atLeast"/>
      <w:jc w:val="center"/>
    </w:pPr>
    <w:rPr>
      <w:rFonts w:ascii="Calibri" w:hAnsi="Calibri" w:eastAsia="华文仿宋" w:cs="Times New Roman"/>
      <w:b/>
      <w:color w:val="auto"/>
      <w:szCs w:val="20"/>
    </w:rPr>
  </w:style>
  <w:style w:type="paragraph" w:customStyle="1" w:styleId="142">
    <w:name w:val="gcc3"/>
    <w:basedOn w:val="1"/>
    <w:uiPriority w:val="0"/>
    <w:pPr>
      <w:autoSpaceDE w:val="0"/>
      <w:autoSpaceDN w:val="0"/>
      <w:spacing w:before="156" w:beforeLines="50" w:after="156" w:afterLines="50" w:line="360" w:lineRule="exact"/>
      <w:ind w:left="947" w:hanging="420"/>
    </w:pPr>
    <w:rPr>
      <w:rFonts w:ascii="Calibri" w:hAnsi="Calibri" w:eastAsia="华文仿宋" w:cs="Times New Roman"/>
      <w:spacing w:val="6"/>
      <w:sz w:val="24"/>
      <w:szCs w:val="20"/>
    </w:rPr>
  </w:style>
  <w:style w:type="paragraph" w:customStyle="1" w:styleId="143">
    <w:name w:val="gcc1"/>
    <w:basedOn w:val="1"/>
    <w:qFormat/>
    <w:uiPriority w:val="0"/>
    <w:pPr>
      <w:autoSpaceDE w:val="0"/>
      <w:autoSpaceDN w:val="0"/>
      <w:spacing w:before="120" w:after="120" w:line="360" w:lineRule="exact"/>
      <w:ind w:left="527" w:hanging="527"/>
    </w:pPr>
    <w:rPr>
      <w:rFonts w:ascii="Calibri" w:hAnsi="Calibri" w:eastAsia="华文仿宋" w:cs="Times New Roman"/>
      <w:b/>
      <w:bCs/>
      <w:sz w:val="24"/>
      <w:szCs w:val="20"/>
    </w:rPr>
  </w:style>
  <w:style w:type="paragraph" w:customStyle="1" w:styleId="144">
    <w:name w:val="Char"/>
    <w:basedOn w:val="1"/>
    <w:qFormat/>
    <w:uiPriority w:val="0"/>
    <w:pPr>
      <w:adjustRightInd w:val="0"/>
      <w:spacing w:line="360" w:lineRule="auto"/>
    </w:pPr>
    <w:rPr>
      <w:rFonts w:ascii="Calibri" w:hAnsi="Calibri" w:eastAsia="宋体" w:cs="Times New Roman"/>
      <w:kern w:val="0"/>
      <w:sz w:val="24"/>
      <w:szCs w:val="20"/>
    </w:rPr>
  </w:style>
  <w:style w:type="paragraph" w:customStyle="1" w:styleId="145">
    <w:name w:val="Char1"/>
    <w:basedOn w:val="1"/>
    <w:qFormat/>
    <w:uiPriority w:val="0"/>
    <w:pPr>
      <w:widowControl/>
      <w:spacing w:after="160" w:line="240" w:lineRule="exact"/>
      <w:jc w:val="left"/>
    </w:pPr>
    <w:rPr>
      <w:rFonts w:ascii="Calibri" w:hAnsi="Calibri" w:eastAsia="楷体_GB2312" w:cs="Times New Roman"/>
      <w:sz w:val="30"/>
      <w:szCs w:val="20"/>
    </w:rPr>
  </w:style>
  <w:style w:type="paragraph" w:customStyle="1" w:styleId="146">
    <w:name w:val="bds"/>
    <w:basedOn w:val="1"/>
    <w:qFormat/>
    <w:uiPriority w:val="0"/>
    <w:pPr>
      <w:keepNext/>
      <w:keepLines/>
      <w:autoSpaceDE w:val="0"/>
      <w:autoSpaceDN w:val="0"/>
      <w:spacing w:before="260" w:after="260" w:line="360" w:lineRule="exact"/>
      <w:jc w:val="center"/>
      <w:outlineLvl w:val="2"/>
    </w:pPr>
    <w:rPr>
      <w:rFonts w:ascii="Calibri" w:hAnsi="Calibri" w:eastAsia="华文仿宋" w:cs="Times New Roman"/>
      <w:b/>
      <w:sz w:val="36"/>
      <w:szCs w:val="20"/>
    </w:rPr>
  </w:style>
  <w:style w:type="paragraph" w:customStyle="1" w:styleId="147">
    <w:name w:val="正文1"/>
    <w:basedOn w:val="1"/>
    <w:qFormat/>
    <w:uiPriority w:val="0"/>
    <w:pPr>
      <w:spacing w:before="120"/>
      <w:ind w:firstLine="539"/>
    </w:pPr>
    <w:rPr>
      <w:rFonts w:ascii="宋体" w:hAnsi="Calibri" w:eastAsia="宋体" w:cs="Times New Roman"/>
      <w:sz w:val="24"/>
      <w:szCs w:val="20"/>
    </w:rPr>
  </w:style>
  <w:style w:type="paragraph" w:customStyle="1" w:styleId="148">
    <w:name w:val="itb3"/>
    <w:basedOn w:val="14"/>
    <w:qFormat/>
    <w:uiPriority w:val="0"/>
    <w:pPr>
      <w:autoSpaceDE w:val="0"/>
      <w:autoSpaceDN w:val="0"/>
      <w:spacing w:before="156" w:beforeLines="50" w:after="156" w:afterLines="50" w:line="360" w:lineRule="exact"/>
      <w:ind w:left="845" w:hanging="318"/>
    </w:pPr>
    <w:rPr>
      <w:rFonts w:eastAsia="华文仿宋"/>
      <w:sz w:val="24"/>
    </w:rPr>
  </w:style>
  <w:style w:type="paragraph" w:customStyle="1" w:styleId="149">
    <w:name w:val="att"/>
    <w:basedOn w:val="1"/>
    <w:qFormat/>
    <w:uiPriority w:val="0"/>
    <w:pPr>
      <w:spacing w:line="360" w:lineRule="auto"/>
    </w:pPr>
    <w:rPr>
      <w:rFonts w:ascii="Calibri" w:hAnsi="Calibri" w:eastAsia="楷体_GB2312" w:cs="Times New Roman"/>
      <w:sz w:val="24"/>
      <w:szCs w:val="20"/>
    </w:rPr>
  </w:style>
  <w:style w:type="paragraph" w:customStyle="1" w:styleId="150">
    <w:name w:val="scc-14.5.1"/>
    <w:basedOn w:val="1"/>
    <w:qFormat/>
    <w:uiPriority w:val="0"/>
    <w:pPr>
      <w:spacing w:line="360" w:lineRule="exact"/>
      <w:ind w:left="1467" w:hanging="840"/>
    </w:pPr>
    <w:rPr>
      <w:rFonts w:ascii="Calibri" w:hAnsi="Calibri" w:eastAsia="楷体_GB2312" w:cs="Times New Roman"/>
      <w:sz w:val="24"/>
      <w:szCs w:val="20"/>
    </w:rPr>
  </w:style>
  <w:style w:type="paragraph" w:customStyle="1" w:styleId="151">
    <w:name w:val="正文（标题三）"/>
    <w:basedOn w:val="1"/>
    <w:qFormat/>
    <w:uiPriority w:val="0"/>
    <w:pPr>
      <w:spacing w:line="360" w:lineRule="auto"/>
      <w:ind w:left="170" w:firstLine="425"/>
    </w:pPr>
    <w:rPr>
      <w:rFonts w:ascii="Calibri" w:hAnsi="Calibri" w:eastAsia="宋体" w:cs="Times New Roman"/>
      <w:sz w:val="24"/>
      <w:szCs w:val="24"/>
    </w:rPr>
  </w:style>
  <w:style w:type="paragraph" w:customStyle="1" w:styleId="152">
    <w:name w:val="TOC 标题1"/>
    <w:basedOn w:val="4"/>
    <w:next w:val="1"/>
    <w:qFormat/>
    <w:uiPriority w:val="0"/>
    <w:pPr>
      <w:keepNext w:val="0"/>
      <w:pageBreakBefore/>
      <w:widowControl/>
      <w:spacing w:before="120" w:after="0" w:line="276" w:lineRule="auto"/>
      <w:jc w:val="left"/>
      <w:outlineLvl w:val="9"/>
    </w:pPr>
    <w:rPr>
      <w:rFonts w:ascii="Cambria" w:hAnsi="Cambria" w:eastAsia="宋体" w:cs="Times New Roman"/>
      <w:color w:val="365F91"/>
      <w:kern w:val="0"/>
      <w:sz w:val="28"/>
      <w:szCs w:val="28"/>
    </w:rPr>
  </w:style>
  <w:style w:type="paragraph" w:customStyle="1" w:styleId="153">
    <w:name w:val="标题 21"/>
    <w:basedOn w:val="5"/>
    <w:qFormat/>
    <w:uiPriority w:val="0"/>
    <w:pPr>
      <w:spacing w:before="260" w:after="260" w:line="416" w:lineRule="auto"/>
    </w:pPr>
    <w:rPr>
      <w:rFonts w:ascii="Times New Roman" w:hAnsi="Times New Roman" w:eastAsia="宋体" w:cs="Times New Roman"/>
      <w:b/>
      <w:bCs/>
      <w:color w:val="auto"/>
      <w:sz w:val="36"/>
      <w:szCs w:val="18"/>
    </w:rPr>
  </w:style>
  <w:style w:type="paragraph" w:customStyle="1" w:styleId="154">
    <w:name w:val="itb1"/>
    <w:basedOn w:val="14"/>
    <w:qFormat/>
    <w:uiPriority w:val="0"/>
    <w:pPr>
      <w:autoSpaceDE w:val="0"/>
      <w:autoSpaceDN w:val="0"/>
      <w:spacing w:before="120" w:after="120" w:line="360" w:lineRule="exact"/>
      <w:ind w:left="525" w:hanging="527"/>
    </w:pPr>
    <w:rPr>
      <w:rFonts w:eastAsia="华文仿宋"/>
      <w:b/>
      <w:bCs/>
      <w:sz w:val="24"/>
    </w:rPr>
  </w:style>
  <w:style w:type="paragraph" w:customStyle="1" w:styleId="155">
    <w:name w:val="at1"/>
    <w:basedOn w:val="1"/>
    <w:qFormat/>
    <w:uiPriority w:val="0"/>
    <w:pPr>
      <w:autoSpaceDE w:val="0"/>
      <w:autoSpaceDN w:val="0"/>
      <w:spacing w:before="120" w:after="120" w:line="240" w:lineRule="atLeast"/>
      <w:ind w:left="420" w:hanging="420"/>
    </w:pPr>
    <w:rPr>
      <w:rFonts w:ascii="Calibri" w:hAnsi="Calibri" w:eastAsia="华文仿宋" w:cs="Times New Roman"/>
      <w:szCs w:val="20"/>
    </w:rPr>
  </w:style>
  <w:style w:type="paragraph" w:customStyle="1" w:styleId="156">
    <w:name w:val="Char2 Char Char Char"/>
    <w:basedOn w:val="1"/>
    <w:uiPriority w:val="0"/>
    <w:pPr>
      <w:adjustRightInd w:val="0"/>
      <w:spacing w:line="360" w:lineRule="auto"/>
    </w:pPr>
    <w:rPr>
      <w:rFonts w:ascii="Calibri" w:hAnsi="Calibri" w:eastAsia="宋体" w:cs="Times New Roman"/>
      <w:kern w:val="0"/>
      <w:sz w:val="24"/>
      <w:szCs w:val="20"/>
    </w:rPr>
  </w:style>
  <w:style w:type="paragraph" w:customStyle="1" w:styleId="157">
    <w:name w:val="itb2"/>
    <w:basedOn w:val="14"/>
    <w:qFormat/>
    <w:uiPriority w:val="0"/>
    <w:pPr>
      <w:autoSpaceDE w:val="0"/>
      <w:autoSpaceDN w:val="0"/>
      <w:spacing w:before="120" w:after="120" w:line="400" w:lineRule="exact"/>
      <w:ind w:left="527" w:hanging="527"/>
    </w:pPr>
    <w:rPr>
      <w:rFonts w:eastAsia="华文仿宋"/>
      <w:sz w:val="24"/>
    </w:rPr>
  </w:style>
  <w:style w:type="paragraph" w:customStyle="1" w:styleId="158">
    <w:name w:val="ifb-1"/>
    <w:basedOn w:val="1"/>
    <w:uiPriority w:val="0"/>
    <w:pPr>
      <w:ind w:left="420" w:hanging="420"/>
    </w:pPr>
    <w:rPr>
      <w:rFonts w:ascii="楷体_GB2312" w:hAnsi="Calibri" w:eastAsia="楷体_GB2312" w:cs="Times New Roman"/>
      <w:szCs w:val="20"/>
    </w:rPr>
  </w:style>
  <w:style w:type="paragraph" w:customStyle="1" w:styleId="159">
    <w:name w:val="xl2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2"/>
      <w:szCs w:val="32"/>
    </w:rPr>
  </w:style>
  <w:style w:type="paragraph" w:customStyle="1" w:styleId="160">
    <w:name w:val="ITB-0"/>
    <w:basedOn w:val="1"/>
    <w:uiPriority w:val="0"/>
    <w:pPr>
      <w:adjustRightInd w:val="0"/>
      <w:jc w:val="center"/>
      <w:textAlignment w:val="baseline"/>
    </w:pPr>
    <w:rPr>
      <w:rFonts w:ascii="Calibri" w:hAnsi="Calibri" w:eastAsia="宋体" w:cs="Times New Roman"/>
      <w:b/>
      <w:sz w:val="32"/>
      <w:szCs w:val="20"/>
    </w:rPr>
  </w:style>
  <w:style w:type="paragraph" w:customStyle="1" w:styleId="161">
    <w:name w:val="gcc2"/>
    <w:basedOn w:val="1"/>
    <w:qFormat/>
    <w:uiPriority w:val="0"/>
    <w:pPr>
      <w:autoSpaceDE w:val="0"/>
      <w:autoSpaceDN w:val="0"/>
      <w:spacing w:before="120" w:after="120" w:line="400" w:lineRule="exact"/>
      <w:ind w:left="525" w:hanging="525"/>
    </w:pPr>
    <w:rPr>
      <w:rFonts w:ascii="Calibri" w:hAnsi="Calibri" w:eastAsia="华文仿宋" w:cs="Times New Roman"/>
      <w:sz w:val="24"/>
      <w:szCs w:val="20"/>
    </w:rPr>
  </w:style>
  <w:style w:type="table" w:customStyle="1" w:styleId="162">
    <w:name w:val="网格型1"/>
    <w:basedOn w:val="39"/>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164E9-B881-407C-A884-147CBCBC35F4}">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16</Pages>
  <Words>11002</Words>
  <Characters>11310</Characters>
  <Lines>83</Lines>
  <Paragraphs>23</Paragraphs>
  <TotalTime>120</TotalTime>
  <ScaleCrop>false</ScaleCrop>
  <LinksUpToDate>false</LinksUpToDate>
  <CharactersWithSpaces>11420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2024-06-25T06:36:00Z</dcterms:created>
  <dc:creator>Windows 用户</dc:creator>
  <cp:lastModifiedBy>不会起名</cp:lastModifiedBy>
  <dcterms:modified xsi:type="dcterms:W3CDTF">2025-03-06T00:24:08Z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FC94332696C54CBE93ABC0D3FFB49F0C_13</vt:lpwstr>
  </property>
  <property fmtid="{D5CDD505-2E9C-101B-9397-08002B2CF9AE}" pid="4" name="KSOTemplateDocerSaveRecord">
    <vt:lpwstr>eyJoZGlkIjoiMzIxZTgyY2JkM2I0Mjg0YjUxYTU5NDc3NWYyMjg5OTYiLCJ1c2VySWQiOiIzMzEyOTUzMDYifQ==</vt:lpwstr>
  </property>
</Properties>
</file>