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5C936">
      <w:pPr>
        <w:pStyle w:val="2"/>
        <w:numPr>
          <w:ilvl w:val="0"/>
          <w:numId w:val="1"/>
        </w:numPr>
        <w:tabs>
          <w:tab w:val="left" w:pos="360"/>
        </w:tabs>
        <w:spacing w:before="100" w:after="100" w:line="440" w:lineRule="exact"/>
        <w:ind w:left="0" w:firstLine="0"/>
        <w:jc w:val="left"/>
        <w:rPr>
          <w:b/>
          <w:sz w:val="24"/>
          <w:szCs w:val="24"/>
        </w:rPr>
      </w:pPr>
      <w:bookmarkStart w:id="5" w:name="_GoBack"/>
      <w:bookmarkEnd w:id="5"/>
      <w:bookmarkStart w:id="0" w:name="PO_PURCHASE_REQUIREMENT_FILE36649_2"/>
      <w:bookmarkStart w:id="1" w:name="PO_PURCHASE_REQUIREMENT_FILE28186_2"/>
      <w:r>
        <w:rPr>
          <w:rFonts w:hint="eastAsia"/>
          <w:b/>
          <w:sz w:val="24"/>
          <w:szCs w:val="24"/>
        </w:rPr>
        <w:t>主要功能及工作原理：</w:t>
      </w:r>
    </w:p>
    <w:p w14:paraId="5A64C96C">
      <w:pPr>
        <w:spacing w:line="360" w:lineRule="auto"/>
        <w:ind w:firstLine="480" w:firstLineChars="200"/>
        <w:rPr>
          <w:rFonts w:hint="eastAsia" w:ascii="宋体" w:hAnsi="宋体"/>
          <w:sz w:val="24"/>
          <w:szCs w:val="24"/>
        </w:rPr>
      </w:pPr>
      <w:r>
        <w:rPr>
          <w:rFonts w:hint="eastAsia" w:ascii="宋体" w:hAnsi="宋体"/>
          <w:sz w:val="24"/>
          <w:szCs w:val="24"/>
        </w:rPr>
        <w:t>流式细胞术（Flow Cytometry）是一种高效的单细胞分析/分选技术，它可以对大量的细胞或非细胞的颗粒进行快速、准确、多参数的高通量检测分析。</w:t>
      </w:r>
    </w:p>
    <w:p w14:paraId="679025E6">
      <w:pPr>
        <w:spacing w:line="360" w:lineRule="auto"/>
        <w:ind w:firstLine="480" w:firstLineChars="200"/>
        <w:rPr>
          <w:rFonts w:hint="eastAsia" w:ascii="宋体" w:hAnsi="宋体"/>
          <w:sz w:val="24"/>
          <w:szCs w:val="24"/>
        </w:rPr>
      </w:pPr>
      <w:r>
        <w:rPr>
          <w:rFonts w:hint="eastAsia" w:ascii="宋体" w:hAnsi="宋体"/>
          <w:sz w:val="24"/>
          <w:szCs w:val="24"/>
        </w:rPr>
        <w:t>流式细胞仪的工作原理：借鉴了荧光显微镜技术，将激发光改为激光，使具有更好的单色性；利用荧光染料与单克隆抗体技术，提高特异性与灵敏度；将固定的标本台改为流动的单细胞悬液，并用计算机进行信号的数据处理分析，能同时从一个细胞上获得多种参数资料。</w:t>
      </w:r>
    </w:p>
    <w:p w14:paraId="200AD773">
      <w:pPr>
        <w:pStyle w:val="2"/>
        <w:numPr>
          <w:ilvl w:val="0"/>
          <w:numId w:val="1"/>
        </w:numPr>
        <w:tabs>
          <w:tab w:val="left" w:pos="360"/>
        </w:tabs>
        <w:spacing w:before="100" w:after="100" w:line="360" w:lineRule="auto"/>
        <w:ind w:left="0" w:firstLine="0"/>
        <w:jc w:val="left"/>
        <w:rPr>
          <w:b/>
          <w:sz w:val="24"/>
          <w:szCs w:val="24"/>
        </w:rPr>
      </w:pPr>
      <w:bookmarkStart w:id="2" w:name="_Toc70385203"/>
      <w:bookmarkStart w:id="3" w:name="_Toc72184668"/>
      <w:r>
        <w:rPr>
          <w:rFonts w:hint="eastAsia"/>
          <w:b/>
          <w:sz w:val="24"/>
          <w:szCs w:val="24"/>
        </w:rPr>
        <w:t>配置清单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5B00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5AF82A05">
            <w:pPr>
              <w:jc w:val="center"/>
              <w:rPr>
                <w:sz w:val="24"/>
                <w:szCs w:val="24"/>
              </w:rPr>
            </w:pPr>
            <w:r>
              <w:rPr>
                <w:rFonts w:hint="eastAsia"/>
                <w:sz w:val="24"/>
                <w:szCs w:val="24"/>
              </w:rPr>
              <w:t>序号</w:t>
            </w:r>
          </w:p>
        </w:tc>
        <w:tc>
          <w:tcPr>
            <w:tcW w:w="3758" w:type="dxa"/>
            <w:shd w:val="clear" w:color="auto" w:fill="D9D9D9"/>
            <w:vAlign w:val="center"/>
          </w:tcPr>
          <w:p w14:paraId="7D70FA73">
            <w:pPr>
              <w:jc w:val="center"/>
              <w:rPr>
                <w:sz w:val="24"/>
                <w:szCs w:val="24"/>
              </w:rPr>
            </w:pPr>
            <w:r>
              <w:rPr>
                <w:rFonts w:hint="eastAsia"/>
                <w:sz w:val="24"/>
                <w:szCs w:val="24"/>
              </w:rPr>
              <w:t>名称</w:t>
            </w:r>
          </w:p>
        </w:tc>
        <w:tc>
          <w:tcPr>
            <w:tcW w:w="1604" w:type="dxa"/>
            <w:shd w:val="clear" w:color="auto" w:fill="D9D9D9"/>
            <w:vAlign w:val="center"/>
          </w:tcPr>
          <w:p w14:paraId="7244F88C">
            <w:pPr>
              <w:jc w:val="center"/>
              <w:rPr>
                <w:sz w:val="24"/>
                <w:szCs w:val="24"/>
              </w:rPr>
            </w:pPr>
            <w:r>
              <w:rPr>
                <w:rFonts w:hint="eastAsia"/>
                <w:sz w:val="24"/>
                <w:szCs w:val="24"/>
              </w:rPr>
              <w:t>数量</w:t>
            </w:r>
          </w:p>
        </w:tc>
      </w:tr>
      <w:tr w14:paraId="40D6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BFC692A">
            <w:pPr>
              <w:jc w:val="center"/>
              <w:rPr>
                <w:rFonts w:hint="eastAsia" w:ascii="宋体" w:hAnsi="宋体" w:cs="宋体"/>
                <w:sz w:val="24"/>
                <w:szCs w:val="24"/>
              </w:rPr>
            </w:pPr>
            <w:r>
              <w:rPr>
                <w:rFonts w:ascii="Calibri" w:hAnsi="Calibri" w:cs="Calibri"/>
                <w:color w:val="000000"/>
                <w:kern w:val="0"/>
                <w:sz w:val="24"/>
                <w:szCs w:val="24"/>
                <w:lang w:bidi="ar"/>
              </w:rPr>
              <w:t>1</w:t>
            </w:r>
          </w:p>
        </w:tc>
        <w:tc>
          <w:tcPr>
            <w:tcW w:w="3758" w:type="dxa"/>
            <w:shd w:val="clear" w:color="auto" w:fill="auto"/>
            <w:vAlign w:val="bottom"/>
          </w:tcPr>
          <w:p w14:paraId="0D5B4947">
            <w:pPr>
              <w:jc w:val="center"/>
              <w:rPr>
                <w:rFonts w:hint="eastAsia" w:ascii="宋体" w:hAnsi="宋体" w:cs="宋体"/>
                <w:sz w:val="24"/>
                <w:szCs w:val="24"/>
              </w:rPr>
            </w:pPr>
            <w:r>
              <w:rPr>
                <w:rStyle w:val="37"/>
                <w:rFonts w:hint="default"/>
                <w:sz w:val="24"/>
                <w:szCs w:val="24"/>
                <w:lang w:bidi="ar"/>
              </w:rPr>
              <w:t>流式细胞仪主机</w:t>
            </w:r>
          </w:p>
        </w:tc>
        <w:tc>
          <w:tcPr>
            <w:tcW w:w="1604" w:type="dxa"/>
            <w:shd w:val="clear" w:color="auto" w:fill="auto"/>
            <w:vAlign w:val="bottom"/>
          </w:tcPr>
          <w:p w14:paraId="0216D42E">
            <w:pPr>
              <w:jc w:val="center"/>
              <w:rPr>
                <w:rFonts w:hint="eastAsia" w:ascii="宋体" w:hAnsi="宋体" w:cs="宋体"/>
                <w:sz w:val="24"/>
                <w:szCs w:val="24"/>
              </w:rPr>
            </w:pPr>
            <w:r>
              <w:rPr>
                <w:rStyle w:val="37"/>
                <w:rFonts w:hint="default"/>
                <w:sz w:val="24"/>
                <w:szCs w:val="24"/>
                <w:lang w:bidi="ar"/>
              </w:rPr>
              <w:t>1台</w:t>
            </w:r>
          </w:p>
        </w:tc>
      </w:tr>
      <w:tr w14:paraId="057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52CC3DD">
            <w:pPr>
              <w:jc w:val="center"/>
              <w:rPr>
                <w:rFonts w:hint="eastAsia" w:ascii="宋体" w:hAnsi="宋体" w:cs="宋体"/>
                <w:sz w:val="24"/>
                <w:szCs w:val="24"/>
              </w:rPr>
            </w:pPr>
            <w:r>
              <w:rPr>
                <w:rFonts w:ascii="Calibri" w:hAnsi="Calibri" w:cs="Calibri"/>
                <w:color w:val="000000"/>
                <w:kern w:val="0"/>
                <w:sz w:val="24"/>
                <w:szCs w:val="24"/>
                <w:lang w:bidi="ar"/>
              </w:rPr>
              <w:t>2</w:t>
            </w:r>
          </w:p>
        </w:tc>
        <w:tc>
          <w:tcPr>
            <w:tcW w:w="3758" w:type="dxa"/>
            <w:shd w:val="clear" w:color="auto" w:fill="auto"/>
            <w:vAlign w:val="bottom"/>
          </w:tcPr>
          <w:p w14:paraId="2162B20E">
            <w:pPr>
              <w:jc w:val="center"/>
              <w:rPr>
                <w:rFonts w:hint="eastAsia" w:ascii="宋体" w:hAnsi="宋体" w:cs="宋体"/>
                <w:sz w:val="24"/>
                <w:szCs w:val="24"/>
              </w:rPr>
            </w:pPr>
            <w:r>
              <w:rPr>
                <w:rStyle w:val="37"/>
                <w:rFonts w:hint="default"/>
                <w:sz w:val="24"/>
                <w:szCs w:val="24"/>
                <w:lang w:bidi="ar"/>
              </w:rPr>
              <w:t>单管上样器</w:t>
            </w:r>
          </w:p>
        </w:tc>
        <w:tc>
          <w:tcPr>
            <w:tcW w:w="1604" w:type="dxa"/>
            <w:shd w:val="clear" w:color="auto" w:fill="auto"/>
            <w:vAlign w:val="bottom"/>
          </w:tcPr>
          <w:p w14:paraId="62558279">
            <w:pPr>
              <w:jc w:val="center"/>
              <w:rPr>
                <w:rFonts w:hint="eastAsia" w:ascii="宋体" w:hAnsi="宋体" w:cs="宋体"/>
                <w:sz w:val="24"/>
                <w:szCs w:val="24"/>
              </w:rPr>
            </w:pPr>
            <w:r>
              <w:rPr>
                <w:rStyle w:val="37"/>
                <w:rFonts w:hint="default"/>
                <w:sz w:val="24"/>
                <w:szCs w:val="24"/>
                <w:lang w:bidi="ar"/>
              </w:rPr>
              <w:t>1台</w:t>
            </w:r>
          </w:p>
        </w:tc>
      </w:tr>
      <w:tr w14:paraId="46F0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6A2B88D">
            <w:pPr>
              <w:jc w:val="center"/>
              <w:rPr>
                <w:rFonts w:hint="eastAsia" w:ascii="宋体" w:hAnsi="宋体" w:cs="宋体"/>
                <w:sz w:val="24"/>
                <w:szCs w:val="24"/>
              </w:rPr>
            </w:pPr>
            <w:r>
              <w:rPr>
                <w:rFonts w:ascii="Calibri" w:hAnsi="Calibri" w:cs="Calibri"/>
                <w:color w:val="000000"/>
                <w:kern w:val="0"/>
                <w:sz w:val="24"/>
                <w:szCs w:val="24"/>
                <w:lang w:bidi="ar"/>
              </w:rPr>
              <w:t>3</w:t>
            </w:r>
          </w:p>
        </w:tc>
        <w:tc>
          <w:tcPr>
            <w:tcW w:w="3758" w:type="dxa"/>
            <w:shd w:val="clear" w:color="auto" w:fill="auto"/>
            <w:vAlign w:val="bottom"/>
          </w:tcPr>
          <w:p w14:paraId="0B8EDCA8">
            <w:pPr>
              <w:jc w:val="center"/>
              <w:rPr>
                <w:rFonts w:hint="eastAsia" w:ascii="宋体" w:hAnsi="宋体" w:cs="宋体"/>
                <w:sz w:val="24"/>
                <w:szCs w:val="24"/>
              </w:rPr>
            </w:pPr>
            <w:r>
              <w:rPr>
                <w:rStyle w:val="37"/>
                <w:rFonts w:hint="default"/>
                <w:sz w:val="24"/>
                <w:szCs w:val="24"/>
                <w:lang w:bidi="ar"/>
              </w:rPr>
              <w:t>电源</w:t>
            </w:r>
          </w:p>
        </w:tc>
        <w:tc>
          <w:tcPr>
            <w:tcW w:w="1604" w:type="dxa"/>
            <w:shd w:val="clear" w:color="auto" w:fill="auto"/>
            <w:vAlign w:val="bottom"/>
          </w:tcPr>
          <w:p w14:paraId="02B3CDEF">
            <w:pPr>
              <w:jc w:val="center"/>
              <w:rPr>
                <w:rFonts w:hint="eastAsia" w:ascii="宋体" w:hAnsi="宋体" w:cs="宋体"/>
                <w:sz w:val="24"/>
                <w:szCs w:val="24"/>
              </w:rPr>
            </w:pPr>
            <w:r>
              <w:rPr>
                <w:rStyle w:val="37"/>
                <w:rFonts w:hint="default"/>
                <w:sz w:val="24"/>
                <w:szCs w:val="24"/>
                <w:lang w:bidi="ar"/>
              </w:rPr>
              <w:t>1个</w:t>
            </w:r>
          </w:p>
        </w:tc>
      </w:tr>
      <w:tr w14:paraId="75DB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133F4E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4</w:t>
            </w:r>
          </w:p>
        </w:tc>
        <w:tc>
          <w:tcPr>
            <w:tcW w:w="3758" w:type="dxa"/>
            <w:shd w:val="clear" w:color="auto" w:fill="auto"/>
            <w:vAlign w:val="bottom"/>
          </w:tcPr>
          <w:p w14:paraId="4145D4FF">
            <w:pPr>
              <w:jc w:val="center"/>
              <w:rPr>
                <w:rStyle w:val="37"/>
                <w:rFonts w:hint="default"/>
                <w:sz w:val="24"/>
                <w:szCs w:val="24"/>
                <w:lang w:bidi="ar"/>
              </w:rPr>
            </w:pPr>
            <w:r>
              <w:rPr>
                <w:rStyle w:val="37"/>
                <w:rFonts w:hint="default"/>
                <w:sz w:val="24"/>
                <w:szCs w:val="24"/>
                <w:lang w:bidi="ar"/>
              </w:rPr>
              <w:t>40试管转盘/96孔板</w:t>
            </w:r>
          </w:p>
          <w:p w14:paraId="2F090724">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自动上样系统</w:t>
            </w:r>
          </w:p>
        </w:tc>
        <w:tc>
          <w:tcPr>
            <w:tcW w:w="1604" w:type="dxa"/>
            <w:shd w:val="clear" w:color="auto" w:fill="auto"/>
            <w:vAlign w:val="bottom"/>
          </w:tcPr>
          <w:p w14:paraId="0863C07B">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2个</w:t>
            </w:r>
          </w:p>
        </w:tc>
      </w:tr>
      <w:tr w14:paraId="1EB1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EED772A">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5</w:t>
            </w:r>
          </w:p>
        </w:tc>
        <w:tc>
          <w:tcPr>
            <w:tcW w:w="3758" w:type="dxa"/>
            <w:shd w:val="clear" w:color="auto" w:fill="auto"/>
            <w:vAlign w:val="bottom"/>
          </w:tcPr>
          <w:p w14:paraId="47014BB7">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保险丝</w:t>
            </w:r>
          </w:p>
        </w:tc>
        <w:tc>
          <w:tcPr>
            <w:tcW w:w="1604" w:type="dxa"/>
            <w:shd w:val="clear" w:color="auto" w:fill="auto"/>
            <w:vAlign w:val="bottom"/>
          </w:tcPr>
          <w:p w14:paraId="17C293EF">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1个</w:t>
            </w:r>
          </w:p>
        </w:tc>
      </w:tr>
      <w:tr w14:paraId="4BF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BCD6CF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6</w:t>
            </w:r>
          </w:p>
        </w:tc>
        <w:tc>
          <w:tcPr>
            <w:tcW w:w="3758" w:type="dxa"/>
            <w:shd w:val="clear" w:color="auto" w:fill="auto"/>
            <w:vAlign w:val="bottom"/>
          </w:tcPr>
          <w:p w14:paraId="02D8FDBF">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1.5mUBSA-A</w:t>
            </w:r>
          </w:p>
        </w:tc>
        <w:tc>
          <w:tcPr>
            <w:tcW w:w="1604" w:type="dxa"/>
            <w:shd w:val="clear" w:color="auto" w:fill="auto"/>
            <w:vAlign w:val="bottom"/>
          </w:tcPr>
          <w:p w14:paraId="598B3199">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1个</w:t>
            </w:r>
          </w:p>
        </w:tc>
      </w:tr>
      <w:tr w14:paraId="063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68D226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7</w:t>
            </w:r>
          </w:p>
        </w:tc>
        <w:tc>
          <w:tcPr>
            <w:tcW w:w="3758" w:type="dxa"/>
            <w:shd w:val="clear" w:color="auto" w:fill="auto"/>
            <w:vAlign w:val="bottom"/>
          </w:tcPr>
          <w:p w14:paraId="4F6C9B6F">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10L鞘液桶</w:t>
            </w:r>
          </w:p>
        </w:tc>
        <w:tc>
          <w:tcPr>
            <w:tcW w:w="1604" w:type="dxa"/>
            <w:shd w:val="clear" w:color="auto" w:fill="auto"/>
            <w:vAlign w:val="bottom"/>
          </w:tcPr>
          <w:p w14:paraId="1493D402">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1个</w:t>
            </w:r>
          </w:p>
        </w:tc>
      </w:tr>
      <w:tr w14:paraId="1310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5A7E1F3">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8</w:t>
            </w:r>
          </w:p>
        </w:tc>
        <w:tc>
          <w:tcPr>
            <w:tcW w:w="3758" w:type="dxa"/>
            <w:shd w:val="clear" w:color="auto" w:fill="auto"/>
            <w:vAlign w:val="bottom"/>
          </w:tcPr>
          <w:p w14:paraId="2493FB59">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10L废液桶</w:t>
            </w:r>
          </w:p>
        </w:tc>
        <w:tc>
          <w:tcPr>
            <w:tcW w:w="1604" w:type="dxa"/>
            <w:shd w:val="clear" w:color="auto" w:fill="auto"/>
            <w:vAlign w:val="bottom"/>
          </w:tcPr>
          <w:p w14:paraId="5C1E5787">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1个</w:t>
            </w:r>
          </w:p>
        </w:tc>
      </w:tr>
      <w:tr w14:paraId="7687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3B69194">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9</w:t>
            </w:r>
          </w:p>
        </w:tc>
        <w:tc>
          <w:tcPr>
            <w:tcW w:w="3758" w:type="dxa"/>
            <w:shd w:val="clear" w:color="auto" w:fill="auto"/>
            <w:vAlign w:val="bottom"/>
          </w:tcPr>
          <w:p w14:paraId="0DFB82C8">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嵌入式传感器</w:t>
            </w:r>
          </w:p>
        </w:tc>
        <w:tc>
          <w:tcPr>
            <w:tcW w:w="1604" w:type="dxa"/>
            <w:shd w:val="clear" w:color="auto" w:fill="auto"/>
            <w:vAlign w:val="bottom"/>
          </w:tcPr>
          <w:p w14:paraId="04D4E5FC">
            <w:pPr>
              <w:jc w:val="center"/>
              <w:rPr>
                <w:rFonts w:hint="eastAsia" w:ascii="宋体" w:hAnsi="宋体" w:cs="宋体"/>
                <w:color w:val="000000" w:themeColor="text1"/>
                <w:sz w:val="24"/>
                <w:szCs w:val="24"/>
                <w14:textFill>
                  <w14:solidFill>
                    <w14:schemeClr w14:val="tx1"/>
                  </w14:solidFill>
                </w14:textFill>
              </w:rPr>
            </w:pPr>
            <w:r>
              <w:rPr>
                <w:rStyle w:val="37"/>
                <w:rFonts w:hint="default"/>
                <w:sz w:val="24"/>
                <w:szCs w:val="24"/>
                <w:lang w:bidi="ar"/>
              </w:rPr>
              <w:t>1个</w:t>
            </w:r>
          </w:p>
        </w:tc>
      </w:tr>
      <w:tr w14:paraId="1A0B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4FB583CA">
            <w:pPr>
              <w:jc w:val="center"/>
              <w:rPr>
                <w:rFonts w:ascii="Calibri" w:hAnsi="Calibri" w:cs="Calibri"/>
                <w:color w:val="000000"/>
                <w:kern w:val="0"/>
                <w:sz w:val="24"/>
                <w:szCs w:val="24"/>
                <w:lang w:bidi="ar"/>
              </w:rPr>
            </w:pPr>
            <w:r>
              <w:rPr>
                <w:rFonts w:ascii="Calibri" w:hAnsi="Calibri" w:cs="Calibri"/>
                <w:color w:val="000000"/>
                <w:kern w:val="0"/>
                <w:sz w:val="24"/>
                <w:szCs w:val="24"/>
                <w:lang w:bidi="ar"/>
              </w:rPr>
              <w:t>10</w:t>
            </w:r>
          </w:p>
        </w:tc>
        <w:tc>
          <w:tcPr>
            <w:tcW w:w="3758" w:type="dxa"/>
            <w:shd w:val="clear" w:color="auto" w:fill="auto"/>
            <w:vAlign w:val="bottom"/>
          </w:tcPr>
          <w:p w14:paraId="018DA9F0">
            <w:pPr>
              <w:jc w:val="center"/>
              <w:rPr>
                <w:rStyle w:val="37"/>
                <w:rFonts w:hint="default"/>
                <w:sz w:val="24"/>
                <w:szCs w:val="24"/>
                <w:lang w:bidi="ar"/>
              </w:rPr>
            </w:pPr>
            <w:r>
              <w:rPr>
                <w:rStyle w:val="37"/>
                <w:rFonts w:hint="default"/>
                <w:sz w:val="24"/>
                <w:szCs w:val="24"/>
                <w:lang w:bidi="ar"/>
              </w:rPr>
              <w:t>合格证、保修卡</w:t>
            </w:r>
          </w:p>
        </w:tc>
        <w:tc>
          <w:tcPr>
            <w:tcW w:w="1604" w:type="dxa"/>
            <w:shd w:val="clear" w:color="auto" w:fill="auto"/>
            <w:vAlign w:val="bottom"/>
          </w:tcPr>
          <w:p w14:paraId="32BD0F97">
            <w:pPr>
              <w:jc w:val="center"/>
              <w:rPr>
                <w:rStyle w:val="37"/>
                <w:rFonts w:hint="default"/>
                <w:sz w:val="24"/>
                <w:szCs w:val="24"/>
                <w:lang w:bidi="ar"/>
              </w:rPr>
            </w:pPr>
            <w:r>
              <w:rPr>
                <w:rStyle w:val="37"/>
                <w:rFonts w:hint="default"/>
                <w:sz w:val="24"/>
                <w:szCs w:val="24"/>
                <w:lang w:bidi="ar"/>
              </w:rPr>
              <w:t>1个</w:t>
            </w:r>
          </w:p>
        </w:tc>
      </w:tr>
      <w:tr w14:paraId="6F4D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465FCF6">
            <w:pPr>
              <w:jc w:val="center"/>
              <w:rPr>
                <w:rFonts w:ascii="Calibri" w:hAnsi="Calibri" w:cs="Calibri"/>
                <w:color w:val="000000"/>
                <w:kern w:val="0"/>
                <w:sz w:val="24"/>
                <w:szCs w:val="24"/>
                <w:lang w:bidi="ar"/>
              </w:rPr>
            </w:pPr>
            <w:r>
              <w:rPr>
                <w:rFonts w:ascii="Calibri" w:hAnsi="Calibri" w:cs="Calibri"/>
                <w:color w:val="000000"/>
                <w:kern w:val="0"/>
                <w:sz w:val="24"/>
                <w:szCs w:val="24"/>
                <w:lang w:bidi="ar"/>
              </w:rPr>
              <w:t>11</w:t>
            </w:r>
          </w:p>
        </w:tc>
        <w:tc>
          <w:tcPr>
            <w:tcW w:w="3758" w:type="dxa"/>
            <w:shd w:val="clear" w:color="auto" w:fill="auto"/>
            <w:vAlign w:val="bottom"/>
          </w:tcPr>
          <w:p w14:paraId="67A645DD">
            <w:pPr>
              <w:jc w:val="center"/>
              <w:rPr>
                <w:rStyle w:val="37"/>
                <w:rFonts w:hint="default"/>
                <w:sz w:val="24"/>
                <w:szCs w:val="24"/>
                <w:lang w:bidi="ar"/>
              </w:rPr>
            </w:pPr>
            <w:r>
              <w:rPr>
                <w:rStyle w:val="37"/>
                <w:rFonts w:hint="default"/>
                <w:sz w:val="24"/>
                <w:szCs w:val="24"/>
                <w:lang w:bidi="ar"/>
              </w:rPr>
              <w:t>清洗液、关机液</w:t>
            </w:r>
          </w:p>
        </w:tc>
        <w:tc>
          <w:tcPr>
            <w:tcW w:w="1604" w:type="dxa"/>
            <w:shd w:val="clear" w:color="auto" w:fill="auto"/>
            <w:vAlign w:val="bottom"/>
          </w:tcPr>
          <w:p w14:paraId="70D3255F">
            <w:pPr>
              <w:jc w:val="center"/>
              <w:rPr>
                <w:rStyle w:val="37"/>
                <w:rFonts w:hint="default"/>
                <w:sz w:val="24"/>
                <w:szCs w:val="24"/>
                <w:lang w:bidi="ar"/>
              </w:rPr>
            </w:pPr>
            <w:r>
              <w:rPr>
                <w:rStyle w:val="37"/>
                <w:rFonts w:hint="default"/>
                <w:sz w:val="24"/>
                <w:szCs w:val="24"/>
                <w:lang w:bidi="ar"/>
              </w:rPr>
              <w:t>1桶</w:t>
            </w:r>
          </w:p>
        </w:tc>
      </w:tr>
      <w:bookmarkEnd w:id="2"/>
      <w:bookmarkEnd w:id="3"/>
    </w:tbl>
    <w:p w14:paraId="0DD547DB">
      <w:pPr>
        <w:pStyle w:val="2"/>
        <w:numPr>
          <w:ilvl w:val="0"/>
          <w:numId w:val="1"/>
        </w:numPr>
        <w:tabs>
          <w:tab w:val="left" w:pos="360"/>
        </w:tabs>
        <w:spacing w:before="100" w:after="100" w:line="360" w:lineRule="auto"/>
        <w:ind w:left="0" w:firstLine="0"/>
        <w:jc w:val="left"/>
        <w:rPr>
          <w:b/>
          <w:sz w:val="24"/>
          <w:szCs w:val="24"/>
        </w:rPr>
      </w:pPr>
      <w:r>
        <w:rPr>
          <w:rFonts w:hint="eastAsia"/>
          <w:b/>
          <w:sz w:val="24"/>
          <w:szCs w:val="24"/>
        </w:rPr>
        <w:t>重要及一般技术参数：</w:t>
      </w:r>
    </w:p>
    <w:bookmarkEnd w:id="0"/>
    <w:bookmarkEnd w:id="1"/>
    <w:tbl>
      <w:tblPr>
        <w:tblStyle w:val="15"/>
        <w:tblpPr w:leftFromText="180" w:rightFromText="180" w:vertAnchor="text" w:horzAnchor="page" w:tblpXSpec="center" w:tblpY="290"/>
        <w:tblOverlap w:val="never"/>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654"/>
      </w:tblGrid>
      <w:tr w14:paraId="2F5A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A32659D">
            <w:pPr>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7654" w:type="dxa"/>
            <w:shd w:val="clear" w:color="auto" w:fill="auto"/>
          </w:tcPr>
          <w:p w14:paraId="0A7115B3">
            <w:pPr>
              <w:spacing w:line="360" w:lineRule="auto"/>
              <w:jc w:val="center"/>
              <w:rPr>
                <w:rFonts w:hint="eastAsia" w:ascii="宋体" w:hAnsi="宋体" w:cs="宋体"/>
                <w:b/>
                <w:sz w:val="24"/>
                <w:szCs w:val="24"/>
              </w:rPr>
            </w:pPr>
            <w:r>
              <w:rPr>
                <w:rFonts w:hint="eastAsia" w:ascii="宋体" w:hAnsi="宋体" w:cs="宋体"/>
                <w:b/>
                <w:sz w:val="24"/>
                <w:szCs w:val="24"/>
              </w:rPr>
              <w:t>需求描述</w:t>
            </w:r>
          </w:p>
        </w:tc>
      </w:tr>
      <w:tr w14:paraId="22DF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0F50E2D">
            <w:pPr>
              <w:spacing w:line="360" w:lineRule="auto"/>
              <w:jc w:val="center"/>
              <w:rPr>
                <w:spacing w:val="-1"/>
                <w:sz w:val="24"/>
                <w:szCs w:val="24"/>
              </w:rPr>
            </w:pPr>
            <w:r>
              <w:rPr>
                <w:rFonts w:hint="eastAsia"/>
                <w:spacing w:val="-1"/>
                <w:sz w:val="24"/>
                <w:szCs w:val="24"/>
              </w:rPr>
              <w:t>1</w:t>
            </w:r>
          </w:p>
        </w:tc>
        <w:tc>
          <w:tcPr>
            <w:tcW w:w="7654" w:type="dxa"/>
            <w:shd w:val="clear" w:color="auto" w:fill="auto"/>
          </w:tcPr>
          <w:p w14:paraId="442D8F51">
            <w:pPr>
              <w:spacing w:line="360" w:lineRule="auto"/>
              <w:rPr>
                <w:spacing w:val="-1"/>
                <w:sz w:val="24"/>
                <w:szCs w:val="24"/>
              </w:rPr>
            </w:pPr>
            <w:r>
              <w:rPr>
                <w:rFonts w:hint="eastAsia"/>
                <w:spacing w:val="-1"/>
                <w:sz w:val="24"/>
                <w:szCs w:val="24"/>
              </w:rPr>
              <w:t>激光器：配置488nm±5nm蓝色固态激光器，638nm±5nm红色固态激光器，405nm±5nm紫色固态激光器。TEC温控系统，保证光路稳定可靠。</w:t>
            </w:r>
          </w:p>
        </w:tc>
      </w:tr>
      <w:tr w14:paraId="5DDA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3C9559D">
            <w:pPr>
              <w:spacing w:line="360" w:lineRule="auto"/>
              <w:jc w:val="center"/>
              <w:rPr>
                <w:spacing w:val="-1"/>
                <w:sz w:val="24"/>
                <w:szCs w:val="24"/>
              </w:rPr>
            </w:pPr>
            <w:r>
              <w:rPr>
                <w:rFonts w:hint="eastAsia"/>
                <w:spacing w:val="-1"/>
                <w:sz w:val="24"/>
                <w:szCs w:val="24"/>
              </w:rPr>
              <w:t>▲2</w:t>
            </w:r>
          </w:p>
        </w:tc>
        <w:tc>
          <w:tcPr>
            <w:tcW w:w="7654" w:type="dxa"/>
            <w:shd w:val="clear" w:color="auto" w:fill="auto"/>
          </w:tcPr>
          <w:p w14:paraId="5DE60EFF">
            <w:pPr>
              <w:spacing w:line="360" w:lineRule="auto"/>
              <w:rPr>
                <w:spacing w:val="-1"/>
                <w:sz w:val="24"/>
                <w:szCs w:val="24"/>
              </w:rPr>
            </w:pPr>
            <w:r>
              <w:rPr>
                <w:rFonts w:hint="eastAsia"/>
                <w:spacing w:val="-1"/>
                <w:sz w:val="24"/>
                <w:szCs w:val="24"/>
              </w:rPr>
              <w:t>激光器功率：405nm（100mW）、638nm（80mW）、488nm（50mW）（需提供国家认可的第三方检测机构出具的检测报告）</w:t>
            </w:r>
          </w:p>
        </w:tc>
      </w:tr>
      <w:tr w14:paraId="053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79DC9FE">
            <w:pPr>
              <w:spacing w:line="360" w:lineRule="auto"/>
              <w:jc w:val="center"/>
              <w:rPr>
                <w:spacing w:val="-1"/>
                <w:sz w:val="24"/>
                <w:szCs w:val="24"/>
              </w:rPr>
            </w:pPr>
            <w:r>
              <w:rPr>
                <w:rFonts w:hint="eastAsia"/>
                <w:spacing w:val="-1"/>
                <w:sz w:val="24"/>
                <w:szCs w:val="24"/>
              </w:rPr>
              <w:t>3</w:t>
            </w:r>
          </w:p>
        </w:tc>
        <w:tc>
          <w:tcPr>
            <w:tcW w:w="7654" w:type="dxa"/>
            <w:shd w:val="clear" w:color="auto" w:fill="auto"/>
          </w:tcPr>
          <w:p w14:paraId="1B5ACB4D">
            <w:pPr>
              <w:spacing w:line="360" w:lineRule="auto"/>
              <w:rPr>
                <w:spacing w:val="-1"/>
                <w:sz w:val="24"/>
                <w:szCs w:val="24"/>
              </w:rPr>
            </w:pPr>
            <w:r>
              <w:rPr>
                <w:rFonts w:hint="eastAsia"/>
                <w:spacing w:val="-1"/>
                <w:sz w:val="24"/>
                <w:szCs w:val="24"/>
              </w:rPr>
              <w:t>光路设计：封闭化光路设计，光纤传导</w:t>
            </w:r>
          </w:p>
        </w:tc>
      </w:tr>
      <w:tr w14:paraId="5594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2EBFBE9">
            <w:pPr>
              <w:spacing w:line="360" w:lineRule="auto"/>
              <w:jc w:val="center"/>
              <w:rPr>
                <w:spacing w:val="-1"/>
                <w:sz w:val="24"/>
                <w:szCs w:val="24"/>
              </w:rPr>
            </w:pPr>
            <w:r>
              <w:rPr>
                <w:rFonts w:hint="eastAsia"/>
                <w:spacing w:val="-1"/>
                <w:sz w:val="24"/>
                <w:szCs w:val="24"/>
              </w:rPr>
              <w:t>▲4</w:t>
            </w:r>
          </w:p>
        </w:tc>
        <w:tc>
          <w:tcPr>
            <w:tcW w:w="7654" w:type="dxa"/>
            <w:shd w:val="clear" w:color="auto" w:fill="auto"/>
          </w:tcPr>
          <w:p w14:paraId="322BCE3F">
            <w:pPr>
              <w:spacing w:line="360" w:lineRule="auto"/>
              <w:rPr>
                <w:spacing w:val="-1"/>
                <w:sz w:val="24"/>
                <w:szCs w:val="24"/>
              </w:rPr>
            </w:pPr>
            <w:r>
              <w:rPr>
                <w:rFonts w:hint="eastAsia"/>
                <w:spacing w:val="-1"/>
                <w:sz w:val="24"/>
                <w:szCs w:val="24"/>
              </w:rPr>
              <w:t>散射光通道：三个散射光通道FSC，BSSC和VSSC</w:t>
            </w:r>
          </w:p>
        </w:tc>
      </w:tr>
      <w:tr w14:paraId="72DB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BE9C894">
            <w:pPr>
              <w:spacing w:line="360" w:lineRule="auto"/>
              <w:jc w:val="center"/>
              <w:rPr>
                <w:spacing w:val="-1"/>
                <w:sz w:val="24"/>
                <w:szCs w:val="24"/>
              </w:rPr>
            </w:pPr>
            <w:r>
              <w:rPr>
                <w:rFonts w:hint="eastAsia"/>
                <w:spacing w:val="-1"/>
                <w:sz w:val="24"/>
                <w:szCs w:val="24"/>
              </w:rPr>
              <w:t>★5</w:t>
            </w:r>
          </w:p>
        </w:tc>
        <w:tc>
          <w:tcPr>
            <w:tcW w:w="7654" w:type="dxa"/>
            <w:shd w:val="clear" w:color="auto" w:fill="auto"/>
          </w:tcPr>
          <w:p w14:paraId="42C0A08B">
            <w:pPr>
              <w:spacing w:line="360" w:lineRule="auto"/>
              <w:rPr>
                <w:spacing w:val="-1"/>
                <w:sz w:val="24"/>
                <w:szCs w:val="24"/>
              </w:rPr>
            </w:pPr>
            <w:r>
              <w:rPr>
                <w:rFonts w:hint="eastAsia"/>
                <w:spacing w:val="-1"/>
                <w:sz w:val="24"/>
                <w:szCs w:val="24"/>
              </w:rPr>
              <w:t>荧光通道：13色荧光检测通道</w:t>
            </w:r>
          </w:p>
        </w:tc>
      </w:tr>
      <w:tr w14:paraId="3AE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771FB88C">
            <w:pPr>
              <w:spacing w:line="360" w:lineRule="auto"/>
              <w:jc w:val="center"/>
              <w:rPr>
                <w:spacing w:val="-1"/>
                <w:sz w:val="24"/>
                <w:szCs w:val="24"/>
              </w:rPr>
            </w:pPr>
            <w:r>
              <w:rPr>
                <w:rFonts w:hint="eastAsia"/>
                <w:spacing w:val="-1"/>
                <w:sz w:val="24"/>
                <w:szCs w:val="24"/>
              </w:rPr>
              <w:t>★6</w:t>
            </w:r>
          </w:p>
        </w:tc>
        <w:tc>
          <w:tcPr>
            <w:tcW w:w="7654" w:type="dxa"/>
            <w:shd w:val="clear" w:color="auto" w:fill="auto"/>
          </w:tcPr>
          <w:p w14:paraId="16F7C8E0">
            <w:pPr>
              <w:spacing w:line="360" w:lineRule="auto"/>
              <w:rPr>
                <w:spacing w:val="-1"/>
                <w:sz w:val="24"/>
                <w:szCs w:val="24"/>
              </w:rPr>
            </w:pPr>
            <w:r>
              <w:rPr>
                <w:rFonts w:hint="eastAsia"/>
                <w:spacing w:val="-1"/>
                <w:sz w:val="24"/>
                <w:szCs w:val="24"/>
              </w:rPr>
              <w:t>检测器：采用APD检测器</w:t>
            </w:r>
          </w:p>
        </w:tc>
      </w:tr>
      <w:tr w14:paraId="7E6C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8C6B32E">
            <w:pPr>
              <w:spacing w:line="360" w:lineRule="auto"/>
              <w:jc w:val="center"/>
              <w:rPr>
                <w:spacing w:val="-1"/>
                <w:sz w:val="24"/>
                <w:szCs w:val="24"/>
              </w:rPr>
            </w:pPr>
            <w:r>
              <w:rPr>
                <w:rFonts w:hint="eastAsia"/>
                <w:spacing w:val="-1"/>
                <w:sz w:val="24"/>
                <w:szCs w:val="24"/>
              </w:rPr>
              <w:t>7</w:t>
            </w:r>
          </w:p>
        </w:tc>
        <w:tc>
          <w:tcPr>
            <w:tcW w:w="7654" w:type="dxa"/>
            <w:shd w:val="clear" w:color="auto" w:fill="auto"/>
          </w:tcPr>
          <w:p w14:paraId="49D4A93A">
            <w:pPr>
              <w:spacing w:line="360" w:lineRule="auto"/>
              <w:rPr>
                <w:spacing w:val="-1"/>
                <w:sz w:val="24"/>
                <w:szCs w:val="24"/>
              </w:rPr>
            </w:pPr>
            <w:r>
              <w:rPr>
                <w:rFonts w:hint="eastAsia"/>
                <w:spacing w:val="-1"/>
                <w:sz w:val="24"/>
                <w:szCs w:val="24"/>
              </w:rPr>
              <w:t>荧光灵敏度：FITC≤ 80 MESF，PE≤ 50 MESF, APC≤ 30 MESF</w:t>
            </w:r>
          </w:p>
        </w:tc>
      </w:tr>
      <w:tr w14:paraId="692A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4F766E9">
            <w:pPr>
              <w:spacing w:line="360" w:lineRule="auto"/>
              <w:jc w:val="center"/>
              <w:rPr>
                <w:spacing w:val="-1"/>
                <w:sz w:val="24"/>
                <w:szCs w:val="24"/>
              </w:rPr>
            </w:pPr>
            <w:r>
              <w:rPr>
                <w:rFonts w:hint="eastAsia"/>
                <w:spacing w:val="-1"/>
                <w:sz w:val="24"/>
                <w:szCs w:val="24"/>
              </w:rPr>
              <w:t>8</w:t>
            </w:r>
          </w:p>
        </w:tc>
        <w:tc>
          <w:tcPr>
            <w:tcW w:w="7654" w:type="dxa"/>
            <w:shd w:val="clear" w:color="auto" w:fill="auto"/>
          </w:tcPr>
          <w:p w14:paraId="1233D2C9">
            <w:pPr>
              <w:spacing w:line="360" w:lineRule="auto"/>
              <w:rPr>
                <w:spacing w:val="-1"/>
                <w:sz w:val="24"/>
                <w:szCs w:val="24"/>
              </w:rPr>
            </w:pPr>
            <w:r>
              <w:rPr>
                <w:rFonts w:hint="eastAsia"/>
                <w:spacing w:val="-1"/>
                <w:sz w:val="24"/>
                <w:szCs w:val="24"/>
              </w:rPr>
              <w:t>仪器分辨率：CV≤2%</w:t>
            </w:r>
          </w:p>
        </w:tc>
      </w:tr>
      <w:tr w14:paraId="1E56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28803CD">
            <w:pPr>
              <w:spacing w:line="360" w:lineRule="auto"/>
              <w:jc w:val="center"/>
              <w:rPr>
                <w:spacing w:val="-1"/>
                <w:sz w:val="24"/>
                <w:szCs w:val="24"/>
              </w:rPr>
            </w:pPr>
            <w:r>
              <w:rPr>
                <w:rFonts w:hint="eastAsia"/>
                <w:spacing w:val="-1"/>
                <w:sz w:val="24"/>
                <w:szCs w:val="24"/>
              </w:rPr>
              <w:t>9</w:t>
            </w:r>
          </w:p>
        </w:tc>
        <w:tc>
          <w:tcPr>
            <w:tcW w:w="7654" w:type="dxa"/>
            <w:shd w:val="clear" w:color="auto" w:fill="auto"/>
          </w:tcPr>
          <w:p w14:paraId="070678D6">
            <w:pPr>
              <w:spacing w:line="360" w:lineRule="auto"/>
              <w:rPr>
                <w:spacing w:val="-1"/>
                <w:sz w:val="24"/>
                <w:szCs w:val="24"/>
              </w:rPr>
            </w:pPr>
            <w:r>
              <w:rPr>
                <w:rFonts w:hint="eastAsia"/>
                <w:spacing w:val="-1"/>
                <w:sz w:val="24"/>
                <w:szCs w:val="24"/>
              </w:rPr>
              <w:t>检测颗粒直径:0.2-50μm</w:t>
            </w:r>
          </w:p>
        </w:tc>
      </w:tr>
      <w:tr w14:paraId="1C63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73C9ED6D">
            <w:pPr>
              <w:spacing w:line="360" w:lineRule="auto"/>
              <w:jc w:val="center"/>
              <w:rPr>
                <w:spacing w:val="-1"/>
                <w:sz w:val="24"/>
                <w:szCs w:val="24"/>
              </w:rPr>
            </w:pPr>
            <w:r>
              <w:rPr>
                <w:rFonts w:hint="eastAsia"/>
                <w:spacing w:val="-1"/>
                <w:sz w:val="24"/>
                <w:szCs w:val="24"/>
              </w:rPr>
              <w:t>★10</w:t>
            </w:r>
          </w:p>
        </w:tc>
        <w:tc>
          <w:tcPr>
            <w:tcW w:w="7654" w:type="dxa"/>
            <w:shd w:val="clear" w:color="auto" w:fill="auto"/>
          </w:tcPr>
          <w:p w14:paraId="24A656FA">
            <w:pPr>
              <w:spacing w:line="360" w:lineRule="auto"/>
              <w:rPr>
                <w:spacing w:val="-1"/>
                <w:sz w:val="24"/>
                <w:szCs w:val="24"/>
              </w:rPr>
            </w:pPr>
            <w:r>
              <w:rPr>
                <w:rFonts w:hint="eastAsia"/>
                <w:spacing w:val="-1"/>
                <w:sz w:val="24"/>
                <w:szCs w:val="24"/>
              </w:rPr>
              <w:t>液流系统：采用柱塞泵连续上样</w:t>
            </w:r>
          </w:p>
        </w:tc>
      </w:tr>
      <w:tr w14:paraId="426A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CCD3B79">
            <w:pPr>
              <w:spacing w:line="360" w:lineRule="auto"/>
              <w:jc w:val="center"/>
              <w:rPr>
                <w:spacing w:val="-1"/>
                <w:sz w:val="24"/>
                <w:szCs w:val="24"/>
              </w:rPr>
            </w:pPr>
            <w:r>
              <w:rPr>
                <w:rFonts w:hint="eastAsia"/>
                <w:spacing w:val="-1"/>
                <w:sz w:val="24"/>
                <w:szCs w:val="24"/>
              </w:rPr>
              <w:t>★11</w:t>
            </w:r>
          </w:p>
        </w:tc>
        <w:tc>
          <w:tcPr>
            <w:tcW w:w="7654" w:type="dxa"/>
            <w:shd w:val="clear" w:color="auto" w:fill="auto"/>
          </w:tcPr>
          <w:p w14:paraId="586F5704">
            <w:pPr>
              <w:spacing w:line="360" w:lineRule="auto"/>
              <w:rPr>
                <w:spacing w:val="-1"/>
                <w:sz w:val="24"/>
                <w:szCs w:val="24"/>
              </w:rPr>
            </w:pPr>
            <w:r>
              <w:rPr>
                <w:rFonts w:hint="eastAsia"/>
                <w:spacing w:val="-1"/>
                <w:sz w:val="24"/>
                <w:szCs w:val="24"/>
              </w:rPr>
              <w:t>绝对计数方法: 兼容微球法或体积法（无需绝对计数管也可以做到绝对计数）</w:t>
            </w:r>
          </w:p>
        </w:tc>
      </w:tr>
      <w:tr w14:paraId="30E4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78BECFE8">
            <w:pPr>
              <w:spacing w:line="360" w:lineRule="auto"/>
              <w:jc w:val="center"/>
              <w:rPr>
                <w:spacing w:val="-1"/>
                <w:sz w:val="24"/>
                <w:szCs w:val="24"/>
              </w:rPr>
            </w:pPr>
            <w:r>
              <w:rPr>
                <w:rFonts w:hint="eastAsia"/>
                <w:spacing w:val="-1"/>
                <w:sz w:val="24"/>
                <w:szCs w:val="24"/>
              </w:rPr>
              <w:t>12</w:t>
            </w:r>
          </w:p>
        </w:tc>
        <w:tc>
          <w:tcPr>
            <w:tcW w:w="7654" w:type="dxa"/>
            <w:shd w:val="clear" w:color="auto" w:fill="auto"/>
          </w:tcPr>
          <w:p w14:paraId="4B3AFC0E">
            <w:pPr>
              <w:spacing w:line="360" w:lineRule="auto"/>
              <w:rPr>
                <w:spacing w:val="-1"/>
                <w:sz w:val="24"/>
                <w:szCs w:val="24"/>
              </w:rPr>
            </w:pPr>
            <w:r>
              <w:rPr>
                <w:rFonts w:hint="eastAsia"/>
                <w:spacing w:val="-1"/>
                <w:sz w:val="24"/>
                <w:szCs w:val="24"/>
              </w:rPr>
              <w:t>检测速度： ≥ 35000 events/s</w:t>
            </w:r>
          </w:p>
        </w:tc>
      </w:tr>
      <w:tr w14:paraId="26DE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822A490">
            <w:pPr>
              <w:spacing w:line="360" w:lineRule="auto"/>
              <w:jc w:val="center"/>
              <w:rPr>
                <w:spacing w:val="-1"/>
                <w:sz w:val="24"/>
                <w:szCs w:val="24"/>
              </w:rPr>
            </w:pPr>
            <w:r>
              <w:rPr>
                <w:rFonts w:hint="eastAsia"/>
                <w:spacing w:val="-1"/>
                <w:sz w:val="24"/>
                <w:szCs w:val="24"/>
              </w:rPr>
              <w:t>13</w:t>
            </w:r>
          </w:p>
        </w:tc>
        <w:tc>
          <w:tcPr>
            <w:tcW w:w="7654" w:type="dxa"/>
            <w:shd w:val="clear" w:color="auto" w:fill="auto"/>
          </w:tcPr>
          <w:p w14:paraId="74100D63">
            <w:pPr>
              <w:spacing w:line="360" w:lineRule="auto"/>
              <w:rPr>
                <w:spacing w:val="-1"/>
                <w:sz w:val="24"/>
                <w:szCs w:val="24"/>
              </w:rPr>
            </w:pPr>
            <w:r>
              <w:rPr>
                <w:rFonts w:hint="eastAsia"/>
                <w:spacing w:val="-1"/>
                <w:sz w:val="24"/>
                <w:szCs w:val="24"/>
              </w:rPr>
              <w:t>进样速度：</w:t>
            </w:r>
            <w:bookmarkStart w:id="4" w:name="OLE_LINK3"/>
            <w:r>
              <w:rPr>
                <w:rFonts w:hint="eastAsia"/>
                <w:spacing w:val="-1"/>
                <w:sz w:val="24"/>
                <w:szCs w:val="24"/>
              </w:rPr>
              <w:t>15μL/min-120μL/min连续可调</w:t>
            </w:r>
            <w:bookmarkEnd w:id="4"/>
          </w:p>
        </w:tc>
      </w:tr>
      <w:tr w14:paraId="34E1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3581418">
            <w:pPr>
              <w:spacing w:line="360" w:lineRule="auto"/>
              <w:jc w:val="center"/>
              <w:rPr>
                <w:spacing w:val="-1"/>
                <w:sz w:val="24"/>
                <w:szCs w:val="24"/>
              </w:rPr>
            </w:pPr>
            <w:r>
              <w:rPr>
                <w:rFonts w:hint="eastAsia"/>
                <w:spacing w:val="-1"/>
                <w:sz w:val="24"/>
                <w:szCs w:val="24"/>
              </w:rPr>
              <w:t>14</w:t>
            </w:r>
          </w:p>
        </w:tc>
        <w:tc>
          <w:tcPr>
            <w:tcW w:w="7654" w:type="dxa"/>
            <w:shd w:val="clear" w:color="auto" w:fill="auto"/>
          </w:tcPr>
          <w:p w14:paraId="2507BCC7">
            <w:pPr>
              <w:spacing w:line="360" w:lineRule="auto"/>
              <w:rPr>
                <w:spacing w:val="-1"/>
                <w:sz w:val="24"/>
                <w:szCs w:val="24"/>
              </w:rPr>
            </w:pPr>
            <w:r>
              <w:rPr>
                <w:rFonts w:hint="eastAsia"/>
                <w:spacing w:val="-1"/>
                <w:sz w:val="24"/>
                <w:szCs w:val="24"/>
              </w:rPr>
              <w:t>仪器携带污染率: ≤0.1%</w:t>
            </w:r>
          </w:p>
        </w:tc>
      </w:tr>
      <w:tr w14:paraId="1D99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B2FCB13">
            <w:pPr>
              <w:spacing w:line="360" w:lineRule="auto"/>
              <w:jc w:val="center"/>
              <w:rPr>
                <w:spacing w:val="-1"/>
                <w:sz w:val="24"/>
                <w:szCs w:val="24"/>
              </w:rPr>
            </w:pPr>
            <w:r>
              <w:rPr>
                <w:rFonts w:hint="eastAsia"/>
                <w:spacing w:val="-1"/>
                <w:sz w:val="24"/>
                <w:szCs w:val="24"/>
              </w:rPr>
              <w:t>15</w:t>
            </w:r>
          </w:p>
        </w:tc>
        <w:tc>
          <w:tcPr>
            <w:tcW w:w="7654" w:type="dxa"/>
            <w:shd w:val="clear" w:color="auto" w:fill="auto"/>
          </w:tcPr>
          <w:p w14:paraId="538E8539">
            <w:pPr>
              <w:spacing w:line="360" w:lineRule="auto"/>
              <w:rPr>
                <w:spacing w:val="-1"/>
                <w:sz w:val="24"/>
                <w:szCs w:val="24"/>
              </w:rPr>
            </w:pPr>
            <w:r>
              <w:rPr>
                <w:rFonts w:hint="eastAsia"/>
                <w:spacing w:val="-1"/>
                <w:sz w:val="24"/>
                <w:szCs w:val="24"/>
              </w:rPr>
              <w:t>上样形式：支持标准流式管、多种规格EP管等多种上样形式，支持单管上样、40孔盘或96孔板自动上样器,并自带混匀功能</w:t>
            </w:r>
          </w:p>
        </w:tc>
      </w:tr>
      <w:tr w14:paraId="497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CEAACA1">
            <w:pPr>
              <w:spacing w:line="360" w:lineRule="auto"/>
              <w:jc w:val="center"/>
              <w:rPr>
                <w:spacing w:val="-1"/>
                <w:sz w:val="24"/>
                <w:szCs w:val="24"/>
              </w:rPr>
            </w:pPr>
            <w:r>
              <w:rPr>
                <w:rFonts w:hint="eastAsia"/>
                <w:spacing w:val="-1"/>
                <w:sz w:val="24"/>
                <w:szCs w:val="24"/>
              </w:rPr>
              <w:t>16</w:t>
            </w:r>
          </w:p>
        </w:tc>
        <w:tc>
          <w:tcPr>
            <w:tcW w:w="7654" w:type="dxa"/>
            <w:shd w:val="clear" w:color="auto" w:fill="auto"/>
          </w:tcPr>
          <w:p w14:paraId="41ED5908">
            <w:pPr>
              <w:spacing w:line="360" w:lineRule="auto"/>
              <w:rPr>
                <w:spacing w:val="-1"/>
                <w:sz w:val="24"/>
                <w:szCs w:val="24"/>
              </w:rPr>
            </w:pPr>
            <w:r>
              <w:rPr>
                <w:rFonts w:hint="eastAsia"/>
                <w:spacing w:val="-1"/>
                <w:sz w:val="24"/>
                <w:szCs w:val="24"/>
              </w:rPr>
              <w:t>维护方式：启动初始化、开机清洗、实验间清洗、关机清洗、排气泡，月清洗自动化维护程序</w:t>
            </w:r>
          </w:p>
        </w:tc>
      </w:tr>
      <w:tr w14:paraId="32A4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68C2BD93">
            <w:pPr>
              <w:spacing w:line="360" w:lineRule="auto"/>
              <w:jc w:val="center"/>
              <w:rPr>
                <w:spacing w:val="-1"/>
                <w:sz w:val="24"/>
                <w:szCs w:val="24"/>
              </w:rPr>
            </w:pPr>
            <w:r>
              <w:rPr>
                <w:rFonts w:hint="eastAsia"/>
                <w:spacing w:val="-1"/>
                <w:sz w:val="24"/>
                <w:szCs w:val="24"/>
              </w:rPr>
              <w:t>17</w:t>
            </w:r>
          </w:p>
        </w:tc>
        <w:tc>
          <w:tcPr>
            <w:tcW w:w="7654" w:type="dxa"/>
            <w:shd w:val="clear" w:color="auto" w:fill="auto"/>
          </w:tcPr>
          <w:p w14:paraId="11EFABF6">
            <w:pPr>
              <w:spacing w:line="360" w:lineRule="auto"/>
              <w:rPr>
                <w:spacing w:val="-1"/>
                <w:sz w:val="24"/>
                <w:szCs w:val="24"/>
              </w:rPr>
            </w:pPr>
            <w:r>
              <w:rPr>
                <w:rFonts w:hint="eastAsia"/>
                <w:spacing w:val="-1"/>
                <w:sz w:val="24"/>
                <w:szCs w:val="24"/>
              </w:rPr>
              <w:t>软 件：中英文界面，支持数据采集和分析同时操作</w:t>
            </w:r>
          </w:p>
        </w:tc>
      </w:tr>
      <w:tr w14:paraId="02FD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76000059">
            <w:pPr>
              <w:spacing w:line="360" w:lineRule="auto"/>
              <w:jc w:val="center"/>
              <w:rPr>
                <w:spacing w:val="-1"/>
                <w:sz w:val="24"/>
                <w:szCs w:val="24"/>
              </w:rPr>
            </w:pPr>
            <w:r>
              <w:rPr>
                <w:rFonts w:hint="eastAsia"/>
                <w:spacing w:val="-1"/>
                <w:sz w:val="24"/>
                <w:szCs w:val="24"/>
              </w:rPr>
              <w:t>18</w:t>
            </w:r>
          </w:p>
        </w:tc>
        <w:tc>
          <w:tcPr>
            <w:tcW w:w="7654" w:type="dxa"/>
            <w:shd w:val="clear" w:color="auto" w:fill="auto"/>
          </w:tcPr>
          <w:p w14:paraId="791A5A0E">
            <w:pPr>
              <w:spacing w:line="360" w:lineRule="auto"/>
              <w:rPr>
                <w:spacing w:val="-1"/>
                <w:sz w:val="24"/>
                <w:szCs w:val="24"/>
              </w:rPr>
            </w:pPr>
            <w:r>
              <w:rPr>
                <w:rFonts w:hint="eastAsia"/>
                <w:spacing w:val="-1"/>
                <w:sz w:val="24"/>
                <w:szCs w:val="24"/>
              </w:rPr>
              <w:t>文件格式：支持FCS3.1、FCS3.0和FCS2.0格式文件</w:t>
            </w:r>
          </w:p>
        </w:tc>
      </w:tr>
      <w:tr w14:paraId="31AC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98FD41E">
            <w:pPr>
              <w:spacing w:line="360" w:lineRule="auto"/>
              <w:jc w:val="center"/>
              <w:rPr>
                <w:spacing w:val="-1"/>
                <w:sz w:val="24"/>
                <w:szCs w:val="24"/>
              </w:rPr>
            </w:pPr>
            <w:r>
              <w:rPr>
                <w:rFonts w:hint="eastAsia"/>
                <w:spacing w:val="-1"/>
                <w:sz w:val="24"/>
                <w:szCs w:val="24"/>
              </w:rPr>
              <w:t>★19</w:t>
            </w:r>
          </w:p>
        </w:tc>
        <w:tc>
          <w:tcPr>
            <w:tcW w:w="7654" w:type="dxa"/>
            <w:shd w:val="clear" w:color="auto" w:fill="auto"/>
          </w:tcPr>
          <w:p w14:paraId="7DC96175">
            <w:pPr>
              <w:spacing w:line="360" w:lineRule="auto"/>
              <w:rPr>
                <w:spacing w:val="-1"/>
                <w:sz w:val="24"/>
                <w:szCs w:val="24"/>
              </w:rPr>
            </w:pPr>
            <w:r>
              <w:rPr>
                <w:rFonts w:hint="eastAsia"/>
                <w:spacing w:val="-1"/>
                <w:sz w:val="24"/>
                <w:szCs w:val="24"/>
              </w:rPr>
              <w:t>国家卫健委临检中心室间质评有设备的独立分组</w:t>
            </w:r>
          </w:p>
        </w:tc>
      </w:tr>
    </w:tbl>
    <w:p w14:paraId="4B2F6DAD">
      <w:pPr>
        <w:rPr>
          <w:rFonts w:hint="eastAsia" w:ascii="宋体" w:hAnsi="宋体"/>
          <w:sz w:val="24"/>
          <w:szCs w:val="24"/>
        </w:rPr>
      </w:pPr>
    </w:p>
    <w:p w14:paraId="758F6C7F">
      <w:pPr>
        <w:spacing w:line="360" w:lineRule="auto"/>
        <w:jc w:val="left"/>
        <w:rPr>
          <w:rFonts w:hint="eastAsia" w:ascii="宋体" w:hAnsi="宋体"/>
          <w:bCs/>
          <w:kern w:val="44"/>
          <w:sz w:val="24"/>
          <w:szCs w:val="24"/>
        </w:rPr>
      </w:pPr>
      <w:r>
        <w:rPr>
          <w:rFonts w:hint="eastAsia" w:ascii="宋体" w:hAnsi="宋体" w:cs="宋体"/>
          <w:b/>
          <w:kern w:val="0"/>
          <w:sz w:val="24"/>
          <w:szCs w:val="24"/>
        </w:rPr>
        <w:t>五、项目售后服务要求</w:t>
      </w:r>
    </w:p>
    <w:p w14:paraId="1A423E7F">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1.供货价为最终用户价，所有运费、保险均由投标方承担；投标方提供装机试剂及所需耗材。</w:t>
      </w:r>
    </w:p>
    <w:p w14:paraId="7A645970">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2.设备是全新的、未使用过的，并完全符合规定的质量、规格和性能的要求。</w:t>
      </w:r>
    </w:p>
    <w:p w14:paraId="76C80C94">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397835F">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4.验收方案：设备安装、调试、培训后，经过一定时期的试运行，设备外观无损坏、各项性能指标均能达到招标要求的，视为验收通过，双方签署验收文件。</w:t>
      </w:r>
    </w:p>
    <w:p w14:paraId="1697CC39">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保证对所售设备提供专业的7*24小时原厂技术服务和技术支持，2小时内响应并提供解决问题的情况，24小时内到达现场服务(含法定节假日，如有特殊情况将提前电话沟通确认),确保设备系统正常工作。如在3天内无法修复，提供与该设备相同的备用机。</w:t>
      </w:r>
    </w:p>
    <w:p w14:paraId="58827229">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6.提供一年2次以上免费常规保养。</w:t>
      </w:r>
    </w:p>
    <w:p w14:paraId="1F62655D">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7.供应商派原厂专业技术人员在项目现场对临床医生及技术人员提供正规的整套设备操作、维护、维修、检测等内容的培训，使招标方全面了解直至完全掌握设备的使用，提供培训证书。在使用一段时间后可根据使用人员的要求另行安排培训计划；</w:t>
      </w:r>
    </w:p>
    <w:p w14:paraId="1CD76BCA">
      <w:pPr>
        <w:spacing w:line="360" w:lineRule="auto"/>
        <w:jc w:val="left"/>
        <w:rPr>
          <w:rFonts w:hint="eastAsia" w:ascii="宋体" w:hAnsi="宋体" w:cs="宋体"/>
          <w:color w:val="000000"/>
          <w:kern w:val="0"/>
          <w:sz w:val="24"/>
          <w:szCs w:val="24"/>
          <w:lang w:bidi="ar"/>
        </w:rPr>
      </w:pPr>
      <w:r>
        <w:rPr>
          <w:rFonts w:hint="eastAsia" w:ascii="宋体" w:hAnsi="宋体"/>
          <w:bCs/>
          <w:sz w:val="24"/>
          <w:szCs w:val="24"/>
        </w:rPr>
        <w:t>★</w:t>
      </w:r>
      <w:r>
        <w:rPr>
          <w:rFonts w:hint="eastAsia" w:ascii="宋体" w:hAnsi="宋体" w:cs="宋体"/>
          <w:color w:val="000000"/>
          <w:kern w:val="0"/>
          <w:sz w:val="24"/>
          <w:szCs w:val="24"/>
          <w:lang w:bidi="ar"/>
        </w:rPr>
        <w:t>8.设备保修期≥验收合格后，所有投标设备及其附属易耗件（包括第三方外购设备及易耗件）原厂整机3年，在投标文件中提供原厂售后服务承诺函；</w:t>
      </w:r>
    </w:p>
    <w:p w14:paraId="0F4EF768">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rPr>
        <w:t>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5%；</w:t>
      </w:r>
    </w:p>
    <w:p w14:paraId="63760E25">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10.提供终身软件升级、安装调试服务；</w:t>
      </w:r>
    </w:p>
    <w:p w14:paraId="43099894">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11.提供原厂技术援助：如提供操作手册，每年技术回访；</w:t>
      </w:r>
    </w:p>
    <w:p w14:paraId="622F384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12.投标文件中分别提供随机易损件和易耗件清单（计入投标总价），和质保期结束后的备品备件、易损件和易耗件清单一览表（不计入投标总价）。</w:t>
      </w:r>
    </w:p>
    <w:p w14:paraId="488E3BA7">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13.备品备件供货价格：不得超过市场价格的80%。投标时需填写上述价格，出质保期后，上述产品供货价格以双方最终认定价格为准，且采购人有权更换供货方。配件供应 10 年以上。</w:t>
      </w:r>
    </w:p>
    <w:p w14:paraId="1393634B">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14.维保内容与价格：质保期后，维保费用以双方最终认定价格为准，原则上不超过设备总价的8%。</w:t>
      </w:r>
    </w:p>
    <w:p w14:paraId="1854DDC2">
      <w:pPr>
        <w:spacing w:line="360" w:lineRule="auto"/>
        <w:jc w:val="left"/>
        <w:rPr>
          <w:rFonts w:hint="eastAsia" w:ascii="宋体" w:hAnsi="宋体" w:cs="宋体"/>
          <w:color w:val="000000"/>
          <w:kern w:val="0"/>
          <w:sz w:val="24"/>
          <w:szCs w:val="24"/>
          <w:lang w:bidi="ar"/>
        </w:rPr>
      </w:pPr>
    </w:p>
    <w:p w14:paraId="0A3885D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93"/>
    <w:rsid w:val="00093D18"/>
    <w:rsid w:val="000D4D54"/>
    <w:rsid w:val="00167E05"/>
    <w:rsid w:val="005622DE"/>
    <w:rsid w:val="006C5E5D"/>
    <w:rsid w:val="00734393"/>
    <w:rsid w:val="00AA497F"/>
    <w:rsid w:val="00D307AD"/>
    <w:rsid w:val="1150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character" w:customStyle="1" w:styleId="3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757</Words>
  <Characters>927</Characters>
  <Lines>14</Lines>
  <Paragraphs>4</Paragraphs>
  <TotalTime>0</TotalTime>
  <ScaleCrop>false</ScaleCrop>
  <LinksUpToDate>false</LinksUpToDate>
  <CharactersWithSpaces>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2025-03-06T02:39:00Z</dcterms:created>
  <dc:creator>Yiming LI</dc:creator>
  <cp:lastModifiedBy>杨俐君</cp:lastModifiedBy>
  <dcterms:modified xsi:type="dcterms:W3CDTF">2025-03-06T15:17:03Z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F4ADF1E494D245A680BCEEA6179D61E3_13</vt:lpwstr>
  </property>
</Properties>
</file>