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195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bookmarkStart w:id="0" w:name="_GoBack"/>
      <w:bookmarkEnd w:id="0"/>
    </w:p>
    <w:p w14:paraId="307198A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成果转</w:t>
      </w:r>
      <w:r>
        <w:rPr>
          <w:rFonts w:hint="eastAsia" w:ascii="宋体" w:hAnsi="宋体" w:eastAsia="宋体"/>
          <w:sz w:val="24"/>
          <w:szCs w:val="24"/>
          <w:lang w:val="en-US" w:eastAsia="zh-CN"/>
        </w:rPr>
        <w:t>化</w:t>
      </w:r>
      <w:r>
        <w:rPr>
          <w:rFonts w:hint="eastAsia" w:ascii="宋体" w:hAnsi="宋体" w:eastAsia="宋体"/>
          <w:sz w:val="24"/>
          <w:szCs w:val="24"/>
        </w:rPr>
        <w:t>项目涉及的无形资产评估</w:t>
      </w:r>
    </w:p>
    <w:p w14:paraId="757BE835">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14:paraId="07BFE05D">
      <w:pPr>
        <w:spacing w:line="360" w:lineRule="auto"/>
        <w:rPr>
          <w:rFonts w:ascii="宋体" w:hAnsi="宋体" w:eastAsia="宋体"/>
          <w:b/>
          <w:bCs/>
          <w:sz w:val="24"/>
          <w:szCs w:val="24"/>
          <w:highlight w:val="yellow"/>
        </w:rPr>
      </w:pPr>
      <w:r>
        <w:rPr>
          <w:rFonts w:hint="eastAsia" w:ascii="宋体" w:hAnsi="宋体" w:eastAsia="宋体"/>
          <w:b/>
          <w:bCs/>
          <w:sz w:val="24"/>
          <w:szCs w:val="24"/>
          <w:highlight w:val="yellow"/>
        </w:rPr>
        <w:t>1、项目主要内容：</w:t>
      </w:r>
    </w:p>
    <w:p w14:paraId="683FEA6C">
      <w:pPr>
        <w:spacing w:line="360" w:lineRule="auto"/>
        <w:rPr>
          <w:rFonts w:hint="eastAsia" w:ascii="宋体" w:hAnsi="宋体" w:eastAsia="宋体"/>
          <w:sz w:val="24"/>
          <w:szCs w:val="24"/>
        </w:rPr>
      </w:pPr>
      <w:r>
        <w:rPr>
          <w:rFonts w:hint="eastAsia" w:ascii="宋体" w:hAnsi="宋体" w:eastAsia="宋体"/>
          <w:sz w:val="24"/>
          <w:szCs w:val="24"/>
          <w:highlight w:val="yellow"/>
        </w:rPr>
        <w:t>针对采购人成果转</w:t>
      </w:r>
      <w:r>
        <w:rPr>
          <w:rFonts w:hint="eastAsia" w:ascii="宋体" w:hAnsi="宋体" w:eastAsia="宋体"/>
          <w:sz w:val="24"/>
          <w:szCs w:val="24"/>
          <w:highlight w:val="yellow"/>
          <w:lang w:val="en-US" w:eastAsia="zh-CN"/>
        </w:rPr>
        <w:t>化</w:t>
      </w:r>
      <w:r>
        <w:rPr>
          <w:rFonts w:hint="eastAsia" w:ascii="宋体" w:hAnsi="宋体" w:eastAsia="宋体"/>
          <w:sz w:val="24"/>
          <w:szCs w:val="24"/>
          <w:highlight w:val="yellow"/>
        </w:rPr>
        <w:t>项目涉及的无形资产进行评定、估算，并出具评估报告的专业服务。</w:t>
      </w:r>
    </w:p>
    <w:p w14:paraId="3A6E95FE">
      <w:pPr>
        <w:spacing w:line="360" w:lineRule="auto"/>
        <w:rPr>
          <w:rFonts w:ascii="宋体" w:hAnsi="宋体" w:eastAsia="宋体"/>
          <w:b/>
          <w:bCs/>
          <w:sz w:val="24"/>
          <w:szCs w:val="24"/>
        </w:rPr>
      </w:pPr>
      <w:r>
        <w:rPr>
          <w:rFonts w:hint="eastAsia" w:ascii="宋体" w:hAnsi="宋体" w:eastAsia="宋体"/>
          <w:b/>
          <w:bCs/>
          <w:sz w:val="24"/>
          <w:szCs w:val="24"/>
        </w:rPr>
        <w:t>2、服务方案要求（包含服务内容、售后要求、应急响应等）</w:t>
      </w:r>
    </w:p>
    <w:p w14:paraId="3F7D13F4">
      <w:pPr>
        <w:pStyle w:val="16"/>
        <w:rPr>
          <w:rFonts w:hint="eastAsia" w:ascii="宋体" w:hAnsi="宋体" w:eastAsia="宋体"/>
          <w:sz w:val="24"/>
          <w:szCs w:val="24"/>
        </w:rPr>
      </w:pPr>
      <w:r>
        <w:rPr>
          <w:rFonts w:hint="eastAsia" w:ascii="宋体" w:hAnsi="宋体" w:eastAsia="宋体"/>
          <w:sz w:val="24"/>
          <w:szCs w:val="24"/>
        </w:rPr>
        <w:t>针对医院业务特点提出服务方案，方案应综合考虑医院资产评估的特点以及应关注的重点、主要风险；</w:t>
      </w:r>
    </w:p>
    <w:p w14:paraId="3C7359F2">
      <w:pPr>
        <w:pStyle w:val="16"/>
        <w:rPr>
          <w:rFonts w:hint="eastAsia" w:ascii="宋体" w:hAnsi="宋体" w:eastAsia="宋体"/>
          <w:sz w:val="24"/>
          <w:szCs w:val="24"/>
        </w:rPr>
      </w:pPr>
      <w:r>
        <w:rPr>
          <w:rFonts w:hint="eastAsia" w:ascii="宋体" w:hAnsi="宋体" w:eastAsia="宋体"/>
          <w:sz w:val="24"/>
          <w:szCs w:val="24"/>
        </w:rPr>
        <w:t>能够针对本服务项目的关键问题提出分析及解决对策；</w:t>
      </w:r>
    </w:p>
    <w:p w14:paraId="4C88D61E">
      <w:pPr>
        <w:pStyle w:val="16"/>
        <w:rPr>
          <w:rFonts w:ascii="宋体" w:hAnsi="宋体" w:eastAsia="宋体"/>
          <w:sz w:val="24"/>
          <w:szCs w:val="24"/>
        </w:rPr>
      </w:pPr>
      <w:r>
        <w:rPr>
          <w:rFonts w:hint="eastAsia" w:ascii="宋体" w:hAnsi="宋体" w:eastAsia="宋体"/>
          <w:sz w:val="24"/>
          <w:szCs w:val="24"/>
        </w:rPr>
        <w:t>能够明确程序的时间节点，实现限时办结制度，按照约定时间完成业务，并保证报告质量符合要求，报告所涉及的问题必须有相关证据予以支持；</w:t>
      </w:r>
    </w:p>
    <w:p w14:paraId="4E611318">
      <w:pPr>
        <w:pStyle w:val="16"/>
        <w:rPr>
          <w:rFonts w:hint="eastAsia" w:ascii="宋体" w:hAnsi="宋体" w:eastAsia="宋体"/>
          <w:sz w:val="24"/>
          <w:szCs w:val="24"/>
        </w:rPr>
      </w:pPr>
      <w:r>
        <w:rPr>
          <w:rFonts w:hint="eastAsia" w:ascii="宋体" w:hAnsi="宋体" w:eastAsia="宋体"/>
          <w:sz w:val="24"/>
          <w:szCs w:val="24"/>
        </w:rPr>
        <w:t>有具体的服务响应时间，有完善的沟通机制；</w:t>
      </w:r>
    </w:p>
    <w:p w14:paraId="3EE2A62E">
      <w:pPr>
        <w:pStyle w:val="16"/>
        <w:rPr>
          <w:rFonts w:ascii="宋体" w:hAnsi="宋体" w:eastAsia="宋体"/>
          <w:sz w:val="24"/>
          <w:szCs w:val="24"/>
        </w:rPr>
      </w:pPr>
      <w:r>
        <w:rPr>
          <w:rFonts w:hint="eastAsia" w:ascii="宋体" w:hAnsi="宋体" w:eastAsia="宋体"/>
          <w:sz w:val="24"/>
          <w:szCs w:val="24"/>
        </w:rPr>
        <w:t>对服务质量、报告质量、保密机制、具体实施人员的道德风险等内控机制</w:t>
      </w:r>
    </w:p>
    <w:p w14:paraId="422161D0">
      <w:pPr>
        <w:pStyle w:val="16"/>
        <w:rPr>
          <w:rFonts w:ascii="宋体" w:hAnsi="宋体" w:eastAsia="宋体"/>
          <w:color w:val="FF0000"/>
          <w:sz w:val="24"/>
          <w:szCs w:val="24"/>
        </w:rPr>
      </w:pPr>
      <w:r>
        <w:rPr>
          <w:rFonts w:hint="eastAsia" w:ascii="宋体" w:hAnsi="宋体" w:eastAsia="宋体"/>
          <w:color w:val="FF0000"/>
          <w:sz w:val="24"/>
          <w:szCs w:val="24"/>
        </w:rPr>
        <w:t>其他增值服务及承诺。</w:t>
      </w:r>
    </w:p>
    <w:p w14:paraId="1720F755">
      <w:pPr>
        <w:spacing w:line="360" w:lineRule="auto"/>
        <w:rPr>
          <w:rFonts w:hint="eastAsia" w:ascii="宋体" w:hAnsi="宋体" w:eastAsia="宋体"/>
          <w:b/>
          <w:bCs/>
          <w:sz w:val="24"/>
          <w:szCs w:val="24"/>
        </w:rPr>
      </w:pPr>
      <w:r>
        <w:rPr>
          <w:rFonts w:hint="eastAsia" w:ascii="宋体" w:hAnsi="宋体" w:eastAsia="宋体"/>
          <w:b/>
          <w:bCs/>
          <w:sz w:val="24"/>
          <w:szCs w:val="24"/>
        </w:rPr>
        <w:t>3、工作要求和职责</w:t>
      </w:r>
    </w:p>
    <w:p w14:paraId="66BD461A">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（1）按照要求依法开展专项评估工作，对评估报告的真实性、准确性、合法性负责；</w:t>
      </w:r>
    </w:p>
    <w:p w14:paraId="3B2B04C4">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（2）应采取必要的程序对被评估对象进行现场评估、取证，并在全面评估分析判断的基础上对上述内容发表意见；</w:t>
      </w:r>
    </w:p>
    <w:p w14:paraId="7C62A7B8">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（3）对专项评估工作中遇到的特殊问题应及时向采购人报告；</w:t>
      </w:r>
    </w:p>
    <w:p w14:paraId="15BD2B5A">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（4）完整填写专项评估工作底稿，建立健全对专项评估报告的内部复核机制，按规定出具具有执业资格人员盖章的专项评估报告（含电子文档），并按采购人要求上报；</w:t>
      </w:r>
    </w:p>
    <w:p w14:paraId="2710903E">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（5）建立严格的项目档案管理制度，完整、准确、真实地反映并记录专项评估的情况，做好各类资料的存档和保管工作；</w:t>
      </w:r>
    </w:p>
    <w:p w14:paraId="479CE90B">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（6）中标人应妥善保管采购人的委托文件资料，未经采购人的书面许可，不得将文件资料擅自公开或泄漏给他人。承担评估工作的单位及其工作人员不得将其知悉的商业秘密和被评估单位提供的资料对外泄露；</w:t>
      </w:r>
    </w:p>
    <w:p w14:paraId="304502A4">
      <w:pPr>
        <w:spacing w:line="360" w:lineRule="auto"/>
        <w:ind w:left="720" w:hanging="720"/>
        <w:rPr>
          <w:rFonts w:ascii="宋体" w:hAnsi="宋体" w:eastAsia="宋体"/>
          <w:sz w:val="24"/>
          <w:szCs w:val="24"/>
        </w:rPr>
      </w:pPr>
      <w:r>
        <w:rPr>
          <w:rFonts w:hint="eastAsia" w:ascii="宋体" w:hAnsi="宋体" w:eastAsia="宋体"/>
          <w:sz w:val="24"/>
          <w:szCs w:val="24"/>
          <w:highlight w:val="yellow"/>
        </w:rPr>
        <w:t>（7）不得向被评估对象收取任何费用，不得利用开展业务之便，为自己或他人谋取不正当利益；</w:t>
      </w:r>
    </w:p>
    <w:p w14:paraId="72C4B6DD">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8）承担评估工作的单位及其工作人员在专项评估过程中违反评估准则和廉政规定，与被评估单位相互串通、提供虚假评估材料、出具虚假或有重大遗漏的资产评估报告的，一经查实，采购人有权停止支付评估费用；并向有关职能部门提出对相关单位及其工作人员的处理建议，且有权追究其责任；</w:t>
      </w:r>
    </w:p>
    <w:p w14:paraId="7FA82482">
      <w:pPr>
        <w:spacing w:line="360" w:lineRule="auto"/>
        <w:ind w:left="720" w:hanging="720"/>
        <w:rPr>
          <w:rFonts w:hint="eastAsia" w:ascii="宋体" w:hAnsi="宋体" w:eastAsia="宋体"/>
          <w:sz w:val="24"/>
          <w:szCs w:val="24"/>
          <w:highlight w:val="yellow"/>
        </w:rPr>
      </w:pPr>
      <w:r>
        <w:rPr>
          <w:rFonts w:hint="eastAsia" w:ascii="宋体" w:hAnsi="宋体" w:eastAsia="宋体"/>
          <w:sz w:val="24"/>
          <w:szCs w:val="24"/>
          <w:highlight w:val="yellow"/>
        </w:rPr>
        <w:t>（9）对评估报告中的不尽事项采购人有权要求承担评估工作的单位补充或重新评估；</w:t>
      </w:r>
    </w:p>
    <w:p w14:paraId="7F78904D">
      <w:pPr>
        <w:spacing w:line="360" w:lineRule="auto"/>
        <w:ind w:left="720" w:hanging="720"/>
        <w:rPr>
          <w:rFonts w:hint="eastAsia" w:ascii="宋体" w:hAnsi="宋体" w:eastAsia="宋体"/>
          <w:sz w:val="24"/>
          <w:szCs w:val="24"/>
        </w:rPr>
      </w:pPr>
      <w:r>
        <w:rPr>
          <w:rFonts w:hint="eastAsia" w:ascii="宋体" w:hAnsi="宋体" w:eastAsia="宋体"/>
          <w:sz w:val="24"/>
          <w:szCs w:val="24"/>
          <w:highlight w:val="yellow"/>
        </w:rPr>
        <w:t>（10）项目组人员应有良好的职业道德和严谨的工作作风，遵循客观、公正和诚实的原则，并保持评估的独立性，与被评对象有直接或间接利害关系的主动回避。</w:t>
      </w:r>
    </w:p>
    <w:p w14:paraId="4C81A98E">
      <w:pPr>
        <w:spacing w:line="360" w:lineRule="auto"/>
        <w:rPr>
          <w:rFonts w:ascii="宋体" w:hAnsi="宋体" w:eastAsia="宋体"/>
          <w:b/>
          <w:bCs/>
          <w:sz w:val="24"/>
          <w:szCs w:val="24"/>
        </w:rPr>
      </w:pPr>
      <w:r>
        <w:rPr>
          <w:rFonts w:hint="eastAsia" w:ascii="宋体" w:hAnsi="宋体" w:eastAsia="宋体"/>
          <w:b/>
          <w:bCs/>
          <w:sz w:val="24"/>
          <w:szCs w:val="24"/>
        </w:rPr>
        <w:t>4、人员配置要求</w:t>
      </w:r>
    </w:p>
    <w:p w14:paraId="25527C63">
      <w:pPr>
        <w:pStyle w:val="19"/>
        <w:adjustRightInd w:val="0"/>
        <w:snapToGrid w:val="0"/>
        <w:spacing w:line="360" w:lineRule="auto"/>
        <w:ind w:firstLine="0" w:firstLineChars="0"/>
        <w:rPr>
          <w:rFonts w:hint="eastAsia" w:ascii="宋体" w:hAnsi="宋体"/>
          <w:sz w:val="24"/>
        </w:rPr>
      </w:pPr>
      <w:r>
        <w:rPr>
          <w:rFonts w:hint="eastAsia" w:ascii="宋体" w:hAnsi="宋体"/>
          <w:sz w:val="24"/>
        </w:rPr>
        <w:t>（1）</w:t>
      </w:r>
      <w:r>
        <w:rPr>
          <w:rFonts w:hint="eastAsia" w:ascii="宋体" w:hAnsi="宋体" w:cs="华文仿宋"/>
          <w:sz w:val="24"/>
          <w:szCs w:val="24"/>
        </w:rPr>
        <w:t>供应商应当组成</w:t>
      </w:r>
      <w:r>
        <w:rPr>
          <w:rFonts w:hint="eastAsia" w:ascii="宋体" w:hAnsi="宋体"/>
          <w:kern w:val="0"/>
          <w:sz w:val="24"/>
        </w:rPr>
        <w:t>工作小组，由资产评估师和联络人组成，并提供工作小组</w:t>
      </w:r>
      <w:r>
        <w:rPr>
          <w:rFonts w:hint="eastAsia" w:ascii="宋体" w:hAnsi="宋体"/>
          <w:sz w:val="24"/>
        </w:rPr>
        <w:t>成员名单，写明各成员的擅长专业领域、工作经验等。</w:t>
      </w:r>
    </w:p>
    <w:p w14:paraId="7C9C6BA9">
      <w:pPr>
        <w:pStyle w:val="19"/>
        <w:adjustRightInd w:val="0"/>
        <w:snapToGrid w:val="0"/>
        <w:spacing w:line="360" w:lineRule="auto"/>
        <w:ind w:firstLine="0" w:firstLineChars="0"/>
        <w:rPr>
          <w:rFonts w:ascii="宋体" w:hAnsi="宋体"/>
          <w:sz w:val="24"/>
        </w:rPr>
      </w:pPr>
      <w:r>
        <w:rPr>
          <w:rFonts w:hint="eastAsia" w:ascii="宋体" w:hAnsi="宋体"/>
          <w:sz w:val="24"/>
        </w:rPr>
        <w:t>（2）供应商应当依据资产评估师的实际情况，指派资产评估师处理采购人案件。供应商应当另行指派一名人员作为采购人与供应商的联络人，负责全过程的跟进、沟通协调工作。工作小组成员不可随意更换，确因特殊原因需要更换的，应当向医院书面说明，新旧成员之间应当做好交接工作。</w:t>
      </w:r>
    </w:p>
    <w:p w14:paraId="2E783BEA">
      <w:pPr>
        <w:pStyle w:val="19"/>
        <w:adjustRightInd w:val="0"/>
        <w:snapToGrid w:val="0"/>
        <w:spacing w:line="360" w:lineRule="auto"/>
        <w:ind w:firstLine="0" w:firstLineChars="0"/>
        <w:rPr>
          <w:rFonts w:hint="eastAsia" w:ascii="宋体" w:hAnsi="宋体"/>
          <w:sz w:val="24"/>
        </w:rPr>
      </w:pPr>
      <w:r>
        <w:rPr>
          <w:rFonts w:hint="eastAsia" w:ascii="宋体" w:hAnsi="宋体"/>
          <w:sz w:val="24"/>
        </w:rPr>
        <w:t>（3）资产评估师在该领域工作年限为3年以上。供应商应提供符合条件的资产评估师的学历、工作经历等背景资料；</w:t>
      </w:r>
    </w:p>
    <w:p w14:paraId="687AA699">
      <w:pPr>
        <w:pStyle w:val="19"/>
        <w:adjustRightInd w:val="0"/>
        <w:snapToGrid w:val="0"/>
        <w:spacing w:line="360" w:lineRule="auto"/>
        <w:ind w:firstLine="0" w:firstLineChars="0"/>
        <w:rPr>
          <w:rFonts w:hint="eastAsia" w:ascii="宋体" w:hAnsi="宋体"/>
          <w:sz w:val="24"/>
        </w:rPr>
      </w:pPr>
      <w:r>
        <w:rPr>
          <w:rFonts w:hint="eastAsia" w:ascii="宋体" w:hAnsi="宋体"/>
          <w:sz w:val="24"/>
        </w:rPr>
        <w:t>（4）供应商应拥有具有资产评估资质的资产评估师数量不少于5人（含合伙人或股东），并提供“资产评估师职业资格证书”的复印件；</w:t>
      </w:r>
    </w:p>
    <w:p w14:paraId="4456241B">
      <w:pPr>
        <w:spacing w:line="360" w:lineRule="auto"/>
        <w:rPr>
          <w:rFonts w:ascii="宋体" w:hAnsi="宋体" w:eastAsia="宋体"/>
          <w:b/>
          <w:bCs/>
          <w:sz w:val="24"/>
          <w:szCs w:val="24"/>
        </w:rPr>
      </w:pPr>
      <w:r>
        <w:rPr>
          <w:rFonts w:hint="eastAsia" w:ascii="宋体" w:hAnsi="宋体" w:eastAsia="宋体"/>
          <w:b/>
          <w:bCs/>
          <w:sz w:val="24"/>
          <w:szCs w:val="24"/>
        </w:rPr>
        <w:t>5、其他</w:t>
      </w:r>
    </w:p>
    <w:p w14:paraId="37B4088F">
      <w:pPr>
        <w:pStyle w:val="19"/>
        <w:adjustRightInd w:val="0"/>
        <w:snapToGrid w:val="0"/>
        <w:spacing w:line="360" w:lineRule="auto"/>
        <w:ind w:firstLine="0" w:firstLineChars="0"/>
        <w:rPr>
          <w:rFonts w:hint="eastAsia" w:ascii="宋体" w:hAnsi="宋体"/>
          <w:sz w:val="24"/>
        </w:rPr>
      </w:pPr>
      <w:r>
        <w:rPr>
          <w:rFonts w:hint="eastAsia" w:ascii="宋体" w:hAnsi="宋体"/>
          <w:sz w:val="24"/>
        </w:rPr>
        <w:t>（1）供应商资产评估师应当在对转化项目涉及到的无形资产充分了解，并跟项目组负责人进行充分沟通，对测算数据有一定分析和核实能力。</w:t>
      </w:r>
    </w:p>
    <w:p w14:paraId="10B92D3E">
      <w:pPr>
        <w:pStyle w:val="19"/>
        <w:adjustRightInd w:val="0"/>
        <w:snapToGrid w:val="0"/>
        <w:spacing w:line="360" w:lineRule="auto"/>
        <w:ind w:firstLine="0" w:firstLineChars="0"/>
        <w:rPr>
          <w:rFonts w:hint="eastAsia" w:ascii="宋体" w:hAnsi="宋体"/>
          <w:sz w:val="24"/>
        </w:rPr>
      </w:pPr>
      <w:r>
        <w:rPr>
          <w:rFonts w:hint="eastAsia" w:ascii="宋体" w:hAnsi="宋体"/>
          <w:sz w:val="24"/>
        </w:rPr>
        <w:t>（2）供应商应当保证资产评估报告质量，采购人有权根据采购人委托供应商评估报告的质量考核供应商业务能力，决定是否终止合作。</w:t>
      </w:r>
    </w:p>
    <w:p w14:paraId="4C950BAE">
      <w:pPr>
        <w:pStyle w:val="19"/>
        <w:adjustRightInd w:val="0"/>
        <w:snapToGrid w:val="0"/>
        <w:spacing w:line="360" w:lineRule="auto"/>
        <w:ind w:firstLine="0" w:firstLineChars="0"/>
        <w:rPr>
          <w:rFonts w:hint="eastAsia" w:ascii="宋体" w:hAnsi="宋体"/>
          <w:sz w:val="24"/>
        </w:rPr>
      </w:pPr>
      <w:r>
        <w:rPr>
          <w:rFonts w:hint="eastAsia" w:ascii="宋体" w:hAnsi="宋体"/>
          <w:sz w:val="24"/>
        </w:rPr>
        <w:t>（3）供应商不得将承揽的业务拆分或全部转给其他机构实施，一经发现立即停止合作。</w:t>
      </w:r>
    </w:p>
    <w:p w14:paraId="5D2F4CFA">
      <w:pPr>
        <w:spacing w:line="360" w:lineRule="auto"/>
        <w:rPr>
          <w:rFonts w:ascii="宋体" w:hAnsi="宋体" w:eastAsia="宋体"/>
          <w:b/>
          <w:bCs/>
          <w:sz w:val="24"/>
          <w:szCs w:val="24"/>
        </w:rPr>
      </w:pPr>
      <w:r>
        <w:rPr>
          <w:rFonts w:hint="eastAsia" w:ascii="宋体" w:hAnsi="宋体" w:eastAsia="宋体"/>
          <w:b/>
          <w:bCs/>
          <w:sz w:val="24"/>
          <w:szCs w:val="24"/>
        </w:rPr>
        <w:t>6、验收要求</w:t>
      </w:r>
    </w:p>
    <w:p w14:paraId="18224A99">
      <w:pPr>
        <w:ind w:left="720" w:hanging="720"/>
        <w:rPr>
          <w:rFonts w:ascii="宋体" w:hAnsi="宋体" w:eastAsia="宋体" w:cs="Times New Roman"/>
          <w:sz w:val="24"/>
        </w:rPr>
      </w:pPr>
      <w:r>
        <w:rPr>
          <w:rFonts w:hint="eastAsia" w:ascii="宋体" w:hAnsi="宋体" w:eastAsia="宋体" w:cs="Times New Roman"/>
          <w:sz w:val="24"/>
          <w:highlight w:val="yellow"/>
        </w:rPr>
        <w:t>根据【财政部关于印发《资产评估基本准则》的通知】的要求出具相关资产评估报告，视为验收通过。</w:t>
      </w:r>
    </w:p>
    <w:p w14:paraId="220F6A9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45147F45">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1）具有独立承担民事责任的能力。</w:t>
      </w:r>
    </w:p>
    <w:p w14:paraId="3E634E36">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2）本项目不接受联合体投标；</w:t>
      </w:r>
    </w:p>
    <w:p w14:paraId="02BC46C9">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3）单位负责人为同一人或者存在直接控股、管理关系的不同供应商，不得参加同一合同项下的政府采购活动；</w:t>
      </w:r>
    </w:p>
    <w:p w14:paraId="0BF44658">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4）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12D5F505">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highlight w:val="yellow"/>
        </w:rPr>
        <w:t>5）供应商须具有在国务院财政部门或省、自治区、直辖市人民政府财政部门进行资产评估机构备案的证明材料。供应商若以分公司或分支机构名义参加的，应当取得总公司/总所针对本项目的唯一授权委托书，总公司/总所和分公司/分所不能同时参与本项目响应。</w:t>
      </w:r>
    </w:p>
    <w:p w14:paraId="35258E1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50D44F19">
      <w:pPr>
        <w:adjustRightInd w:val="0"/>
        <w:snapToGrid w:val="0"/>
        <w:spacing w:line="360" w:lineRule="auto"/>
        <w:rPr>
          <w:rFonts w:hint="eastAsia" w:ascii="宋体" w:hAnsi="宋体" w:eastAsia="宋体"/>
          <w:sz w:val="24"/>
          <w:szCs w:val="24"/>
        </w:rPr>
      </w:pPr>
      <w:r>
        <w:rPr>
          <w:rFonts w:ascii="宋体" w:hAnsi="宋体" w:eastAsia="宋体"/>
          <w:sz w:val="24"/>
          <w:szCs w:val="24"/>
        </w:rPr>
        <w:t>1、交付期限：</w:t>
      </w:r>
      <w:r>
        <w:rPr>
          <w:rFonts w:ascii="宋体" w:hAnsi="宋体" w:eastAsia="宋体"/>
          <w:sz w:val="24"/>
          <w:szCs w:val="24"/>
          <w:highlight w:val="yellow"/>
        </w:rPr>
        <w:t>合同签订后3年</w:t>
      </w:r>
      <w:r>
        <w:rPr>
          <w:rFonts w:hint="eastAsia" w:ascii="宋体" w:hAnsi="宋体" w:eastAsia="宋体"/>
          <w:sz w:val="24"/>
          <w:szCs w:val="24"/>
          <w:highlight w:val="yellow"/>
        </w:rPr>
        <w:t>，按年签订合同。续签合同前应通过采购方满意度考评，考评未通过或合同内容及价格变动较大的，需重新招标。招标结论续存期间，中标单价不允许变更，供应商应考虑每年上海市最低工资标准的调整情况、行业规定以及政府相关要求。</w:t>
      </w:r>
    </w:p>
    <w:p w14:paraId="611DD8E7">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2、付款方式：</w:t>
      </w:r>
      <w:r>
        <w:rPr>
          <w:rFonts w:ascii="宋体" w:hAnsi="宋体" w:eastAsia="宋体"/>
          <w:sz w:val="24"/>
          <w:szCs w:val="24"/>
        </w:rPr>
        <w:t xml:space="preserve"> </w:t>
      </w:r>
      <w:r>
        <w:rPr>
          <w:rFonts w:hint="eastAsia" w:ascii="宋体" w:hAnsi="宋体" w:eastAsia="宋体" w:cs="Times New Roman"/>
          <w:sz w:val="24"/>
          <w:szCs w:val="24"/>
          <w:highlight w:val="yellow"/>
        </w:rPr>
        <w:t>按出具报告的件数进行计费，按实结算</w:t>
      </w:r>
    </w:p>
    <w:p w14:paraId="0B97905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6C153FA4"/>
    <w:multiLevelType w:val="multilevel"/>
    <w:tmpl w:val="6C153FA4"/>
    <w:lvl w:ilvl="0" w:tentative="0">
      <w:start w:val="1"/>
      <w:numFmt w:val="decimal"/>
      <w:pStyle w:val="16"/>
      <w:lvlText w:val="（%1）"/>
      <w:lvlJc w:val="left"/>
      <w:pPr>
        <w:ind w:left="720" w:hanging="720"/>
      </w:pPr>
      <w:rPr>
        <w:rFonts w:hint="default" w:cstheme="minorBidi"/>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4523F"/>
    <w:rsid w:val="00097888"/>
    <w:rsid w:val="001D1C86"/>
    <w:rsid w:val="00220551"/>
    <w:rsid w:val="002729B0"/>
    <w:rsid w:val="002B4F31"/>
    <w:rsid w:val="002E581F"/>
    <w:rsid w:val="003D41E8"/>
    <w:rsid w:val="00492C4A"/>
    <w:rsid w:val="004A3709"/>
    <w:rsid w:val="004A7A67"/>
    <w:rsid w:val="00712FBB"/>
    <w:rsid w:val="00731030"/>
    <w:rsid w:val="007C3095"/>
    <w:rsid w:val="007F7360"/>
    <w:rsid w:val="00802568"/>
    <w:rsid w:val="008E511E"/>
    <w:rsid w:val="0090336E"/>
    <w:rsid w:val="0094303D"/>
    <w:rsid w:val="009D50C6"/>
    <w:rsid w:val="00A645DF"/>
    <w:rsid w:val="00A90E0E"/>
    <w:rsid w:val="00A9260F"/>
    <w:rsid w:val="00B24FF2"/>
    <w:rsid w:val="00B43BBE"/>
    <w:rsid w:val="00B94445"/>
    <w:rsid w:val="00C80EA9"/>
    <w:rsid w:val="00CC3BD8"/>
    <w:rsid w:val="00D26D4E"/>
    <w:rsid w:val="00E0445E"/>
    <w:rsid w:val="00E10B92"/>
    <w:rsid w:val="00E26442"/>
    <w:rsid w:val="00E347A7"/>
    <w:rsid w:val="00F27A51"/>
    <w:rsid w:val="00FB3E73"/>
    <w:rsid w:val="5AB744F2"/>
    <w:rsid w:val="678E30F0"/>
    <w:rsid w:val="69A50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semiHidden/>
    <w:unhideWhenUsed/>
    <w:uiPriority w:val="99"/>
    <w:rPr>
      <w:b/>
      <w:bCs/>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uiPriority w:val="99"/>
    <w:rPr>
      <w:sz w:val="18"/>
      <w:szCs w:val="18"/>
    </w:rPr>
  </w:style>
  <w:style w:type="character" w:customStyle="1" w:styleId="13">
    <w:name w:val="NormalCharacter"/>
    <w:autoRedefine/>
    <w:qFormat/>
    <w:uiPriority w:val="0"/>
  </w:style>
  <w:style w:type="character" w:customStyle="1" w:styleId="14">
    <w:name w:val="标题 2 字符"/>
    <w:basedOn w:val="9"/>
    <w:link w:val="2"/>
    <w:qFormat/>
    <w:uiPriority w:val="9"/>
    <w:rPr>
      <w:rFonts w:ascii="宋体" w:hAnsi="Arial" w:eastAsia="宋体" w:cs="Times New Roman"/>
      <w:spacing w:val="20"/>
      <w:kern w:val="0"/>
      <w:sz w:val="28"/>
      <w:szCs w:val="20"/>
    </w:rPr>
  </w:style>
  <w:style w:type="character" w:customStyle="1" w:styleId="15">
    <w:name w:val="列表段落 字符"/>
    <w:link w:val="16"/>
    <w:autoRedefine/>
    <w:qFormat/>
    <w:uiPriority w:val="99"/>
    <w:rPr>
      <w:shd w:val="clear" w:color="auto" w:fill="FFFFFF"/>
    </w:rPr>
  </w:style>
  <w:style w:type="paragraph" w:styleId="16">
    <w:name w:val="List Paragraph"/>
    <w:basedOn w:val="1"/>
    <w:link w:val="15"/>
    <w:autoRedefine/>
    <w:qFormat/>
    <w:uiPriority w:val="99"/>
    <w:pPr>
      <w:widowControl/>
      <w:numPr>
        <w:ilvl w:val="0"/>
        <w:numId w:val="2"/>
      </w:numPr>
      <w:shd w:val="clear" w:color="auto" w:fill="FFFFFF"/>
      <w:snapToGrid w:val="0"/>
      <w:spacing w:line="360" w:lineRule="auto"/>
      <w:jc w:val="left"/>
      <w:textAlignment w:val="baseline"/>
    </w:pPr>
  </w:style>
  <w:style w:type="character" w:customStyle="1" w:styleId="17">
    <w:name w:val="批注文字 字符"/>
    <w:basedOn w:val="9"/>
    <w:link w:val="3"/>
    <w:qFormat/>
    <w:uiPriority w:val="99"/>
  </w:style>
  <w:style w:type="character" w:customStyle="1" w:styleId="18">
    <w:name w:val="批注主题 字符"/>
    <w:basedOn w:val="17"/>
    <w:link w:val="6"/>
    <w:semiHidden/>
    <w:qFormat/>
    <w:uiPriority w:val="99"/>
    <w:rPr>
      <w:b/>
      <w:bCs/>
    </w:rPr>
  </w:style>
  <w:style w:type="paragraph" w:customStyle="1" w:styleId="19">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3949</Words>
  <Characters>4141</Characters>
  <Lines>30</Lines>
  <Paragraphs>8</Paragraphs>
  <TotalTime>1087</TotalTime>
  <ScaleCrop>false</ScaleCrop>
  <LinksUpToDate>false</LinksUpToDate>
  <CharactersWithSpaces>4157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2025-03-11T01:29:19Z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03415501CBA34141A1E6AE657B2A09B5_13</vt:lpwstr>
  </property>
  <property fmtid="{D5CDD505-2E9C-101B-9397-08002B2CF9AE}" pid="4" name="KSOTemplateDocerSaveRecord">
    <vt:lpwstr>eyJoZGlkIjoiMzIxZTgyY2JkM2I0Mjg0YjUxYTU5NDc3NWYyMjg5OTYiLCJ1c2VySWQiOiIzMzEyOTUzMDYifQ==</vt:lpwstr>
  </property>
</Properties>
</file>