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D18E01">
      <w:pPr>
        <w:rPr>
          <w:rFonts w:ascii="宋体" w:hAnsi="宋体"/>
          <w:b/>
          <w:sz w:val="24"/>
          <w:szCs w:val="24"/>
        </w:rPr>
      </w:pPr>
      <w:r>
        <w:rPr>
          <w:rFonts w:hint="eastAsia" w:ascii="宋体" w:hAnsi="宋体"/>
          <w:b/>
          <w:sz w:val="24"/>
          <w:szCs w:val="24"/>
        </w:rPr>
        <w:t>一、设备技术参数需求</w:t>
      </w:r>
    </w:p>
    <w:p w14:paraId="51816EB1">
      <w:pPr>
        <w:rPr>
          <w:rFonts w:ascii="宋体" w:hAnsi="宋体"/>
          <w:b/>
          <w:sz w:val="24"/>
          <w:szCs w:val="24"/>
        </w:rPr>
      </w:pPr>
      <w:bookmarkStart w:id="0" w:name="_GoBack"/>
      <w:bookmarkEnd w:id="0"/>
    </w:p>
    <w:p w14:paraId="486C20FE">
      <w:pPr>
        <w:spacing w:line="360" w:lineRule="auto"/>
        <w:rPr>
          <w:rFonts w:ascii="宋体" w:hAnsi="宋体" w:cs="Arial"/>
          <w:kern w:val="0"/>
          <w:sz w:val="24"/>
          <w:szCs w:val="24"/>
        </w:rPr>
      </w:pPr>
      <w:r>
        <w:rPr>
          <w:rFonts w:hint="eastAsia" w:ascii="宋体" w:hAnsi="宋体" w:cs="Arial"/>
          <w:kern w:val="0"/>
          <w:sz w:val="24"/>
          <w:szCs w:val="24"/>
        </w:rPr>
        <w:t>（一）技术参数要求</w:t>
      </w:r>
    </w:p>
    <w:p w14:paraId="23B2FF99">
      <w:pPr>
        <w:numPr>
          <w:ilvl w:val="0"/>
          <w:numId w:val="1"/>
        </w:numPr>
        <w:spacing w:line="360" w:lineRule="auto"/>
        <w:rPr>
          <w:rFonts w:ascii="宋体" w:hAnsi="宋体" w:cs="Arial"/>
          <w:kern w:val="0"/>
          <w:sz w:val="24"/>
          <w:szCs w:val="24"/>
        </w:rPr>
      </w:pPr>
      <w:r>
        <w:rPr>
          <w:rFonts w:hint="eastAsia" w:ascii="宋体" w:hAnsi="宋体" w:cs="Arial"/>
          <w:kern w:val="0"/>
          <w:sz w:val="24"/>
          <w:szCs w:val="24"/>
        </w:rPr>
        <w:t>一体化医疗系统主机</w:t>
      </w:r>
    </w:p>
    <w:p w14:paraId="5F12576A">
      <w:pPr>
        <w:numPr>
          <w:ilvl w:val="1"/>
          <w:numId w:val="1"/>
        </w:numPr>
        <w:spacing w:line="360" w:lineRule="auto"/>
        <w:rPr>
          <w:rFonts w:hint="eastAsia" w:ascii="宋体" w:hAnsi="宋体" w:cs="Arial"/>
          <w:kern w:val="0"/>
          <w:sz w:val="24"/>
          <w:szCs w:val="24"/>
        </w:rPr>
      </w:pPr>
      <w:r>
        <w:rPr>
          <w:rFonts w:hint="eastAsia" w:ascii="宋体" w:hAnsi="宋体" w:cs="Arial"/>
          <w:kern w:val="0"/>
          <w:sz w:val="24"/>
          <w:szCs w:val="24"/>
        </w:rPr>
        <w:t>≥21.5英寸医用一体机，通过医疗级别电气认证-《医用电气设备安全标准-IEC60601-1》；</w:t>
      </w:r>
    </w:p>
    <w:p w14:paraId="53FAD380">
      <w:pPr>
        <w:numPr>
          <w:ilvl w:val="1"/>
          <w:numId w:val="1"/>
        </w:numPr>
        <w:spacing w:line="360" w:lineRule="auto"/>
        <w:rPr>
          <w:rFonts w:hint="eastAsia" w:ascii="宋体" w:hAnsi="宋体" w:cs="Arial"/>
          <w:kern w:val="0"/>
          <w:sz w:val="24"/>
          <w:szCs w:val="24"/>
        </w:rPr>
      </w:pPr>
      <w:r>
        <w:rPr>
          <w:rFonts w:hint="eastAsia" w:ascii="宋体" w:hAnsi="宋体" w:cs="Arial"/>
          <w:kern w:val="0"/>
          <w:sz w:val="24"/>
          <w:szCs w:val="24"/>
        </w:rPr>
        <w:t>原生触摸屏(非外挂)，触摸屏有独立的物理开关按钮；</w:t>
      </w:r>
    </w:p>
    <w:p w14:paraId="10DC0858">
      <w:pPr>
        <w:numPr>
          <w:ilvl w:val="1"/>
          <w:numId w:val="1"/>
        </w:numPr>
        <w:spacing w:line="360" w:lineRule="auto"/>
        <w:rPr>
          <w:rFonts w:hint="eastAsia" w:ascii="宋体" w:hAnsi="宋体" w:cs="Arial"/>
          <w:kern w:val="0"/>
          <w:sz w:val="24"/>
          <w:szCs w:val="24"/>
        </w:rPr>
      </w:pPr>
      <w:r>
        <w:rPr>
          <w:rFonts w:hint="eastAsia" w:ascii="宋体" w:hAnsi="宋体" w:cs="Arial"/>
          <w:kern w:val="0"/>
          <w:sz w:val="24"/>
          <w:szCs w:val="24"/>
        </w:rPr>
        <w:t>10/100以太网网络支持，Windows操作系统，至少4G内存、i5处理器及500GB硬盘；</w:t>
      </w:r>
    </w:p>
    <w:p w14:paraId="6BB26FF2">
      <w:pPr>
        <w:numPr>
          <w:ilvl w:val="0"/>
          <w:numId w:val="1"/>
        </w:numPr>
        <w:spacing w:line="360" w:lineRule="auto"/>
        <w:rPr>
          <w:rFonts w:ascii="宋体" w:hAnsi="宋体" w:cs="Arial"/>
          <w:kern w:val="0"/>
          <w:sz w:val="24"/>
          <w:szCs w:val="24"/>
        </w:rPr>
      </w:pPr>
      <w:r>
        <w:rPr>
          <w:rFonts w:hint="eastAsia" w:ascii="宋体" w:hAnsi="宋体" w:cs="Arial"/>
          <w:kern w:val="0"/>
          <w:sz w:val="24"/>
          <w:szCs w:val="24"/>
        </w:rPr>
        <w:t>放大器</w:t>
      </w:r>
    </w:p>
    <w:p w14:paraId="323216E0">
      <w:pPr>
        <w:numPr>
          <w:ilvl w:val="1"/>
          <w:numId w:val="1"/>
        </w:numPr>
        <w:spacing w:line="360" w:lineRule="auto"/>
        <w:rPr>
          <w:rFonts w:hint="eastAsia" w:ascii="宋体" w:hAnsi="宋体" w:cs="Arial"/>
          <w:kern w:val="0"/>
          <w:sz w:val="24"/>
          <w:szCs w:val="24"/>
        </w:rPr>
      </w:pPr>
      <w:r>
        <w:rPr>
          <w:rFonts w:hint="eastAsia" w:ascii="宋体" w:hAnsi="宋体" w:cs="Arial"/>
          <w:kern w:val="0"/>
          <w:sz w:val="24"/>
          <w:szCs w:val="24"/>
        </w:rPr>
        <w:t>放大器一体化设计，通道数≥32通道，放大器面板上至少具有9对带正负极标志(≥18孔)的双极导联物理插口；</w:t>
      </w:r>
    </w:p>
    <w:p w14:paraId="41BD8871">
      <w:pPr>
        <w:numPr>
          <w:ilvl w:val="1"/>
          <w:numId w:val="1"/>
        </w:numPr>
        <w:spacing w:line="360" w:lineRule="auto"/>
        <w:rPr>
          <w:rFonts w:hint="eastAsia" w:ascii="宋体" w:hAnsi="宋体" w:cs="Arial"/>
          <w:kern w:val="0"/>
          <w:sz w:val="24"/>
          <w:szCs w:val="24"/>
        </w:rPr>
      </w:pPr>
      <w:r>
        <w:rPr>
          <w:rFonts w:hint="eastAsia" w:ascii="宋体" w:hAnsi="宋体" w:cs="Arial"/>
          <w:kern w:val="0"/>
          <w:sz w:val="24"/>
          <w:szCs w:val="24"/>
        </w:rPr>
        <w:t>放大器使用专业医疗级电源适配器独立供电，使用网线与主机连接，可远距离使用；</w:t>
      </w:r>
    </w:p>
    <w:p w14:paraId="00198F75">
      <w:pPr>
        <w:numPr>
          <w:ilvl w:val="1"/>
          <w:numId w:val="1"/>
        </w:numPr>
        <w:spacing w:line="360" w:lineRule="auto"/>
        <w:rPr>
          <w:rFonts w:hint="eastAsia" w:ascii="宋体" w:hAnsi="宋体" w:cs="Arial"/>
          <w:kern w:val="0"/>
          <w:sz w:val="24"/>
          <w:szCs w:val="24"/>
        </w:rPr>
      </w:pPr>
      <w:r>
        <w:rPr>
          <w:rFonts w:hint="eastAsia" w:ascii="宋体" w:hAnsi="宋体" w:cs="Arial"/>
          <w:kern w:val="0"/>
          <w:sz w:val="24"/>
          <w:szCs w:val="24"/>
        </w:rPr>
        <w:t>▲放大器上具有阻抗检测灯直接单独显示，面板上显示2KΩ、5KΩ、10KΩ、20KΩ、50KΩ以便使用时直接观察；（须提供放大器阻抗显示灯的整体实拍图片证明）</w:t>
      </w:r>
    </w:p>
    <w:p w14:paraId="739DCBAE">
      <w:pPr>
        <w:numPr>
          <w:ilvl w:val="1"/>
          <w:numId w:val="1"/>
        </w:numPr>
        <w:spacing w:line="360" w:lineRule="auto"/>
        <w:rPr>
          <w:rFonts w:hint="eastAsia" w:ascii="宋体" w:hAnsi="宋体" w:cs="Arial"/>
          <w:kern w:val="0"/>
          <w:sz w:val="24"/>
          <w:szCs w:val="24"/>
        </w:rPr>
      </w:pPr>
      <w:r>
        <w:rPr>
          <w:rFonts w:hint="eastAsia" w:ascii="宋体" w:hAnsi="宋体" w:cs="Arial"/>
          <w:kern w:val="0"/>
          <w:sz w:val="24"/>
          <w:szCs w:val="24"/>
        </w:rPr>
        <w:t>放大器具有≥2个独立专用的参考通道(REF)插口，不占用脑电通道插口；</w:t>
      </w:r>
    </w:p>
    <w:p w14:paraId="410D4BF2">
      <w:pPr>
        <w:numPr>
          <w:ilvl w:val="1"/>
          <w:numId w:val="1"/>
        </w:numPr>
        <w:spacing w:line="360" w:lineRule="auto"/>
        <w:rPr>
          <w:rFonts w:hint="eastAsia" w:ascii="宋体" w:hAnsi="宋体" w:cs="Arial"/>
          <w:kern w:val="0"/>
          <w:sz w:val="24"/>
          <w:szCs w:val="24"/>
        </w:rPr>
      </w:pPr>
      <w:r>
        <w:rPr>
          <w:rFonts w:hint="eastAsia" w:ascii="宋体" w:hAnsi="宋体" w:cs="Arial"/>
          <w:kern w:val="0"/>
          <w:sz w:val="24"/>
          <w:szCs w:val="24"/>
        </w:rPr>
        <w:t>放大器面板在暗环境中具有夜微光功能；</w:t>
      </w:r>
    </w:p>
    <w:p w14:paraId="17791AC4">
      <w:pPr>
        <w:numPr>
          <w:ilvl w:val="1"/>
          <w:numId w:val="1"/>
        </w:numPr>
        <w:spacing w:line="360" w:lineRule="auto"/>
        <w:rPr>
          <w:rFonts w:hint="eastAsia" w:ascii="宋体" w:hAnsi="宋体" w:cs="Arial"/>
          <w:kern w:val="0"/>
          <w:sz w:val="24"/>
          <w:szCs w:val="24"/>
        </w:rPr>
      </w:pPr>
      <w:r>
        <w:rPr>
          <w:rFonts w:hint="eastAsia" w:ascii="宋体" w:hAnsi="宋体" w:cs="Arial"/>
          <w:kern w:val="0"/>
          <w:sz w:val="24"/>
          <w:szCs w:val="24"/>
        </w:rPr>
        <w:t>模/数转换分辨率≥0.15µV；</w:t>
      </w:r>
    </w:p>
    <w:p w14:paraId="4AE78D46">
      <w:pPr>
        <w:numPr>
          <w:ilvl w:val="1"/>
          <w:numId w:val="1"/>
        </w:numPr>
        <w:spacing w:line="360" w:lineRule="auto"/>
        <w:rPr>
          <w:rFonts w:hint="eastAsia" w:ascii="宋体" w:hAnsi="宋体" w:cs="Arial"/>
          <w:kern w:val="0"/>
          <w:sz w:val="24"/>
          <w:szCs w:val="24"/>
        </w:rPr>
      </w:pPr>
      <w:r>
        <w:rPr>
          <w:rFonts w:hint="eastAsia" w:ascii="宋体" w:hAnsi="宋体" w:cs="Arial"/>
          <w:kern w:val="0"/>
          <w:sz w:val="24"/>
          <w:szCs w:val="24"/>
        </w:rPr>
        <w:t>▲带宽（幅频）：</w:t>
      </w:r>
      <w:r>
        <w:rPr>
          <w:rFonts w:ascii="宋体" w:hAnsi="宋体" w:cs="Arial"/>
          <w:kern w:val="0"/>
          <w:sz w:val="24"/>
          <w:szCs w:val="24"/>
        </w:rPr>
        <w:t>0.06–500 Hz</w:t>
      </w:r>
      <w:r>
        <w:rPr>
          <w:rFonts w:hint="eastAsia" w:ascii="宋体" w:hAnsi="宋体" w:cs="Arial"/>
          <w:kern w:val="0"/>
          <w:sz w:val="24"/>
          <w:szCs w:val="24"/>
        </w:rPr>
        <w:t>；</w:t>
      </w:r>
    </w:p>
    <w:p w14:paraId="251DEF2E">
      <w:pPr>
        <w:numPr>
          <w:ilvl w:val="1"/>
          <w:numId w:val="1"/>
        </w:numPr>
        <w:spacing w:line="360" w:lineRule="auto"/>
        <w:rPr>
          <w:rFonts w:hint="eastAsia" w:ascii="宋体" w:hAnsi="宋体" w:cs="Arial"/>
          <w:kern w:val="0"/>
          <w:sz w:val="24"/>
          <w:szCs w:val="24"/>
        </w:rPr>
      </w:pPr>
      <w:r>
        <w:rPr>
          <w:rFonts w:hint="eastAsia" w:ascii="宋体" w:hAnsi="宋体" w:cs="Arial"/>
          <w:kern w:val="0"/>
          <w:sz w:val="24"/>
          <w:szCs w:val="24"/>
        </w:rPr>
        <w:t xml:space="preserve">共模抑制比＞115 dB； </w:t>
      </w:r>
    </w:p>
    <w:p w14:paraId="78EE0B9C">
      <w:pPr>
        <w:numPr>
          <w:ilvl w:val="1"/>
          <w:numId w:val="1"/>
        </w:numPr>
        <w:spacing w:line="360" w:lineRule="auto"/>
        <w:rPr>
          <w:rFonts w:ascii="宋体" w:hAnsi="宋体" w:cs="Arial"/>
          <w:kern w:val="0"/>
          <w:sz w:val="24"/>
          <w:szCs w:val="24"/>
        </w:rPr>
      </w:pPr>
      <w:r>
        <w:rPr>
          <w:rFonts w:hint="eastAsia" w:ascii="宋体" w:hAnsi="宋体" w:cs="Arial"/>
          <w:kern w:val="0"/>
          <w:sz w:val="24"/>
          <w:szCs w:val="24"/>
        </w:rPr>
        <w:t>放大器硬件采样率≥2000Hz；</w:t>
      </w:r>
    </w:p>
    <w:p w14:paraId="3F36F084">
      <w:pPr>
        <w:numPr>
          <w:ilvl w:val="1"/>
          <w:numId w:val="1"/>
        </w:numPr>
        <w:spacing w:line="360" w:lineRule="auto"/>
        <w:rPr>
          <w:rFonts w:hint="eastAsia" w:ascii="宋体" w:hAnsi="宋体" w:cs="Arial"/>
          <w:kern w:val="0"/>
          <w:sz w:val="24"/>
          <w:szCs w:val="24"/>
        </w:rPr>
      </w:pPr>
      <w:r>
        <w:rPr>
          <w:rFonts w:hint="eastAsia" w:ascii="宋体" w:hAnsi="宋体" w:cs="Arial"/>
          <w:kern w:val="0"/>
          <w:sz w:val="24"/>
          <w:szCs w:val="24"/>
        </w:rPr>
        <w:t>▲软件采样率每通道可单独设置，且最高可设置为≥2000Hz；</w:t>
      </w:r>
    </w:p>
    <w:p w14:paraId="266D1A09">
      <w:pPr>
        <w:numPr>
          <w:ilvl w:val="1"/>
          <w:numId w:val="1"/>
        </w:numPr>
        <w:spacing w:line="360" w:lineRule="auto"/>
        <w:rPr>
          <w:rFonts w:hint="eastAsia" w:ascii="宋体" w:hAnsi="宋体" w:cs="Arial"/>
          <w:kern w:val="0"/>
          <w:sz w:val="24"/>
          <w:szCs w:val="24"/>
        </w:rPr>
      </w:pPr>
      <w:r>
        <w:rPr>
          <w:rFonts w:hint="eastAsia" w:ascii="宋体" w:hAnsi="宋体" w:cs="Arial"/>
          <w:kern w:val="0"/>
          <w:sz w:val="24"/>
          <w:szCs w:val="24"/>
        </w:rPr>
        <w:t>高频滤波：关闭，10、15、20、25、30、35、40、50、60、70、100、150、200、300、500、1000、1500Hz；</w:t>
      </w:r>
    </w:p>
    <w:p w14:paraId="5954579C">
      <w:pPr>
        <w:numPr>
          <w:ilvl w:val="1"/>
          <w:numId w:val="1"/>
        </w:numPr>
        <w:spacing w:line="360" w:lineRule="auto"/>
        <w:rPr>
          <w:rFonts w:hint="eastAsia" w:ascii="宋体" w:hAnsi="宋体" w:cs="Arial"/>
          <w:kern w:val="0"/>
          <w:sz w:val="24"/>
          <w:szCs w:val="24"/>
        </w:rPr>
      </w:pPr>
      <w:r>
        <w:rPr>
          <w:rFonts w:hint="eastAsia" w:ascii="宋体" w:hAnsi="宋体" w:cs="Arial"/>
          <w:kern w:val="0"/>
          <w:sz w:val="24"/>
          <w:szCs w:val="24"/>
        </w:rPr>
        <w:t>低频滤波：关闭， 0.01、0.016、0.16、0.3、0.5、1、1.6、2、3、5Hz；</w:t>
      </w:r>
    </w:p>
    <w:p w14:paraId="08FA57E8">
      <w:pPr>
        <w:numPr>
          <w:ilvl w:val="1"/>
          <w:numId w:val="1"/>
        </w:numPr>
        <w:spacing w:line="360" w:lineRule="auto"/>
        <w:rPr>
          <w:rFonts w:hint="eastAsia" w:ascii="宋体" w:hAnsi="宋体" w:cs="Arial"/>
          <w:kern w:val="0"/>
          <w:sz w:val="24"/>
          <w:szCs w:val="24"/>
        </w:rPr>
      </w:pPr>
      <w:r>
        <w:rPr>
          <w:rFonts w:hint="eastAsia" w:ascii="宋体" w:hAnsi="宋体" w:cs="Arial"/>
          <w:kern w:val="0"/>
          <w:sz w:val="24"/>
          <w:szCs w:val="24"/>
        </w:rPr>
        <w:t>脑电图(EEG)的显示灵敏度范围，最低≤1μ</w:t>
      </w:r>
      <w:r>
        <w:rPr>
          <w:rFonts w:ascii="宋体" w:hAnsi="宋体" w:cs="Arial"/>
          <w:kern w:val="0"/>
          <w:sz w:val="24"/>
          <w:szCs w:val="24"/>
        </w:rPr>
        <w:t>V/mm</w:t>
      </w:r>
      <w:r>
        <w:rPr>
          <w:rFonts w:hint="eastAsia" w:ascii="宋体" w:hAnsi="宋体" w:cs="Arial"/>
          <w:kern w:val="0"/>
          <w:sz w:val="24"/>
          <w:szCs w:val="24"/>
        </w:rPr>
        <w:t>，最高≥500μV/mm；</w:t>
      </w:r>
    </w:p>
    <w:p w14:paraId="598BE59D">
      <w:pPr>
        <w:numPr>
          <w:ilvl w:val="1"/>
          <w:numId w:val="1"/>
        </w:numPr>
        <w:spacing w:line="360" w:lineRule="auto"/>
        <w:rPr>
          <w:rFonts w:ascii="宋体" w:hAnsi="宋体" w:cs="Arial"/>
          <w:kern w:val="0"/>
          <w:sz w:val="24"/>
          <w:szCs w:val="24"/>
        </w:rPr>
      </w:pPr>
      <w:r>
        <w:rPr>
          <w:rFonts w:hint="eastAsia" w:ascii="宋体" w:hAnsi="宋体" w:cs="Arial"/>
          <w:kern w:val="0"/>
          <w:sz w:val="24"/>
          <w:szCs w:val="24"/>
        </w:rPr>
        <w:t>走纸速度：≥1000秒/屏。</w:t>
      </w:r>
    </w:p>
    <w:p w14:paraId="72EC024C">
      <w:pPr>
        <w:numPr>
          <w:ilvl w:val="0"/>
          <w:numId w:val="1"/>
        </w:numPr>
        <w:spacing w:line="360" w:lineRule="auto"/>
        <w:rPr>
          <w:rFonts w:ascii="宋体" w:hAnsi="宋体" w:cs="Arial"/>
          <w:kern w:val="0"/>
          <w:sz w:val="24"/>
          <w:szCs w:val="24"/>
        </w:rPr>
      </w:pPr>
      <w:r>
        <w:rPr>
          <w:rFonts w:hint="eastAsia" w:ascii="宋体" w:hAnsi="宋体" w:cs="Arial"/>
          <w:kern w:val="0"/>
          <w:sz w:val="24"/>
          <w:szCs w:val="24"/>
        </w:rPr>
        <w:t>脑电监护软件参数</w:t>
      </w:r>
    </w:p>
    <w:p w14:paraId="7F1637B5">
      <w:pPr>
        <w:numPr>
          <w:ilvl w:val="1"/>
          <w:numId w:val="1"/>
        </w:numPr>
        <w:spacing w:line="360" w:lineRule="auto"/>
        <w:rPr>
          <w:rFonts w:hint="eastAsia" w:ascii="宋体" w:hAnsi="宋体" w:cs="Arial"/>
          <w:kern w:val="0"/>
          <w:sz w:val="24"/>
          <w:szCs w:val="24"/>
        </w:rPr>
      </w:pPr>
      <w:r>
        <w:rPr>
          <w:rFonts w:hint="eastAsia" w:ascii="宋体" w:hAnsi="宋体" w:cs="Arial"/>
          <w:kern w:val="0"/>
          <w:sz w:val="24"/>
          <w:szCs w:val="24"/>
        </w:rPr>
        <w:t>蒙太奇导联编排≥40组；</w:t>
      </w:r>
    </w:p>
    <w:p w14:paraId="5E592FB7">
      <w:pPr>
        <w:numPr>
          <w:ilvl w:val="1"/>
          <w:numId w:val="1"/>
        </w:numPr>
        <w:spacing w:line="360" w:lineRule="auto"/>
        <w:rPr>
          <w:rFonts w:hint="eastAsia" w:ascii="宋体" w:hAnsi="宋体" w:cs="Arial"/>
          <w:kern w:val="0"/>
          <w:sz w:val="24"/>
          <w:szCs w:val="24"/>
        </w:rPr>
      </w:pPr>
      <w:r>
        <w:rPr>
          <w:rFonts w:hint="eastAsia" w:ascii="宋体" w:hAnsi="宋体" w:cs="Arial"/>
          <w:kern w:val="0"/>
          <w:sz w:val="24"/>
          <w:szCs w:val="24"/>
        </w:rPr>
        <w:t>全中文脑电软件系统,包括EEG采集及二级、三级设置界面等均为中文操作界面；</w:t>
      </w:r>
    </w:p>
    <w:p w14:paraId="74657818">
      <w:pPr>
        <w:numPr>
          <w:ilvl w:val="1"/>
          <w:numId w:val="1"/>
        </w:numPr>
        <w:spacing w:line="360" w:lineRule="auto"/>
        <w:rPr>
          <w:rFonts w:hint="eastAsia" w:ascii="宋体" w:hAnsi="宋体" w:cs="Arial"/>
          <w:kern w:val="0"/>
          <w:sz w:val="24"/>
          <w:szCs w:val="24"/>
        </w:rPr>
      </w:pPr>
      <w:r>
        <w:rPr>
          <w:rFonts w:hint="eastAsia" w:ascii="宋体" w:hAnsi="宋体" w:cs="Arial"/>
          <w:kern w:val="0"/>
          <w:sz w:val="24"/>
          <w:szCs w:val="24"/>
        </w:rPr>
        <w:t>报警功能，医生可自行设置各种报警条件，如：声音、图示、运行指定程序等；</w:t>
      </w:r>
    </w:p>
    <w:p w14:paraId="045D5207">
      <w:pPr>
        <w:numPr>
          <w:ilvl w:val="1"/>
          <w:numId w:val="1"/>
        </w:numPr>
        <w:spacing w:line="360" w:lineRule="auto"/>
        <w:rPr>
          <w:rFonts w:hint="eastAsia" w:ascii="宋体" w:hAnsi="宋体" w:cs="Arial"/>
          <w:kern w:val="0"/>
          <w:sz w:val="24"/>
          <w:szCs w:val="24"/>
        </w:rPr>
      </w:pPr>
      <w:r>
        <w:rPr>
          <w:rFonts w:hint="eastAsia" w:ascii="宋体" w:hAnsi="宋体" w:cs="Arial"/>
          <w:kern w:val="0"/>
          <w:sz w:val="24"/>
          <w:szCs w:val="24"/>
        </w:rPr>
        <w:t>生物电信号监测：心电、肌电、眼电、腿动等</w:t>
      </w:r>
    </w:p>
    <w:p w14:paraId="0B8DD42E">
      <w:pPr>
        <w:numPr>
          <w:ilvl w:val="1"/>
          <w:numId w:val="1"/>
        </w:numPr>
        <w:spacing w:line="360" w:lineRule="auto"/>
        <w:rPr>
          <w:rFonts w:hint="eastAsia" w:ascii="宋体" w:hAnsi="宋体" w:cs="Arial"/>
          <w:kern w:val="0"/>
          <w:sz w:val="24"/>
          <w:szCs w:val="24"/>
        </w:rPr>
      </w:pPr>
      <w:r>
        <w:rPr>
          <w:rFonts w:hint="eastAsia" w:ascii="宋体" w:hAnsi="宋体" w:cs="Arial"/>
          <w:kern w:val="0"/>
          <w:sz w:val="24"/>
          <w:szCs w:val="24"/>
        </w:rPr>
        <w:t>爆发-抑制（Bursts、Suppr、IBI）：以鲜艳、醒目的大字体数字，在显示屏左上角实时显示数值，便于临床医护人员观察和及时发现异常；可设置显示方式≥3种；</w:t>
      </w:r>
    </w:p>
    <w:p w14:paraId="38665B69">
      <w:pPr>
        <w:numPr>
          <w:ilvl w:val="1"/>
          <w:numId w:val="1"/>
        </w:numPr>
        <w:spacing w:line="360" w:lineRule="auto"/>
        <w:rPr>
          <w:rFonts w:hint="eastAsia" w:ascii="宋体" w:hAnsi="宋体" w:cs="Arial"/>
          <w:kern w:val="0"/>
          <w:sz w:val="24"/>
          <w:szCs w:val="24"/>
        </w:rPr>
      </w:pPr>
      <w:r>
        <w:rPr>
          <w:rFonts w:hint="eastAsia" w:ascii="宋体" w:hAnsi="宋体" w:cs="Arial"/>
          <w:kern w:val="0"/>
          <w:sz w:val="24"/>
          <w:szCs w:val="24"/>
        </w:rPr>
        <w:t>定量脑功能分析：α变异（Alpha Variability）、振幅整合趋势图（aEEG）、总功率趋势图（Total Power）、包络趋势图（Envelop）、光谱图（Spectrogram）、绝对频带能量图(Absolute Band Power)、频谱边界（Spectral Edge）、光谱熵指数（Spectral Entropy）、相对频带能量图（Relative band power）9种常用趋势图在内的十余种趋势图, 各种趋势图可任意组合显示；</w:t>
      </w:r>
    </w:p>
    <w:p w14:paraId="4572B63C">
      <w:pPr>
        <w:numPr>
          <w:ilvl w:val="1"/>
          <w:numId w:val="1"/>
        </w:numPr>
        <w:spacing w:line="360" w:lineRule="auto"/>
        <w:rPr>
          <w:rFonts w:hint="eastAsia" w:ascii="宋体" w:hAnsi="宋体" w:cs="Arial"/>
          <w:kern w:val="0"/>
          <w:sz w:val="24"/>
          <w:szCs w:val="24"/>
        </w:rPr>
      </w:pPr>
      <w:r>
        <w:rPr>
          <w:rFonts w:hint="eastAsia" w:ascii="宋体" w:hAnsi="宋体" w:cs="Arial"/>
          <w:kern w:val="0"/>
          <w:sz w:val="24"/>
          <w:szCs w:val="24"/>
        </w:rPr>
        <w:t>▲具备40组以上的成套协议组合设定功能，即可根据不同临床病种的需求，自定义并保存包含导联排列、趋势图显示、放大器通道等配置。（提供软件截图）</w:t>
      </w:r>
    </w:p>
    <w:p w14:paraId="03DDDD5C">
      <w:pPr>
        <w:numPr>
          <w:ilvl w:val="1"/>
          <w:numId w:val="1"/>
        </w:numPr>
        <w:spacing w:line="360" w:lineRule="auto"/>
        <w:rPr>
          <w:rFonts w:hint="eastAsia" w:ascii="宋体" w:hAnsi="宋体" w:cs="Arial"/>
          <w:kern w:val="0"/>
          <w:sz w:val="24"/>
          <w:szCs w:val="24"/>
        </w:rPr>
      </w:pPr>
      <w:r>
        <w:rPr>
          <w:rFonts w:hint="eastAsia" w:ascii="宋体" w:hAnsi="宋体" w:cs="Arial"/>
          <w:kern w:val="0"/>
          <w:sz w:val="24"/>
          <w:szCs w:val="24"/>
        </w:rPr>
        <w:t>供电中断恢复功能：供电突然中断，机器重新供电后，系统自动重启并进入采集界面，将重新开始的脑电图信号记录到断电前的同一个病人名下；</w:t>
      </w:r>
    </w:p>
    <w:p w14:paraId="201DA3BF">
      <w:pPr>
        <w:numPr>
          <w:ilvl w:val="1"/>
          <w:numId w:val="1"/>
        </w:numPr>
        <w:spacing w:line="360" w:lineRule="auto"/>
        <w:rPr>
          <w:rFonts w:ascii="宋体" w:hAnsi="宋体" w:cs="Arial"/>
          <w:kern w:val="0"/>
          <w:sz w:val="24"/>
          <w:szCs w:val="24"/>
        </w:rPr>
      </w:pPr>
      <w:r>
        <w:rPr>
          <w:rFonts w:hint="eastAsia" w:ascii="宋体" w:hAnsi="宋体" w:cs="Arial"/>
          <w:kern w:val="0"/>
          <w:sz w:val="24"/>
          <w:szCs w:val="24"/>
        </w:rPr>
        <w:t>同步视频摄像系统，在分析时视频图像随时可点击，把视频图像局部放大。</w:t>
      </w:r>
    </w:p>
    <w:p w14:paraId="6C8ECD33">
      <w:pPr>
        <w:numPr>
          <w:ilvl w:val="0"/>
          <w:numId w:val="1"/>
        </w:numPr>
        <w:spacing w:line="360" w:lineRule="auto"/>
        <w:rPr>
          <w:rFonts w:ascii="宋体" w:hAnsi="宋体" w:cs="Arial"/>
          <w:kern w:val="0"/>
          <w:sz w:val="24"/>
          <w:szCs w:val="24"/>
        </w:rPr>
      </w:pPr>
      <w:r>
        <w:rPr>
          <w:rFonts w:hint="eastAsia" w:ascii="宋体" w:hAnsi="宋体" w:cs="Arial"/>
          <w:kern w:val="0"/>
          <w:sz w:val="24"/>
          <w:szCs w:val="24"/>
        </w:rPr>
        <w:t>患者数据管理软件功能</w:t>
      </w:r>
    </w:p>
    <w:p w14:paraId="488570FA">
      <w:pPr>
        <w:numPr>
          <w:ilvl w:val="1"/>
          <w:numId w:val="1"/>
        </w:numPr>
        <w:spacing w:line="360" w:lineRule="auto"/>
        <w:rPr>
          <w:rFonts w:hint="eastAsia" w:ascii="宋体" w:hAnsi="宋体" w:cs="Arial"/>
          <w:kern w:val="0"/>
          <w:sz w:val="24"/>
          <w:szCs w:val="24"/>
        </w:rPr>
      </w:pPr>
      <w:r>
        <w:rPr>
          <w:rFonts w:hint="eastAsia" w:ascii="宋体" w:hAnsi="宋体" w:cs="Arial"/>
          <w:kern w:val="0"/>
          <w:sz w:val="24"/>
          <w:szCs w:val="24"/>
        </w:rPr>
        <w:t>中文患者数据管理系统，可将患者不同时间的所有脑电图资料及报告存储在该患者的同一文件夹下；</w:t>
      </w:r>
    </w:p>
    <w:p w14:paraId="13C2AEE7">
      <w:pPr>
        <w:numPr>
          <w:ilvl w:val="1"/>
          <w:numId w:val="1"/>
        </w:numPr>
        <w:spacing w:line="360" w:lineRule="auto"/>
        <w:rPr>
          <w:rFonts w:hint="eastAsia" w:ascii="宋体" w:hAnsi="宋体" w:cs="Arial"/>
          <w:kern w:val="0"/>
          <w:sz w:val="24"/>
          <w:szCs w:val="24"/>
        </w:rPr>
      </w:pPr>
      <w:r>
        <w:rPr>
          <w:rFonts w:hint="eastAsia" w:ascii="宋体" w:hAnsi="宋体" w:cs="Arial"/>
          <w:kern w:val="0"/>
          <w:sz w:val="24"/>
          <w:szCs w:val="24"/>
        </w:rPr>
        <w:t>具有记录文件的合拼功能，同一个患者的两个记录文件可自由全拼成为一个新的文件；</w:t>
      </w:r>
    </w:p>
    <w:p w14:paraId="0BE4DED2">
      <w:pPr>
        <w:numPr>
          <w:ilvl w:val="1"/>
          <w:numId w:val="1"/>
        </w:numPr>
        <w:spacing w:line="360" w:lineRule="auto"/>
        <w:rPr>
          <w:rFonts w:ascii="宋体" w:hAnsi="宋体" w:cs="Arial"/>
          <w:kern w:val="0"/>
          <w:sz w:val="24"/>
          <w:szCs w:val="24"/>
        </w:rPr>
      </w:pPr>
      <w:r>
        <w:rPr>
          <w:rFonts w:hint="eastAsia" w:ascii="宋体" w:hAnsi="宋体" w:cs="Arial"/>
          <w:kern w:val="0"/>
          <w:sz w:val="24"/>
          <w:szCs w:val="24"/>
        </w:rPr>
        <w:t>自带记录文件存档功能，存档后可自动显示文件存储的硬盘编号或光碟名称；</w:t>
      </w:r>
    </w:p>
    <w:p w14:paraId="31C88776">
      <w:pPr>
        <w:numPr>
          <w:ilvl w:val="0"/>
          <w:numId w:val="1"/>
        </w:numPr>
        <w:spacing w:line="360" w:lineRule="auto"/>
        <w:rPr>
          <w:rFonts w:ascii="宋体" w:hAnsi="宋体" w:cs="Arial"/>
          <w:kern w:val="0"/>
          <w:sz w:val="24"/>
          <w:szCs w:val="24"/>
        </w:rPr>
      </w:pPr>
      <w:r>
        <w:rPr>
          <w:rFonts w:hint="eastAsia" w:ascii="宋体" w:hAnsi="宋体" w:cs="Arial"/>
          <w:kern w:val="0"/>
          <w:sz w:val="24"/>
          <w:szCs w:val="24"/>
        </w:rPr>
        <w:t>配置要求</w:t>
      </w:r>
    </w:p>
    <w:tbl>
      <w:tblPr>
        <w:tblStyle w:val="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36"/>
        <w:gridCol w:w="5244"/>
        <w:gridCol w:w="1542"/>
      </w:tblGrid>
      <w:tr w14:paraId="729C14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noWrap w:val="0"/>
            <w:vAlign w:val="center"/>
          </w:tcPr>
          <w:p w14:paraId="260241A3">
            <w:pPr>
              <w:spacing w:line="360" w:lineRule="auto"/>
              <w:jc w:val="center"/>
              <w:rPr>
                <w:rFonts w:hint="eastAsia" w:ascii="宋体" w:hAnsi="宋体" w:cs="Arial"/>
                <w:kern w:val="0"/>
                <w:sz w:val="24"/>
                <w:szCs w:val="24"/>
              </w:rPr>
            </w:pPr>
            <w:r>
              <w:rPr>
                <w:rFonts w:hint="eastAsia" w:ascii="宋体" w:hAnsi="宋体"/>
                <w:sz w:val="24"/>
                <w:szCs w:val="24"/>
              </w:rPr>
              <w:t>序号</w:t>
            </w:r>
          </w:p>
        </w:tc>
        <w:tc>
          <w:tcPr>
            <w:tcW w:w="5529" w:type="dxa"/>
            <w:noWrap w:val="0"/>
            <w:vAlign w:val="center"/>
          </w:tcPr>
          <w:p w14:paraId="1FF80B5C">
            <w:pPr>
              <w:spacing w:line="360" w:lineRule="auto"/>
              <w:jc w:val="center"/>
              <w:rPr>
                <w:rFonts w:hint="eastAsia" w:ascii="宋体" w:hAnsi="宋体" w:cs="Arial"/>
                <w:kern w:val="0"/>
                <w:sz w:val="24"/>
                <w:szCs w:val="24"/>
              </w:rPr>
            </w:pPr>
            <w:r>
              <w:rPr>
                <w:rFonts w:hint="eastAsia" w:ascii="宋体" w:hAnsi="宋体"/>
                <w:sz w:val="24"/>
                <w:szCs w:val="24"/>
              </w:rPr>
              <w:t>货物名称</w:t>
            </w:r>
          </w:p>
        </w:tc>
        <w:tc>
          <w:tcPr>
            <w:tcW w:w="1609" w:type="dxa"/>
            <w:noWrap w:val="0"/>
            <w:vAlign w:val="center"/>
          </w:tcPr>
          <w:p w14:paraId="13C69665">
            <w:pPr>
              <w:spacing w:line="360" w:lineRule="auto"/>
              <w:jc w:val="center"/>
              <w:rPr>
                <w:rFonts w:hint="eastAsia" w:ascii="宋体" w:hAnsi="宋体" w:cs="Arial"/>
                <w:kern w:val="0"/>
                <w:sz w:val="24"/>
                <w:szCs w:val="24"/>
              </w:rPr>
            </w:pPr>
            <w:r>
              <w:rPr>
                <w:rFonts w:hint="eastAsia" w:ascii="宋体" w:hAnsi="宋体"/>
                <w:sz w:val="24"/>
                <w:szCs w:val="24"/>
              </w:rPr>
              <w:t>数量</w:t>
            </w:r>
          </w:p>
        </w:tc>
      </w:tr>
      <w:tr w14:paraId="3CCB90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noWrap w:val="0"/>
            <w:vAlign w:val="center"/>
          </w:tcPr>
          <w:p w14:paraId="5C1F9159">
            <w:pPr>
              <w:spacing w:line="360" w:lineRule="auto"/>
              <w:jc w:val="center"/>
              <w:rPr>
                <w:rFonts w:hint="eastAsia" w:ascii="宋体" w:hAnsi="宋体" w:cs="Arial"/>
                <w:kern w:val="0"/>
                <w:sz w:val="24"/>
                <w:szCs w:val="24"/>
              </w:rPr>
            </w:pPr>
            <w:r>
              <w:rPr>
                <w:rFonts w:hint="eastAsia" w:ascii="宋体" w:hAnsi="宋体"/>
                <w:sz w:val="24"/>
                <w:szCs w:val="24"/>
              </w:rPr>
              <w:t>1</w:t>
            </w:r>
          </w:p>
        </w:tc>
        <w:tc>
          <w:tcPr>
            <w:tcW w:w="5529" w:type="dxa"/>
            <w:noWrap w:val="0"/>
            <w:vAlign w:val="top"/>
          </w:tcPr>
          <w:p w14:paraId="5682874C">
            <w:pPr>
              <w:spacing w:line="360" w:lineRule="auto"/>
              <w:rPr>
                <w:rFonts w:hint="eastAsia" w:ascii="宋体" w:hAnsi="宋体" w:cs="Arial"/>
                <w:kern w:val="0"/>
                <w:sz w:val="24"/>
                <w:szCs w:val="24"/>
              </w:rPr>
            </w:pPr>
            <w:r>
              <w:rPr>
                <w:rFonts w:hint="eastAsia" w:ascii="宋体" w:hAnsi="宋体" w:cs="Arial"/>
                <w:kern w:val="0"/>
                <w:sz w:val="24"/>
                <w:szCs w:val="24"/>
              </w:rPr>
              <w:t>1.1.一体化医疗系统主机</w:t>
            </w:r>
            <w:r>
              <w:rPr>
                <w:rFonts w:ascii="宋体" w:hAnsi="宋体" w:cs="Arial"/>
                <w:kern w:val="0"/>
                <w:sz w:val="24"/>
                <w:szCs w:val="24"/>
              </w:rPr>
              <w:t xml:space="preserve"> </w:t>
            </w:r>
            <w:r>
              <w:rPr>
                <w:rFonts w:hint="eastAsia" w:ascii="宋体" w:hAnsi="宋体" w:cs="Arial"/>
                <w:kern w:val="0"/>
                <w:sz w:val="24"/>
                <w:szCs w:val="24"/>
              </w:rPr>
              <w:t xml:space="preserve">   1台</w:t>
            </w:r>
          </w:p>
          <w:p w14:paraId="6631E320">
            <w:pPr>
              <w:spacing w:line="360" w:lineRule="auto"/>
              <w:rPr>
                <w:rFonts w:ascii="宋体" w:hAnsi="宋体" w:cs="Arial"/>
                <w:kern w:val="0"/>
                <w:sz w:val="24"/>
                <w:szCs w:val="24"/>
              </w:rPr>
            </w:pPr>
            <w:r>
              <w:rPr>
                <w:rFonts w:hint="eastAsia" w:ascii="宋体" w:hAnsi="宋体" w:cs="Arial"/>
                <w:kern w:val="0"/>
                <w:sz w:val="24"/>
                <w:szCs w:val="24"/>
              </w:rPr>
              <w:t>1.2.</w:t>
            </w:r>
            <w:r>
              <w:rPr>
                <w:rFonts w:ascii="宋体" w:hAnsi="宋体" w:cs="Arial"/>
                <w:kern w:val="0"/>
                <w:sz w:val="24"/>
                <w:szCs w:val="24"/>
              </w:rPr>
              <w:t>键盘及鼠标</w:t>
            </w:r>
            <w:r>
              <w:rPr>
                <w:rFonts w:hint="eastAsia" w:ascii="宋体" w:hAnsi="宋体" w:cs="Arial"/>
                <w:kern w:val="0"/>
                <w:sz w:val="24"/>
                <w:szCs w:val="24"/>
              </w:rPr>
              <w:t xml:space="preserve">   一套</w:t>
            </w:r>
          </w:p>
          <w:p w14:paraId="7E9FAC15">
            <w:pPr>
              <w:spacing w:line="360" w:lineRule="auto"/>
              <w:rPr>
                <w:rFonts w:hint="eastAsia" w:ascii="宋体" w:hAnsi="宋体" w:cs="Arial"/>
                <w:kern w:val="0"/>
                <w:sz w:val="24"/>
                <w:szCs w:val="24"/>
                <w:highlight w:val="yellow"/>
              </w:rPr>
            </w:pPr>
            <w:r>
              <w:rPr>
                <w:rFonts w:hint="eastAsia" w:ascii="宋体" w:hAnsi="宋体" w:cs="Arial"/>
                <w:kern w:val="0"/>
                <w:sz w:val="24"/>
                <w:szCs w:val="24"/>
              </w:rPr>
              <w:t>1.3.</w:t>
            </w:r>
            <w:r>
              <w:rPr>
                <w:rFonts w:ascii="宋体" w:hAnsi="宋体" w:cs="Arial"/>
                <w:kern w:val="0"/>
                <w:sz w:val="24"/>
                <w:szCs w:val="24"/>
              </w:rPr>
              <w:t>视频摄像系统(含摄像头和固定支架)</w:t>
            </w:r>
            <w:r>
              <w:rPr>
                <w:rFonts w:hint="eastAsia" w:ascii="宋体" w:hAnsi="宋体" w:cs="Arial"/>
                <w:kern w:val="0"/>
                <w:sz w:val="24"/>
                <w:szCs w:val="24"/>
              </w:rPr>
              <w:t xml:space="preserve">   1套</w:t>
            </w:r>
          </w:p>
        </w:tc>
        <w:tc>
          <w:tcPr>
            <w:tcW w:w="1609" w:type="dxa"/>
            <w:noWrap w:val="0"/>
            <w:vAlign w:val="center"/>
          </w:tcPr>
          <w:p w14:paraId="2E446732">
            <w:pPr>
              <w:spacing w:line="360" w:lineRule="auto"/>
              <w:jc w:val="center"/>
              <w:rPr>
                <w:rFonts w:hint="eastAsia" w:ascii="宋体" w:hAnsi="宋体" w:cs="Arial"/>
                <w:kern w:val="0"/>
                <w:sz w:val="24"/>
                <w:szCs w:val="24"/>
              </w:rPr>
            </w:pPr>
            <w:r>
              <w:rPr>
                <w:rFonts w:hint="eastAsia" w:ascii="宋体" w:hAnsi="宋体" w:cs="Arial"/>
                <w:kern w:val="0"/>
                <w:sz w:val="24"/>
                <w:szCs w:val="24"/>
              </w:rPr>
              <w:t>1套</w:t>
            </w:r>
          </w:p>
        </w:tc>
      </w:tr>
      <w:tr w14:paraId="5B5456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noWrap w:val="0"/>
            <w:vAlign w:val="center"/>
          </w:tcPr>
          <w:p w14:paraId="063200A3">
            <w:pPr>
              <w:spacing w:line="360" w:lineRule="auto"/>
              <w:jc w:val="center"/>
              <w:rPr>
                <w:rFonts w:hint="eastAsia" w:ascii="宋体" w:hAnsi="宋体" w:cs="Arial"/>
                <w:kern w:val="0"/>
                <w:sz w:val="24"/>
                <w:szCs w:val="24"/>
              </w:rPr>
            </w:pPr>
            <w:r>
              <w:rPr>
                <w:rFonts w:hint="eastAsia" w:ascii="宋体" w:hAnsi="宋体"/>
                <w:sz w:val="24"/>
                <w:szCs w:val="24"/>
              </w:rPr>
              <w:t>2</w:t>
            </w:r>
          </w:p>
        </w:tc>
        <w:tc>
          <w:tcPr>
            <w:tcW w:w="5529" w:type="dxa"/>
            <w:noWrap w:val="0"/>
            <w:vAlign w:val="center"/>
          </w:tcPr>
          <w:p w14:paraId="01B2D27D">
            <w:pPr>
              <w:spacing w:line="360" w:lineRule="auto"/>
              <w:jc w:val="center"/>
              <w:rPr>
                <w:rFonts w:hint="eastAsia" w:ascii="宋体" w:hAnsi="宋体" w:cs="Arial"/>
                <w:kern w:val="0"/>
                <w:sz w:val="24"/>
                <w:szCs w:val="24"/>
              </w:rPr>
            </w:pPr>
            <w:r>
              <w:rPr>
                <w:rFonts w:hint="eastAsia" w:ascii="宋体" w:hAnsi="宋体" w:cs="Arial"/>
                <w:kern w:val="0"/>
                <w:sz w:val="24"/>
                <w:szCs w:val="24"/>
              </w:rPr>
              <w:t>放大器(32通道)</w:t>
            </w:r>
          </w:p>
        </w:tc>
        <w:tc>
          <w:tcPr>
            <w:tcW w:w="1609" w:type="dxa"/>
            <w:noWrap w:val="0"/>
            <w:vAlign w:val="center"/>
          </w:tcPr>
          <w:p w14:paraId="622079B8">
            <w:pPr>
              <w:spacing w:line="360" w:lineRule="auto"/>
              <w:jc w:val="center"/>
              <w:rPr>
                <w:rFonts w:hint="eastAsia" w:ascii="宋体" w:hAnsi="宋体" w:cs="Arial"/>
                <w:kern w:val="0"/>
                <w:sz w:val="24"/>
                <w:szCs w:val="24"/>
              </w:rPr>
            </w:pPr>
            <w:r>
              <w:rPr>
                <w:rFonts w:hint="eastAsia" w:ascii="宋体" w:hAnsi="宋体" w:cs="Arial"/>
                <w:kern w:val="0"/>
                <w:sz w:val="24"/>
                <w:szCs w:val="24"/>
              </w:rPr>
              <w:t>1个</w:t>
            </w:r>
          </w:p>
        </w:tc>
      </w:tr>
      <w:tr w14:paraId="12B009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noWrap w:val="0"/>
            <w:vAlign w:val="center"/>
          </w:tcPr>
          <w:p w14:paraId="4BA816B4">
            <w:pPr>
              <w:spacing w:line="360" w:lineRule="auto"/>
              <w:jc w:val="center"/>
              <w:rPr>
                <w:rFonts w:hint="eastAsia" w:ascii="宋体" w:hAnsi="宋体" w:cs="Arial"/>
                <w:kern w:val="0"/>
                <w:sz w:val="24"/>
                <w:szCs w:val="24"/>
              </w:rPr>
            </w:pPr>
            <w:r>
              <w:rPr>
                <w:rFonts w:hint="eastAsia" w:ascii="宋体" w:hAnsi="宋体"/>
                <w:sz w:val="24"/>
                <w:szCs w:val="24"/>
              </w:rPr>
              <w:t>3</w:t>
            </w:r>
          </w:p>
        </w:tc>
        <w:tc>
          <w:tcPr>
            <w:tcW w:w="5529" w:type="dxa"/>
            <w:noWrap w:val="0"/>
            <w:vAlign w:val="center"/>
          </w:tcPr>
          <w:p w14:paraId="278515D1">
            <w:pPr>
              <w:spacing w:line="360" w:lineRule="auto"/>
              <w:jc w:val="center"/>
              <w:rPr>
                <w:rFonts w:hint="eastAsia" w:ascii="宋体" w:hAnsi="宋体" w:cs="Arial"/>
                <w:kern w:val="0"/>
                <w:sz w:val="24"/>
                <w:szCs w:val="24"/>
              </w:rPr>
            </w:pPr>
            <w:r>
              <w:rPr>
                <w:rFonts w:hint="eastAsia" w:ascii="宋体" w:hAnsi="宋体" w:cs="Arial"/>
                <w:kern w:val="0"/>
                <w:sz w:val="24"/>
                <w:szCs w:val="24"/>
              </w:rPr>
              <w:t>可移动柱架</w:t>
            </w:r>
          </w:p>
        </w:tc>
        <w:tc>
          <w:tcPr>
            <w:tcW w:w="1609" w:type="dxa"/>
            <w:noWrap w:val="0"/>
            <w:vAlign w:val="top"/>
          </w:tcPr>
          <w:p w14:paraId="7A42449D">
            <w:pPr>
              <w:spacing w:line="360" w:lineRule="auto"/>
              <w:jc w:val="center"/>
              <w:rPr>
                <w:rFonts w:hint="eastAsia" w:ascii="宋体" w:hAnsi="宋体" w:cs="Arial"/>
                <w:kern w:val="0"/>
                <w:sz w:val="24"/>
                <w:szCs w:val="24"/>
              </w:rPr>
            </w:pPr>
            <w:r>
              <w:rPr>
                <w:rFonts w:hint="eastAsia" w:ascii="宋体" w:hAnsi="宋体" w:cs="Arial"/>
                <w:kern w:val="0"/>
                <w:sz w:val="24"/>
                <w:szCs w:val="24"/>
              </w:rPr>
              <w:t>1个</w:t>
            </w:r>
          </w:p>
        </w:tc>
      </w:tr>
      <w:tr w14:paraId="33CCB6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noWrap w:val="0"/>
            <w:vAlign w:val="center"/>
          </w:tcPr>
          <w:p w14:paraId="3BE9B84C">
            <w:pPr>
              <w:spacing w:line="360" w:lineRule="auto"/>
              <w:jc w:val="center"/>
              <w:rPr>
                <w:rFonts w:hint="eastAsia" w:ascii="宋体" w:hAnsi="宋体"/>
                <w:sz w:val="24"/>
                <w:szCs w:val="24"/>
              </w:rPr>
            </w:pPr>
            <w:r>
              <w:rPr>
                <w:rFonts w:hint="eastAsia" w:ascii="宋体" w:hAnsi="宋体"/>
                <w:sz w:val="24"/>
                <w:szCs w:val="24"/>
              </w:rPr>
              <w:t>4</w:t>
            </w:r>
          </w:p>
        </w:tc>
        <w:tc>
          <w:tcPr>
            <w:tcW w:w="5529" w:type="dxa"/>
            <w:noWrap w:val="0"/>
            <w:vAlign w:val="center"/>
          </w:tcPr>
          <w:p w14:paraId="2D56E6FD">
            <w:pPr>
              <w:spacing w:line="360" w:lineRule="auto"/>
              <w:jc w:val="center"/>
              <w:rPr>
                <w:rFonts w:hint="eastAsia" w:ascii="宋体" w:hAnsi="宋体" w:cs="Arial"/>
                <w:kern w:val="0"/>
                <w:sz w:val="24"/>
                <w:szCs w:val="24"/>
              </w:rPr>
            </w:pPr>
            <w:r>
              <w:rPr>
                <w:rFonts w:hint="eastAsia" w:ascii="宋体" w:hAnsi="宋体" w:cs="Arial"/>
                <w:kern w:val="0"/>
                <w:sz w:val="24"/>
                <w:szCs w:val="24"/>
              </w:rPr>
              <w:t>组合套装</w:t>
            </w:r>
          </w:p>
        </w:tc>
        <w:tc>
          <w:tcPr>
            <w:tcW w:w="1609" w:type="dxa"/>
            <w:noWrap w:val="0"/>
            <w:vAlign w:val="top"/>
          </w:tcPr>
          <w:p w14:paraId="6BFC22F2">
            <w:pPr>
              <w:spacing w:line="360" w:lineRule="auto"/>
              <w:jc w:val="center"/>
              <w:rPr>
                <w:rFonts w:hint="eastAsia" w:ascii="宋体" w:hAnsi="宋体" w:cs="Arial"/>
                <w:kern w:val="0"/>
                <w:sz w:val="24"/>
                <w:szCs w:val="24"/>
              </w:rPr>
            </w:pPr>
            <w:r>
              <w:rPr>
                <w:rFonts w:hint="eastAsia" w:ascii="宋体" w:hAnsi="宋体" w:cs="Arial"/>
                <w:kern w:val="0"/>
                <w:sz w:val="24"/>
                <w:szCs w:val="24"/>
              </w:rPr>
              <w:t>1套</w:t>
            </w:r>
          </w:p>
        </w:tc>
      </w:tr>
      <w:tr w14:paraId="0F7594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noWrap w:val="0"/>
            <w:vAlign w:val="center"/>
          </w:tcPr>
          <w:p w14:paraId="63D7283A">
            <w:pPr>
              <w:spacing w:line="360" w:lineRule="auto"/>
              <w:jc w:val="center"/>
              <w:rPr>
                <w:rFonts w:hint="eastAsia" w:ascii="宋体" w:hAnsi="宋体"/>
                <w:sz w:val="24"/>
                <w:szCs w:val="24"/>
              </w:rPr>
            </w:pPr>
            <w:r>
              <w:rPr>
                <w:rFonts w:hint="eastAsia" w:ascii="宋体" w:hAnsi="宋体"/>
                <w:sz w:val="24"/>
                <w:szCs w:val="24"/>
              </w:rPr>
              <w:t>4.1</w:t>
            </w:r>
          </w:p>
        </w:tc>
        <w:tc>
          <w:tcPr>
            <w:tcW w:w="5529" w:type="dxa"/>
            <w:noWrap w:val="0"/>
            <w:vAlign w:val="top"/>
          </w:tcPr>
          <w:p w14:paraId="291833E4">
            <w:pPr>
              <w:spacing w:line="360" w:lineRule="auto"/>
              <w:jc w:val="center"/>
              <w:rPr>
                <w:rFonts w:hint="eastAsia" w:ascii="宋体" w:hAnsi="宋体" w:cs="Arial"/>
                <w:kern w:val="0"/>
                <w:sz w:val="24"/>
                <w:szCs w:val="24"/>
              </w:rPr>
            </w:pPr>
            <w:r>
              <w:rPr>
                <w:rFonts w:hint="eastAsia" w:ascii="宋体" w:hAnsi="宋体" w:cs="Tahoma"/>
                <w:kern w:val="0"/>
                <w:sz w:val="24"/>
                <w:szCs w:val="24"/>
              </w:rPr>
              <w:t>记录电极</w:t>
            </w:r>
          </w:p>
        </w:tc>
        <w:tc>
          <w:tcPr>
            <w:tcW w:w="1609" w:type="dxa"/>
            <w:noWrap w:val="0"/>
            <w:vAlign w:val="top"/>
          </w:tcPr>
          <w:p w14:paraId="20B0BBB5">
            <w:pPr>
              <w:spacing w:line="360" w:lineRule="auto"/>
              <w:jc w:val="center"/>
              <w:rPr>
                <w:rFonts w:hint="eastAsia" w:ascii="宋体" w:hAnsi="宋体" w:cs="Arial"/>
                <w:kern w:val="0"/>
                <w:sz w:val="24"/>
                <w:szCs w:val="24"/>
              </w:rPr>
            </w:pPr>
            <w:r>
              <w:rPr>
                <w:rFonts w:hint="eastAsia" w:ascii="宋体" w:hAnsi="宋体" w:cs="Tahoma"/>
                <w:kern w:val="0"/>
                <w:sz w:val="24"/>
                <w:szCs w:val="24"/>
              </w:rPr>
              <w:t>30</w:t>
            </w:r>
            <w:r>
              <w:rPr>
                <w:rFonts w:ascii="宋体" w:hAnsi="宋体" w:cs="Tahoma"/>
                <w:kern w:val="0"/>
                <w:sz w:val="24"/>
                <w:szCs w:val="24"/>
              </w:rPr>
              <w:t>根</w:t>
            </w:r>
          </w:p>
        </w:tc>
      </w:tr>
      <w:tr w14:paraId="6E7233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noWrap w:val="0"/>
            <w:vAlign w:val="center"/>
          </w:tcPr>
          <w:p w14:paraId="0408FB75">
            <w:pPr>
              <w:spacing w:line="360" w:lineRule="auto"/>
              <w:jc w:val="center"/>
              <w:rPr>
                <w:rFonts w:hint="eastAsia" w:ascii="宋体" w:hAnsi="宋体"/>
                <w:sz w:val="24"/>
                <w:szCs w:val="24"/>
              </w:rPr>
            </w:pPr>
            <w:r>
              <w:rPr>
                <w:rFonts w:hint="eastAsia" w:ascii="宋体" w:hAnsi="宋体"/>
                <w:sz w:val="24"/>
                <w:szCs w:val="24"/>
              </w:rPr>
              <w:t>4.2</w:t>
            </w:r>
          </w:p>
        </w:tc>
        <w:tc>
          <w:tcPr>
            <w:tcW w:w="5529" w:type="dxa"/>
            <w:noWrap w:val="0"/>
            <w:vAlign w:val="top"/>
          </w:tcPr>
          <w:p w14:paraId="49048837">
            <w:pPr>
              <w:spacing w:line="360" w:lineRule="auto"/>
              <w:jc w:val="center"/>
              <w:rPr>
                <w:rFonts w:hint="eastAsia" w:ascii="宋体" w:hAnsi="宋体" w:cs="Arial"/>
                <w:kern w:val="0"/>
                <w:sz w:val="24"/>
                <w:szCs w:val="24"/>
              </w:rPr>
            </w:pPr>
            <w:r>
              <w:rPr>
                <w:rFonts w:hint="eastAsia" w:ascii="宋体" w:hAnsi="宋体" w:cs="Tahoma"/>
                <w:kern w:val="0"/>
                <w:sz w:val="24"/>
                <w:szCs w:val="24"/>
              </w:rPr>
              <w:t>磨砂膏</w:t>
            </w:r>
          </w:p>
        </w:tc>
        <w:tc>
          <w:tcPr>
            <w:tcW w:w="1609" w:type="dxa"/>
            <w:noWrap w:val="0"/>
            <w:vAlign w:val="top"/>
          </w:tcPr>
          <w:p w14:paraId="6A97C569">
            <w:pPr>
              <w:spacing w:line="360" w:lineRule="auto"/>
              <w:jc w:val="center"/>
              <w:rPr>
                <w:rFonts w:hint="eastAsia" w:ascii="宋体" w:hAnsi="宋体" w:cs="Arial"/>
                <w:kern w:val="0"/>
                <w:sz w:val="24"/>
                <w:szCs w:val="24"/>
              </w:rPr>
            </w:pPr>
            <w:r>
              <w:rPr>
                <w:rFonts w:hint="eastAsia" w:ascii="宋体" w:hAnsi="宋体" w:cs="Tahoma"/>
                <w:kern w:val="0"/>
                <w:sz w:val="24"/>
                <w:szCs w:val="24"/>
              </w:rPr>
              <w:t>1瓶</w:t>
            </w:r>
          </w:p>
        </w:tc>
      </w:tr>
      <w:tr w14:paraId="548BB1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noWrap w:val="0"/>
            <w:vAlign w:val="center"/>
          </w:tcPr>
          <w:p w14:paraId="69BD6AE6">
            <w:pPr>
              <w:spacing w:line="360" w:lineRule="auto"/>
              <w:jc w:val="center"/>
              <w:rPr>
                <w:rFonts w:hint="eastAsia" w:ascii="宋体" w:hAnsi="宋体"/>
                <w:sz w:val="24"/>
                <w:szCs w:val="24"/>
              </w:rPr>
            </w:pPr>
            <w:r>
              <w:rPr>
                <w:rFonts w:hint="eastAsia" w:ascii="宋体" w:hAnsi="宋体"/>
                <w:sz w:val="24"/>
                <w:szCs w:val="24"/>
              </w:rPr>
              <w:t>4.3</w:t>
            </w:r>
          </w:p>
        </w:tc>
        <w:tc>
          <w:tcPr>
            <w:tcW w:w="5529" w:type="dxa"/>
            <w:noWrap w:val="0"/>
            <w:vAlign w:val="top"/>
          </w:tcPr>
          <w:p w14:paraId="4342BC62">
            <w:pPr>
              <w:spacing w:line="360" w:lineRule="auto"/>
              <w:jc w:val="center"/>
              <w:rPr>
                <w:rFonts w:hint="eastAsia" w:ascii="宋体" w:hAnsi="宋体" w:cs="Arial"/>
                <w:kern w:val="0"/>
                <w:sz w:val="24"/>
                <w:szCs w:val="24"/>
              </w:rPr>
            </w:pPr>
            <w:r>
              <w:rPr>
                <w:rFonts w:hint="eastAsia" w:ascii="宋体" w:hAnsi="宋体" w:cs="Tahoma"/>
                <w:kern w:val="0"/>
                <w:sz w:val="24"/>
                <w:szCs w:val="24"/>
              </w:rPr>
              <w:t>导电膏</w:t>
            </w:r>
          </w:p>
        </w:tc>
        <w:tc>
          <w:tcPr>
            <w:tcW w:w="1609" w:type="dxa"/>
            <w:noWrap w:val="0"/>
            <w:vAlign w:val="top"/>
          </w:tcPr>
          <w:p w14:paraId="305D996F">
            <w:pPr>
              <w:spacing w:line="360" w:lineRule="auto"/>
              <w:jc w:val="center"/>
              <w:rPr>
                <w:rFonts w:hint="eastAsia" w:ascii="宋体" w:hAnsi="宋体" w:cs="Arial"/>
                <w:kern w:val="0"/>
                <w:sz w:val="24"/>
                <w:szCs w:val="24"/>
              </w:rPr>
            </w:pPr>
            <w:r>
              <w:rPr>
                <w:rFonts w:hint="eastAsia" w:ascii="宋体" w:hAnsi="宋体" w:cs="Tahoma"/>
                <w:kern w:val="0"/>
                <w:sz w:val="24"/>
                <w:szCs w:val="24"/>
              </w:rPr>
              <w:t>1</w:t>
            </w:r>
            <w:r>
              <w:rPr>
                <w:rFonts w:ascii="宋体" w:hAnsi="宋体" w:cs="Tahoma"/>
                <w:kern w:val="0"/>
                <w:sz w:val="24"/>
                <w:szCs w:val="24"/>
              </w:rPr>
              <w:t>支</w:t>
            </w:r>
          </w:p>
        </w:tc>
      </w:tr>
    </w:tbl>
    <w:p w14:paraId="447A8EF3">
      <w:pPr>
        <w:spacing w:line="360" w:lineRule="auto"/>
        <w:rPr>
          <w:rFonts w:hint="eastAsia" w:ascii="宋体" w:hAnsi="宋体" w:cs="Arial"/>
          <w:kern w:val="0"/>
          <w:sz w:val="24"/>
          <w:szCs w:val="24"/>
        </w:rPr>
      </w:pPr>
    </w:p>
    <w:p w14:paraId="40A68B0A">
      <w:pPr>
        <w:adjustRightInd w:val="0"/>
        <w:snapToGrid w:val="0"/>
        <w:spacing w:line="360" w:lineRule="auto"/>
        <w:rPr>
          <w:rFonts w:hint="eastAsia" w:ascii="宋体" w:hAnsi="宋体"/>
          <w:b/>
          <w:sz w:val="24"/>
          <w:szCs w:val="24"/>
        </w:rPr>
      </w:pPr>
      <w:r>
        <w:rPr>
          <w:rFonts w:hint="eastAsia" w:ascii="宋体" w:hAnsi="宋体"/>
          <w:b/>
          <w:sz w:val="24"/>
          <w:szCs w:val="24"/>
        </w:rPr>
        <w:t>二、伴随服务要求：</w:t>
      </w:r>
    </w:p>
    <w:p w14:paraId="657D23CC">
      <w:pPr>
        <w:adjustRightInd w:val="0"/>
        <w:snapToGrid w:val="0"/>
        <w:spacing w:line="360" w:lineRule="auto"/>
        <w:rPr>
          <w:rFonts w:ascii="宋体" w:hAnsi="宋体"/>
          <w:bCs/>
          <w:sz w:val="24"/>
          <w:szCs w:val="24"/>
        </w:rPr>
      </w:pPr>
      <w:r>
        <w:rPr>
          <w:rFonts w:hint="eastAsia" w:ascii="宋体" w:hAnsi="宋体"/>
          <w:bCs/>
          <w:sz w:val="24"/>
          <w:szCs w:val="24"/>
        </w:rPr>
        <w:t>1</w:t>
      </w:r>
      <w:r>
        <w:rPr>
          <w:rFonts w:ascii="宋体" w:hAnsi="宋体"/>
          <w:bCs/>
          <w:sz w:val="24"/>
          <w:szCs w:val="24"/>
        </w:rPr>
        <w:t xml:space="preserve">. </w:t>
      </w:r>
      <w:r>
        <w:rPr>
          <w:rFonts w:hint="eastAsia" w:ascii="宋体" w:hAnsi="宋体"/>
          <w:bCs/>
          <w:sz w:val="24"/>
          <w:szCs w:val="24"/>
        </w:rPr>
        <w:t>产品附件要求：同配置要求</w:t>
      </w:r>
    </w:p>
    <w:p w14:paraId="02E64A15">
      <w:pPr>
        <w:numPr>
          <w:ilvl w:val="0"/>
          <w:numId w:val="2"/>
        </w:numPr>
        <w:spacing w:line="360" w:lineRule="auto"/>
        <w:rPr>
          <w:rFonts w:ascii="宋体" w:hAnsi="宋体"/>
          <w:bCs/>
          <w:sz w:val="24"/>
          <w:szCs w:val="24"/>
        </w:rPr>
      </w:pPr>
      <w:r>
        <w:rPr>
          <w:rFonts w:hint="eastAsia" w:ascii="宋体" w:hAnsi="宋体"/>
          <w:bCs/>
          <w:sz w:val="24"/>
          <w:szCs w:val="24"/>
        </w:rPr>
        <w:t>产品升级服务要求：</w:t>
      </w:r>
      <w:r>
        <w:rPr>
          <w:rFonts w:ascii="宋体" w:hAnsi="宋体"/>
          <w:bCs/>
          <w:sz w:val="24"/>
          <w:szCs w:val="24"/>
        </w:rPr>
        <w:t>终身免费升级更新</w:t>
      </w:r>
    </w:p>
    <w:p w14:paraId="07B5C3E0">
      <w:pPr>
        <w:numPr>
          <w:ilvl w:val="0"/>
          <w:numId w:val="2"/>
        </w:numPr>
        <w:spacing w:line="360" w:lineRule="auto"/>
        <w:rPr>
          <w:rFonts w:ascii="宋体" w:hAnsi="宋体"/>
          <w:bCs/>
          <w:sz w:val="24"/>
          <w:szCs w:val="24"/>
        </w:rPr>
      </w:pPr>
      <w:r>
        <w:rPr>
          <w:rFonts w:ascii="宋体" w:hAnsi="宋体"/>
          <w:bCs/>
          <w:sz w:val="24"/>
          <w:szCs w:val="24"/>
        </w:rPr>
        <w:t>安装</w:t>
      </w:r>
      <w:r>
        <w:rPr>
          <w:rFonts w:hint="eastAsia" w:ascii="宋体" w:hAnsi="宋体"/>
          <w:bCs/>
          <w:sz w:val="24"/>
          <w:szCs w:val="24"/>
        </w:rPr>
        <w:t>调试：由原厂工程师提供安装调试</w:t>
      </w:r>
    </w:p>
    <w:p w14:paraId="7EC4AC19">
      <w:pPr>
        <w:numPr>
          <w:ilvl w:val="0"/>
          <w:numId w:val="2"/>
        </w:numPr>
        <w:spacing w:line="360" w:lineRule="auto"/>
        <w:rPr>
          <w:rFonts w:hint="eastAsia" w:ascii="宋体" w:hAnsi="宋体"/>
          <w:bCs/>
          <w:sz w:val="24"/>
          <w:szCs w:val="24"/>
        </w:rPr>
      </w:pPr>
      <w:r>
        <w:rPr>
          <w:rFonts w:hint="eastAsia" w:ascii="宋体" w:hAnsi="宋体"/>
          <w:bCs/>
          <w:sz w:val="24"/>
          <w:szCs w:val="24"/>
        </w:rPr>
        <w:t>培训：由原厂工程师提供现场培训</w:t>
      </w:r>
    </w:p>
    <w:p w14:paraId="1D55A934">
      <w:pPr>
        <w:numPr>
          <w:ilvl w:val="0"/>
          <w:numId w:val="2"/>
        </w:numPr>
        <w:spacing w:line="360" w:lineRule="auto"/>
        <w:rPr>
          <w:rFonts w:ascii="宋体" w:hAnsi="宋体"/>
          <w:bCs/>
          <w:sz w:val="24"/>
          <w:szCs w:val="24"/>
        </w:rPr>
      </w:pPr>
      <w:r>
        <w:rPr>
          <w:rFonts w:hint="eastAsia" w:ascii="宋体" w:hAnsi="宋体"/>
          <w:bCs/>
          <w:sz w:val="24"/>
          <w:szCs w:val="24"/>
        </w:rPr>
        <w:t>提供技术援助：24小时售后服务热线，现场或远程技术指导</w:t>
      </w:r>
    </w:p>
    <w:p w14:paraId="77862AD7">
      <w:pPr>
        <w:numPr>
          <w:ilvl w:val="0"/>
          <w:numId w:val="2"/>
        </w:numPr>
        <w:spacing w:line="360" w:lineRule="auto"/>
        <w:rPr>
          <w:rFonts w:ascii="宋体" w:hAnsi="宋体"/>
          <w:bCs/>
          <w:sz w:val="24"/>
          <w:szCs w:val="24"/>
        </w:rPr>
      </w:pPr>
      <w:r>
        <w:rPr>
          <w:rFonts w:hint="eastAsia" w:ascii="宋体" w:hAnsi="宋体"/>
          <w:bCs/>
          <w:sz w:val="24"/>
          <w:szCs w:val="24"/>
        </w:rPr>
        <w:t>验收方案：按院方和国家相关设备验收标准</w:t>
      </w:r>
    </w:p>
    <w:p w14:paraId="26C6FD8F">
      <w:pPr>
        <w:adjustRightInd w:val="0"/>
        <w:snapToGrid w:val="0"/>
        <w:spacing w:line="360" w:lineRule="auto"/>
        <w:rPr>
          <w:rFonts w:hint="eastAsia" w:ascii="宋体" w:hAnsi="宋体"/>
          <w:b/>
          <w:sz w:val="24"/>
          <w:szCs w:val="24"/>
        </w:rPr>
      </w:pPr>
      <w:r>
        <w:rPr>
          <w:rFonts w:hint="eastAsia" w:ascii="宋体" w:hAnsi="宋体"/>
          <w:b/>
          <w:sz w:val="24"/>
          <w:szCs w:val="24"/>
        </w:rPr>
        <w:t>三、售后服务要求</w:t>
      </w:r>
    </w:p>
    <w:p w14:paraId="6FDB9E28">
      <w:pPr>
        <w:numPr>
          <w:ilvl w:val="0"/>
          <w:numId w:val="3"/>
        </w:numPr>
        <w:adjustRightInd w:val="0"/>
        <w:snapToGrid w:val="0"/>
        <w:spacing w:line="360" w:lineRule="auto"/>
        <w:rPr>
          <w:rFonts w:hint="eastAsia" w:ascii="宋体" w:hAnsi="宋体"/>
          <w:sz w:val="24"/>
          <w:szCs w:val="24"/>
        </w:rPr>
      </w:pPr>
      <w:r>
        <w:rPr>
          <w:rFonts w:hint="eastAsia" w:ascii="宋体" w:hAnsi="宋体"/>
          <w:sz w:val="24"/>
          <w:szCs w:val="24"/>
        </w:rPr>
        <w:t xml:space="preserve">响应时间： </w:t>
      </w:r>
      <w:r>
        <w:rPr>
          <w:rFonts w:hint="eastAsia" w:ascii="宋体" w:hAnsi="宋体"/>
          <w:bCs/>
          <w:sz w:val="24"/>
          <w:szCs w:val="24"/>
        </w:rPr>
        <w:t>要求2小时内给予响应，4小时内现场服务</w:t>
      </w:r>
      <w:r>
        <w:rPr>
          <w:rFonts w:hint="eastAsia" w:ascii="宋体" w:hAnsi="宋体"/>
          <w:sz w:val="24"/>
          <w:szCs w:val="24"/>
        </w:rPr>
        <w:t>。</w:t>
      </w:r>
    </w:p>
    <w:p w14:paraId="68D23E46">
      <w:pPr>
        <w:numPr>
          <w:ilvl w:val="0"/>
          <w:numId w:val="3"/>
        </w:numPr>
        <w:adjustRightInd w:val="0"/>
        <w:snapToGrid w:val="0"/>
        <w:spacing w:line="360" w:lineRule="auto"/>
        <w:rPr>
          <w:rFonts w:hint="eastAsia" w:ascii="宋体" w:hAnsi="宋体"/>
          <w:sz w:val="24"/>
          <w:szCs w:val="24"/>
        </w:rPr>
      </w:pPr>
      <w:r>
        <w:rPr>
          <w:rFonts w:hint="eastAsia" w:ascii="宋体" w:hAnsi="宋体"/>
          <w:sz w:val="24"/>
          <w:szCs w:val="24"/>
        </w:rPr>
        <w:t>保修年限：</w:t>
      </w:r>
      <w:r>
        <w:rPr>
          <w:rFonts w:ascii="宋体" w:hAnsi="宋体"/>
          <w:sz w:val="24"/>
          <w:szCs w:val="24"/>
        </w:rPr>
        <w:t>≥</w:t>
      </w:r>
      <w:r>
        <w:rPr>
          <w:rFonts w:hint="eastAsia" w:ascii="宋体" w:hAnsi="宋体"/>
          <w:sz w:val="24"/>
          <w:szCs w:val="24"/>
        </w:rPr>
        <w:t>3年</w:t>
      </w:r>
    </w:p>
    <w:p w14:paraId="1C7BD654">
      <w:pPr>
        <w:numPr>
          <w:ilvl w:val="0"/>
          <w:numId w:val="3"/>
        </w:numPr>
        <w:adjustRightInd w:val="0"/>
        <w:snapToGrid w:val="0"/>
        <w:spacing w:line="360" w:lineRule="auto"/>
        <w:rPr>
          <w:rFonts w:hint="eastAsia" w:ascii="宋体" w:hAnsi="宋体"/>
          <w:sz w:val="24"/>
          <w:szCs w:val="24"/>
        </w:rPr>
      </w:pPr>
      <w:r>
        <w:rPr>
          <w:rFonts w:hint="eastAsia" w:ascii="宋体" w:hAnsi="宋体"/>
          <w:sz w:val="24"/>
          <w:szCs w:val="24"/>
        </w:rPr>
        <w:t>维保内容与价格：质保期后，维保费用以双方最终认定价格为准，原则上不超过设备总价的5%。以双方最终认定价格为准，且采购人有权更换服务方。</w:t>
      </w:r>
    </w:p>
    <w:p w14:paraId="20DE8AE0">
      <w:pPr>
        <w:numPr>
          <w:ilvl w:val="0"/>
          <w:numId w:val="3"/>
        </w:numPr>
        <w:adjustRightInd w:val="0"/>
        <w:snapToGrid w:val="0"/>
        <w:spacing w:line="360" w:lineRule="auto"/>
        <w:rPr>
          <w:rFonts w:ascii="宋体" w:hAnsi="宋体"/>
          <w:sz w:val="24"/>
          <w:szCs w:val="24"/>
        </w:rPr>
      </w:pPr>
      <w:r>
        <w:rPr>
          <w:rFonts w:hint="eastAsia" w:ascii="宋体" w:hAnsi="宋体"/>
          <w:sz w:val="24"/>
          <w:szCs w:val="24"/>
        </w:rPr>
        <w:t>备品备件供货价格：不得超过市场价格的50%。投标时需填写上述价格，出质保期后，上述产品供货价格以双方最终认定价格为准，且采购人有权更换供货方。</w:t>
      </w:r>
    </w:p>
    <w:p w14:paraId="0409209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3C34D8"/>
    <w:multiLevelType w:val="multilevel"/>
    <w:tmpl w:val="0F3C34D8"/>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
    <w:nsid w:val="426A2ACC"/>
    <w:multiLevelType w:val="multilevel"/>
    <w:tmpl w:val="426A2ACC"/>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
    <w:nsid w:val="5EA40721"/>
    <w:multiLevelType w:val="multilevel"/>
    <w:tmpl w:val="5EA40721"/>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5F788A"/>
    <w:rsid w:val="205F7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7</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2025-03-13T15:10:00Z</dcterms:created>
  <dc:creator>杨俐君</dc:creator>
  <cp:lastModifiedBy>杨俐君</cp:lastModifiedBy>
  <dcterms:modified xsi:type="dcterms:W3CDTF">2025-03-13T15:19:44Z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C50212D29E624CF3B7529AF60DA86C13_11</vt:lpwstr>
  </property>
  <property fmtid="{D5CDD505-2E9C-101B-9397-08002B2CF9AE}" pid="4" name="KSOTemplateDocerSaveRecord">
    <vt:lpwstr>eyJoZGlkIjoiOTk1MDI2OWM5MzRhNzc2MDgxNDZhZmRhMmE3MWIxOTkiLCJ1c2VySWQiOiI2NDA4MzE2NjgifQ==</vt:lpwstr>
  </property>
</Properties>
</file>