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75B0A">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13FA18D9">
      <w:pPr>
        <w:spacing w:line="360" w:lineRule="auto"/>
        <w:ind w:firstLine="480" w:firstLineChars="200"/>
        <w:rPr>
          <w:rFonts w:hint="eastAsia" w:ascii="宋体" w:hAnsi="宋体"/>
          <w:sz w:val="24"/>
          <w:szCs w:val="24"/>
        </w:rPr>
      </w:pPr>
      <w:r>
        <w:rPr>
          <w:rFonts w:hint="eastAsia" w:ascii="宋体" w:hAnsi="宋体"/>
          <w:sz w:val="24"/>
          <w:szCs w:val="24"/>
        </w:rPr>
        <w:t>通过电子心力测量法，以操作简单、使用便捷、无创、可连续动态监测各个血流动力学相关参数，帮助临床快速鉴别休克类型。</w:t>
      </w:r>
    </w:p>
    <w:p w14:paraId="3ABC5A63">
      <w:pPr>
        <w:spacing w:line="360" w:lineRule="auto"/>
        <w:ind w:firstLine="480" w:firstLineChars="200"/>
        <w:rPr>
          <w:rFonts w:hint="eastAsia" w:ascii="宋体" w:hAnsi="宋体"/>
          <w:sz w:val="24"/>
          <w:szCs w:val="24"/>
        </w:rPr>
      </w:pPr>
      <w:r>
        <w:rPr>
          <w:rFonts w:hint="eastAsia" w:ascii="宋体" w:hAnsi="宋体"/>
          <w:sz w:val="24"/>
          <w:szCs w:val="24"/>
        </w:rPr>
        <w:t>设备可应用于早产儿，新生儿（≥0.5kg），儿童及成人所有年龄段患者。</w:t>
      </w:r>
    </w:p>
    <w:p w14:paraId="0929E7D9">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bookmarkStart w:id="2" w:name="_Toc72184668"/>
      <w:bookmarkStart w:id="3" w:name="_Toc70385203"/>
      <w:r>
        <w:rPr>
          <w:rFonts w:hint="eastAsia"/>
          <w:b/>
          <w:sz w:val="24"/>
          <w:szCs w:val="24"/>
        </w:rPr>
        <w:t>配置清单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4D9F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27B01F1D">
            <w:pPr>
              <w:jc w:val="center"/>
              <w:rPr>
                <w:sz w:val="24"/>
                <w:szCs w:val="24"/>
              </w:rPr>
            </w:pPr>
            <w:r>
              <w:rPr>
                <w:rFonts w:hint="eastAsia"/>
                <w:sz w:val="24"/>
                <w:szCs w:val="24"/>
              </w:rPr>
              <w:t>序号</w:t>
            </w:r>
          </w:p>
        </w:tc>
        <w:tc>
          <w:tcPr>
            <w:tcW w:w="3758" w:type="dxa"/>
            <w:shd w:val="clear" w:color="auto" w:fill="D9D9D9"/>
            <w:vAlign w:val="center"/>
          </w:tcPr>
          <w:p w14:paraId="2AA6669D">
            <w:pPr>
              <w:jc w:val="center"/>
              <w:rPr>
                <w:sz w:val="24"/>
                <w:szCs w:val="24"/>
              </w:rPr>
            </w:pPr>
            <w:r>
              <w:rPr>
                <w:rFonts w:hint="eastAsia"/>
                <w:sz w:val="24"/>
                <w:szCs w:val="24"/>
              </w:rPr>
              <w:t>名称</w:t>
            </w:r>
          </w:p>
        </w:tc>
        <w:tc>
          <w:tcPr>
            <w:tcW w:w="1604" w:type="dxa"/>
            <w:shd w:val="clear" w:color="auto" w:fill="D9D9D9"/>
            <w:vAlign w:val="center"/>
          </w:tcPr>
          <w:p w14:paraId="4CBB6F06">
            <w:pPr>
              <w:jc w:val="center"/>
              <w:rPr>
                <w:sz w:val="24"/>
                <w:szCs w:val="24"/>
              </w:rPr>
            </w:pPr>
            <w:r>
              <w:rPr>
                <w:rFonts w:hint="eastAsia"/>
                <w:sz w:val="24"/>
                <w:szCs w:val="24"/>
              </w:rPr>
              <w:t>数量</w:t>
            </w:r>
          </w:p>
        </w:tc>
      </w:tr>
      <w:tr w14:paraId="5960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B86CE87">
            <w:pPr>
              <w:jc w:val="center"/>
              <w:rPr>
                <w:rFonts w:hint="eastAsia" w:ascii="宋体" w:hAnsi="宋体" w:cs="宋体"/>
                <w:sz w:val="24"/>
                <w:szCs w:val="24"/>
              </w:rPr>
            </w:pPr>
            <w:r>
              <w:rPr>
                <w:rFonts w:ascii="Calibri" w:hAnsi="Calibri" w:cs="Calibri"/>
                <w:color w:val="000000"/>
                <w:kern w:val="0"/>
                <w:sz w:val="24"/>
                <w:szCs w:val="24"/>
                <w:lang w:bidi="ar"/>
              </w:rPr>
              <w:t>1</w:t>
            </w:r>
          </w:p>
        </w:tc>
        <w:tc>
          <w:tcPr>
            <w:tcW w:w="3758" w:type="dxa"/>
            <w:shd w:val="clear" w:color="auto" w:fill="auto"/>
          </w:tcPr>
          <w:p w14:paraId="2DAE0662">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无创心输出量测量仪主机</w:t>
            </w:r>
          </w:p>
        </w:tc>
        <w:tc>
          <w:tcPr>
            <w:tcW w:w="1604" w:type="dxa"/>
            <w:shd w:val="clear" w:color="auto" w:fill="auto"/>
          </w:tcPr>
          <w:p w14:paraId="0837A277">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1台</w:t>
            </w:r>
          </w:p>
        </w:tc>
      </w:tr>
      <w:tr w14:paraId="139C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14D3036">
            <w:pPr>
              <w:jc w:val="center"/>
              <w:rPr>
                <w:rFonts w:hint="eastAsia" w:ascii="宋体" w:hAnsi="宋体" w:cs="宋体"/>
                <w:sz w:val="24"/>
                <w:szCs w:val="24"/>
              </w:rPr>
            </w:pPr>
            <w:r>
              <w:rPr>
                <w:rFonts w:ascii="Calibri" w:hAnsi="Calibri" w:cs="Calibri"/>
                <w:color w:val="000000"/>
                <w:kern w:val="0"/>
                <w:sz w:val="24"/>
                <w:szCs w:val="24"/>
                <w:lang w:bidi="ar"/>
              </w:rPr>
              <w:t>2</w:t>
            </w:r>
          </w:p>
        </w:tc>
        <w:tc>
          <w:tcPr>
            <w:tcW w:w="3758" w:type="dxa"/>
            <w:shd w:val="clear" w:color="auto" w:fill="auto"/>
          </w:tcPr>
          <w:p w14:paraId="693F6008">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电源适配器</w:t>
            </w:r>
          </w:p>
        </w:tc>
        <w:tc>
          <w:tcPr>
            <w:tcW w:w="1604" w:type="dxa"/>
            <w:shd w:val="clear" w:color="auto" w:fill="auto"/>
          </w:tcPr>
          <w:p w14:paraId="3F53F9A2">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2D71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79529708">
            <w:pPr>
              <w:jc w:val="center"/>
              <w:rPr>
                <w:rFonts w:hint="eastAsia" w:ascii="宋体" w:hAnsi="宋体" w:cs="宋体"/>
                <w:sz w:val="24"/>
                <w:szCs w:val="24"/>
              </w:rPr>
            </w:pPr>
            <w:r>
              <w:rPr>
                <w:rFonts w:ascii="Calibri" w:hAnsi="Calibri" w:cs="Calibri"/>
                <w:color w:val="000000"/>
                <w:kern w:val="0"/>
                <w:sz w:val="24"/>
                <w:szCs w:val="24"/>
                <w:lang w:bidi="ar"/>
              </w:rPr>
              <w:t>3</w:t>
            </w:r>
          </w:p>
        </w:tc>
        <w:tc>
          <w:tcPr>
            <w:tcW w:w="3758" w:type="dxa"/>
            <w:shd w:val="clear" w:color="auto" w:fill="auto"/>
          </w:tcPr>
          <w:p w14:paraId="7078F634">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打印机</w:t>
            </w:r>
          </w:p>
        </w:tc>
        <w:tc>
          <w:tcPr>
            <w:tcW w:w="1604" w:type="dxa"/>
            <w:shd w:val="clear" w:color="auto" w:fill="auto"/>
          </w:tcPr>
          <w:p w14:paraId="6B8A2319">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1台</w:t>
            </w:r>
          </w:p>
        </w:tc>
      </w:tr>
      <w:tr w14:paraId="10BC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3028D53A">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4</w:t>
            </w:r>
          </w:p>
        </w:tc>
        <w:tc>
          <w:tcPr>
            <w:tcW w:w="3758" w:type="dxa"/>
            <w:shd w:val="clear" w:color="auto" w:fill="auto"/>
          </w:tcPr>
          <w:p w14:paraId="2988E11F">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一体化台车</w:t>
            </w:r>
          </w:p>
        </w:tc>
        <w:tc>
          <w:tcPr>
            <w:tcW w:w="1604" w:type="dxa"/>
            <w:shd w:val="clear" w:color="auto" w:fill="auto"/>
          </w:tcPr>
          <w:p w14:paraId="03312DF1">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1辆</w:t>
            </w:r>
          </w:p>
        </w:tc>
      </w:tr>
      <w:tr w14:paraId="2708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5203ED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5</w:t>
            </w:r>
          </w:p>
        </w:tc>
        <w:tc>
          <w:tcPr>
            <w:tcW w:w="3758" w:type="dxa"/>
            <w:shd w:val="clear" w:color="auto" w:fill="auto"/>
          </w:tcPr>
          <w:p w14:paraId="61167A2B">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电脑缆线（数据线）</w:t>
            </w:r>
          </w:p>
        </w:tc>
        <w:tc>
          <w:tcPr>
            <w:tcW w:w="1604" w:type="dxa"/>
            <w:shd w:val="clear" w:color="auto" w:fill="auto"/>
          </w:tcPr>
          <w:p w14:paraId="36599DD6">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1根</w:t>
            </w:r>
          </w:p>
        </w:tc>
      </w:tr>
      <w:tr w14:paraId="4CC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7BCDD88B">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6</w:t>
            </w:r>
          </w:p>
        </w:tc>
        <w:tc>
          <w:tcPr>
            <w:tcW w:w="3758" w:type="dxa"/>
            <w:shd w:val="clear" w:color="auto" w:fill="auto"/>
          </w:tcPr>
          <w:p w14:paraId="22F94FB3">
            <w:pPr>
              <w:jc w:val="center"/>
              <w:rPr>
                <w:rFonts w:ascii="Calibri" w:hAnsi="Calibri" w:cs="Calibri"/>
                <w:color w:val="000000"/>
                <w:kern w:val="0"/>
                <w:sz w:val="24"/>
                <w:szCs w:val="24"/>
                <w:lang w:bidi="ar"/>
              </w:rPr>
            </w:pPr>
            <w:r>
              <w:rPr>
                <w:rFonts w:ascii="Calibri" w:hAnsi="Calibri" w:cs="Calibri"/>
                <w:color w:val="000000"/>
                <w:kern w:val="0"/>
                <w:sz w:val="24"/>
                <w:szCs w:val="24"/>
                <w:lang w:bidi="ar"/>
              </w:rPr>
              <w:t>电源适配器</w:t>
            </w:r>
          </w:p>
        </w:tc>
        <w:tc>
          <w:tcPr>
            <w:tcW w:w="1604" w:type="dxa"/>
            <w:shd w:val="clear" w:color="auto" w:fill="auto"/>
          </w:tcPr>
          <w:p w14:paraId="51733B9A">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4A5E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7077703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7</w:t>
            </w:r>
          </w:p>
        </w:tc>
        <w:tc>
          <w:tcPr>
            <w:tcW w:w="3758" w:type="dxa"/>
            <w:shd w:val="clear" w:color="auto" w:fill="auto"/>
          </w:tcPr>
          <w:p w14:paraId="3117C4B8">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心电导联线</w:t>
            </w:r>
          </w:p>
        </w:tc>
        <w:tc>
          <w:tcPr>
            <w:tcW w:w="1604" w:type="dxa"/>
            <w:shd w:val="clear" w:color="auto" w:fill="auto"/>
          </w:tcPr>
          <w:p w14:paraId="77E2943E">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1根</w:t>
            </w:r>
          </w:p>
        </w:tc>
      </w:tr>
      <w:tr w14:paraId="0D82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E93A596">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8</w:t>
            </w:r>
          </w:p>
        </w:tc>
        <w:tc>
          <w:tcPr>
            <w:tcW w:w="3758" w:type="dxa"/>
            <w:shd w:val="clear" w:color="auto" w:fill="auto"/>
          </w:tcPr>
          <w:p w14:paraId="51441FDE">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使用说明书（中英文）</w:t>
            </w:r>
          </w:p>
        </w:tc>
        <w:tc>
          <w:tcPr>
            <w:tcW w:w="1604" w:type="dxa"/>
            <w:shd w:val="clear" w:color="auto" w:fill="auto"/>
          </w:tcPr>
          <w:p w14:paraId="3D876037">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1本</w:t>
            </w:r>
          </w:p>
        </w:tc>
      </w:tr>
      <w:tr w14:paraId="7187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F08F45D">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9</w:t>
            </w:r>
          </w:p>
        </w:tc>
        <w:tc>
          <w:tcPr>
            <w:tcW w:w="3758" w:type="dxa"/>
            <w:shd w:val="clear" w:color="auto" w:fill="auto"/>
          </w:tcPr>
          <w:p w14:paraId="05935919">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手提箱</w:t>
            </w:r>
          </w:p>
        </w:tc>
        <w:tc>
          <w:tcPr>
            <w:tcW w:w="1604" w:type="dxa"/>
            <w:shd w:val="clear" w:color="auto" w:fill="auto"/>
          </w:tcPr>
          <w:p w14:paraId="00CDC83C">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5CBD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5C525F2">
            <w:pPr>
              <w:jc w:val="center"/>
              <w:rPr>
                <w:rFonts w:ascii="Calibri" w:hAnsi="Calibri" w:cs="Calibri"/>
                <w:color w:val="000000"/>
                <w:kern w:val="0"/>
                <w:sz w:val="24"/>
                <w:szCs w:val="24"/>
                <w:lang w:bidi="ar"/>
              </w:rPr>
            </w:pPr>
            <w:r>
              <w:rPr>
                <w:rFonts w:ascii="Calibri" w:hAnsi="Calibri" w:cs="Calibri"/>
                <w:color w:val="000000"/>
                <w:kern w:val="0"/>
                <w:sz w:val="24"/>
                <w:szCs w:val="24"/>
                <w:lang w:bidi="ar"/>
              </w:rPr>
              <w:t>10</w:t>
            </w:r>
          </w:p>
        </w:tc>
        <w:tc>
          <w:tcPr>
            <w:tcW w:w="3758" w:type="dxa"/>
            <w:shd w:val="clear" w:color="auto" w:fill="auto"/>
          </w:tcPr>
          <w:p w14:paraId="774D6B3C">
            <w:pPr>
              <w:jc w:val="center"/>
              <w:rPr>
                <w:rFonts w:ascii="Calibri" w:hAnsi="Calibri" w:cs="Calibri"/>
                <w:kern w:val="0"/>
              </w:rPr>
            </w:pPr>
            <w:r>
              <w:rPr>
                <w:rFonts w:hint="eastAsia" w:ascii="Calibri" w:hAnsi="Calibri" w:cs="Calibri"/>
                <w:color w:val="000000"/>
                <w:kern w:val="0"/>
                <w:sz w:val="24"/>
                <w:szCs w:val="24"/>
                <w:lang w:bidi="ar"/>
              </w:rPr>
              <w:t>电极片</w:t>
            </w:r>
          </w:p>
        </w:tc>
        <w:tc>
          <w:tcPr>
            <w:tcW w:w="1604" w:type="dxa"/>
            <w:shd w:val="clear" w:color="auto" w:fill="auto"/>
          </w:tcPr>
          <w:p w14:paraId="7017D115">
            <w:pPr>
              <w:jc w:val="center"/>
              <w:rPr>
                <w:rFonts w:ascii="Calibri" w:hAnsi="Calibri" w:cs="Calibri"/>
                <w:kern w:val="0"/>
              </w:rPr>
            </w:pPr>
            <w:r>
              <w:rPr>
                <w:rFonts w:ascii="Calibri" w:hAnsi="Calibri" w:cs="Calibri"/>
                <w:color w:val="000000"/>
                <w:kern w:val="0"/>
                <w:sz w:val="24"/>
                <w:szCs w:val="24"/>
                <w:lang w:bidi="ar"/>
              </w:rPr>
              <w:t>2</w:t>
            </w:r>
            <w:r>
              <w:rPr>
                <w:rFonts w:hint="eastAsia" w:ascii="Calibri" w:hAnsi="Calibri" w:cs="Calibri"/>
                <w:color w:val="000000"/>
                <w:kern w:val="0"/>
                <w:sz w:val="24"/>
                <w:szCs w:val="24"/>
                <w:lang w:bidi="ar"/>
              </w:rPr>
              <w:t>包</w:t>
            </w:r>
          </w:p>
        </w:tc>
      </w:tr>
      <w:bookmarkEnd w:id="2"/>
      <w:bookmarkEnd w:id="3"/>
    </w:tbl>
    <w:p w14:paraId="708F5168">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bookmarkEnd w:id="0"/>
    <w:bookmarkEnd w:id="1"/>
    <w:tbl>
      <w:tblPr>
        <w:tblStyle w:val="3"/>
        <w:tblpPr w:leftFromText="180" w:rightFromText="180" w:vertAnchor="text" w:horzAnchor="page" w:tblpXSpec="center" w:tblpY="290"/>
        <w:tblOverlap w:val="never"/>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654"/>
      </w:tblGrid>
      <w:tr w14:paraId="52BF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4533029C">
            <w:pPr>
              <w:spacing w:line="360" w:lineRule="auto"/>
              <w:jc w:val="center"/>
              <w:rPr>
                <w:rFonts w:hint="eastAsia" w:ascii="宋体" w:hAnsi="宋体" w:cs="宋体"/>
                <w:b/>
                <w:sz w:val="24"/>
                <w:szCs w:val="24"/>
              </w:rPr>
            </w:pPr>
            <w:r>
              <w:rPr>
                <w:rFonts w:hint="eastAsia" w:ascii="宋体" w:hAnsi="宋体" w:cs="宋体"/>
                <w:b/>
                <w:sz w:val="24"/>
                <w:szCs w:val="24"/>
              </w:rPr>
              <w:t>序号</w:t>
            </w:r>
          </w:p>
        </w:tc>
        <w:tc>
          <w:tcPr>
            <w:tcW w:w="7654" w:type="dxa"/>
            <w:shd w:val="clear" w:color="auto" w:fill="auto"/>
          </w:tcPr>
          <w:p w14:paraId="50F7F004">
            <w:pPr>
              <w:spacing w:line="360" w:lineRule="auto"/>
              <w:jc w:val="center"/>
              <w:rPr>
                <w:rFonts w:hint="eastAsia" w:ascii="宋体" w:hAnsi="宋体" w:cs="宋体"/>
                <w:b/>
                <w:sz w:val="24"/>
                <w:szCs w:val="24"/>
              </w:rPr>
            </w:pPr>
            <w:r>
              <w:rPr>
                <w:rFonts w:hint="eastAsia" w:ascii="宋体" w:hAnsi="宋体" w:cs="宋体"/>
                <w:b/>
                <w:sz w:val="24"/>
                <w:szCs w:val="24"/>
              </w:rPr>
              <w:t>需求描述</w:t>
            </w:r>
          </w:p>
        </w:tc>
      </w:tr>
      <w:tr w14:paraId="27C8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6AE0C0E">
            <w:pPr>
              <w:spacing w:line="360" w:lineRule="auto"/>
              <w:jc w:val="center"/>
              <w:rPr>
                <w:spacing w:val="-1"/>
                <w:sz w:val="24"/>
                <w:szCs w:val="24"/>
              </w:rPr>
            </w:pPr>
            <w:r>
              <w:rPr>
                <w:rFonts w:hint="eastAsia"/>
                <w:sz w:val="24"/>
                <w:szCs w:val="24"/>
              </w:rPr>
              <w:t>1</w:t>
            </w:r>
          </w:p>
        </w:tc>
        <w:tc>
          <w:tcPr>
            <w:tcW w:w="7654" w:type="dxa"/>
            <w:shd w:val="clear" w:color="auto" w:fill="auto"/>
          </w:tcPr>
          <w:p w14:paraId="6E114675">
            <w:pPr>
              <w:spacing w:line="360" w:lineRule="auto"/>
              <w:rPr>
                <w:spacing w:val="-1"/>
                <w:sz w:val="24"/>
                <w:szCs w:val="24"/>
              </w:rPr>
            </w:pPr>
            <w:r>
              <w:rPr>
                <w:rFonts w:hint="eastAsia"/>
                <w:sz w:val="24"/>
                <w:szCs w:val="24"/>
              </w:rPr>
              <w:t>主要技术指标</w:t>
            </w:r>
          </w:p>
        </w:tc>
      </w:tr>
      <w:tr w14:paraId="278F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668BD7E5">
            <w:pPr>
              <w:spacing w:line="360" w:lineRule="auto"/>
              <w:jc w:val="center"/>
              <w:rPr>
                <w:spacing w:val="-1"/>
                <w:sz w:val="24"/>
                <w:szCs w:val="24"/>
              </w:rPr>
            </w:pPr>
            <w:r>
              <w:rPr>
                <w:rFonts w:hint="eastAsia"/>
                <w:sz w:val="24"/>
                <w:szCs w:val="24"/>
              </w:rPr>
              <w:t>1.1</w:t>
            </w:r>
          </w:p>
        </w:tc>
        <w:tc>
          <w:tcPr>
            <w:tcW w:w="7654" w:type="dxa"/>
            <w:shd w:val="clear" w:color="auto" w:fill="auto"/>
          </w:tcPr>
          <w:p w14:paraId="1DE64FC6">
            <w:pPr>
              <w:spacing w:line="360" w:lineRule="auto"/>
              <w:rPr>
                <w:spacing w:val="-1"/>
                <w:sz w:val="24"/>
                <w:szCs w:val="24"/>
              </w:rPr>
            </w:pPr>
            <w:r>
              <w:rPr>
                <w:rFonts w:hint="eastAsia"/>
                <w:sz w:val="24"/>
                <w:szCs w:val="24"/>
              </w:rPr>
              <w:t>测量原理：电子心力测量法。帮助医师对重症病人快速鉴别诊断疾病、监测治疗效果，以及提供药物调剂优化的治疗。</w:t>
            </w:r>
          </w:p>
        </w:tc>
      </w:tr>
      <w:tr w14:paraId="122E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90F36F1">
            <w:pPr>
              <w:spacing w:line="360" w:lineRule="auto"/>
              <w:jc w:val="center"/>
              <w:rPr>
                <w:spacing w:val="-1"/>
                <w:sz w:val="24"/>
                <w:szCs w:val="24"/>
              </w:rPr>
            </w:pPr>
            <w:r>
              <w:rPr>
                <w:rFonts w:hint="eastAsia" w:ascii="宋体" w:hAnsi="宋体" w:cs="宋体"/>
                <w:sz w:val="24"/>
                <w:szCs w:val="24"/>
              </w:rPr>
              <w:t>▲</w:t>
            </w:r>
            <w:r>
              <w:rPr>
                <w:rFonts w:hint="eastAsia"/>
                <w:sz w:val="24"/>
                <w:szCs w:val="24"/>
              </w:rPr>
              <w:t>1.2</w:t>
            </w:r>
          </w:p>
        </w:tc>
        <w:tc>
          <w:tcPr>
            <w:tcW w:w="7654" w:type="dxa"/>
            <w:shd w:val="clear" w:color="auto" w:fill="auto"/>
          </w:tcPr>
          <w:p w14:paraId="17BB941E">
            <w:pPr>
              <w:spacing w:line="360" w:lineRule="auto"/>
              <w:rPr>
                <w:spacing w:val="-1"/>
                <w:sz w:val="24"/>
                <w:szCs w:val="24"/>
              </w:rPr>
            </w:pPr>
            <w:r>
              <w:rPr>
                <w:rFonts w:hint="eastAsia"/>
                <w:sz w:val="24"/>
                <w:szCs w:val="24"/>
              </w:rPr>
              <w:t>适用人群：可应用于新生儿、儿童及成人所有年龄患者。</w:t>
            </w:r>
          </w:p>
        </w:tc>
      </w:tr>
      <w:tr w14:paraId="4766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C56A440">
            <w:pPr>
              <w:spacing w:line="360" w:lineRule="auto"/>
              <w:jc w:val="center"/>
              <w:rPr>
                <w:spacing w:val="-1"/>
                <w:sz w:val="24"/>
                <w:szCs w:val="24"/>
              </w:rPr>
            </w:pPr>
            <w:r>
              <w:rPr>
                <w:rFonts w:hint="eastAsia" w:ascii="宋体" w:hAnsi="宋体" w:cs="宋体"/>
                <w:sz w:val="24"/>
                <w:szCs w:val="24"/>
              </w:rPr>
              <w:t>▲</w:t>
            </w:r>
            <w:r>
              <w:rPr>
                <w:rFonts w:hint="eastAsia"/>
                <w:sz w:val="24"/>
                <w:szCs w:val="24"/>
              </w:rPr>
              <w:t>1.3</w:t>
            </w:r>
          </w:p>
        </w:tc>
        <w:tc>
          <w:tcPr>
            <w:tcW w:w="7654" w:type="dxa"/>
            <w:shd w:val="clear" w:color="auto" w:fill="auto"/>
          </w:tcPr>
          <w:p w14:paraId="72E7F31A">
            <w:pPr>
              <w:spacing w:line="360" w:lineRule="auto"/>
              <w:rPr>
                <w:spacing w:val="-1"/>
                <w:sz w:val="24"/>
                <w:szCs w:val="24"/>
              </w:rPr>
            </w:pPr>
            <w:r>
              <w:rPr>
                <w:rFonts w:hint="eastAsia"/>
                <w:sz w:val="24"/>
                <w:szCs w:val="24"/>
              </w:rPr>
              <w:t>无创、连续动态监测，依据临床需求设置时间间隔，最小可精确到每次心跳。</w:t>
            </w:r>
          </w:p>
        </w:tc>
      </w:tr>
      <w:tr w14:paraId="45EF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6E84153">
            <w:pPr>
              <w:spacing w:line="360" w:lineRule="auto"/>
              <w:jc w:val="center"/>
              <w:rPr>
                <w:spacing w:val="-1"/>
                <w:sz w:val="24"/>
                <w:szCs w:val="24"/>
              </w:rPr>
            </w:pPr>
            <w:r>
              <w:rPr>
                <w:rFonts w:hint="eastAsia"/>
                <w:sz w:val="24"/>
                <w:szCs w:val="24"/>
              </w:rPr>
              <w:t>1.4</w:t>
            </w:r>
          </w:p>
        </w:tc>
        <w:tc>
          <w:tcPr>
            <w:tcW w:w="7654" w:type="dxa"/>
            <w:shd w:val="clear" w:color="auto" w:fill="auto"/>
            <w:vAlign w:val="center"/>
          </w:tcPr>
          <w:p w14:paraId="071EDC21">
            <w:pPr>
              <w:spacing w:line="360" w:lineRule="auto"/>
              <w:rPr>
                <w:spacing w:val="-1"/>
                <w:sz w:val="24"/>
                <w:szCs w:val="24"/>
              </w:rPr>
            </w:pPr>
            <w:r>
              <w:rPr>
                <w:rFonts w:hint="eastAsia"/>
                <w:sz w:val="24"/>
                <w:szCs w:val="24"/>
              </w:rPr>
              <w:t>可提供阻抗微分、时间/阻抗微分和心电图信号放大功能。</w:t>
            </w:r>
          </w:p>
        </w:tc>
      </w:tr>
      <w:tr w14:paraId="4D2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5417629">
            <w:pPr>
              <w:spacing w:line="360" w:lineRule="auto"/>
              <w:jc w:val="center"/>
              <w:rPr>
                <w:spacing w:val="-1"/>
                <w:sz w:val="24"/>
                <w:szCs w:val="24"/>
              </w:rPr>
            </w:pPr>
            <w:r>
              <w:rPr>
                <w:rFonts w:hint="eastAsia"/>
                <w:sz w:val="24"/>
                <w:szCs w:val="24"/>
              </w:rPr>
              <w:t>1.5</w:t>
            </w:r>
          </w:p>
        </w:tc>
        <w:tc>
          <w:tcPr>
            <w:tcW w:w="7654" w:type="dxa"/>
            <w:shd w:val="clear" w:color="auto" w:fill="auto"/>
          </w:tcPr>
          <w:p w14:paraId="0B5EC12A">
            <w:pPr>
              <w:spacing w:line="360" w:lineRule="auto"/>
              <w:rPr>
                <w:spacing w:val="-1"/>
                <w:sz w:val="24"/>
                <w:szCs w:val="24"/>
              </w:rPr>
            </w:pPr>
            <w:r>
              <w:rPr>
                <w:rFonts w:hint="eastAsia"/>
                <w:sz w:val="24"/>
                <w:szCs w:val="24"/>
              </w:rPr>
              <w:t>可设置数据保存时间。</w:t>
            </w:r>
          </w:p>
        </w:tc>
      </w:tr>
      <w:tr w14:paraId="21E0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35270B9">
            <w:pPr>
              <w:spacing w:line="360" w:lineRule="auto"/>
              <w:jc w:val="center"/>
              <w:rPr>
                <w:spacing w:val="-1"/>
                <w:sz w:val="24"/>
                <w:szCs w:val="24"/>
              </w:rPr>
            </w:pPr>
            <w:r>
              <w:rPr>
                <w:rFonts w:hint="eastAsia"/>
                <w:sz w:val="24"/>
                <w:szCs w:val="24"/>
              </w:rPr>
              <w:t>1.6</w:t>
            </w:r>
          </w:p>
        </w:tc>
        <w:tc>
          <w:tcPr>
            <w:tcW w:w="7654" w:type="dxa"/>
            <w:shd w:val="clear" w:color="auto" w:fill="auto"/>
          </w:tcPr>
          <w:p w14:paraId="2CBB20A8">
            <w:pPr>
              <w:spacing w:line="360" w:lineRule="auto"/>
              <w:rPr>
                <w:spacing w:val="-1"/>
                <w:sz w:val="24"/>
                <w:szCs w:val="24"/>
              </w:rPr>
            </w:pPr>
            <w:r>
              <w:rPr>
                <w:rFonts w:hint="eastAsia"/>
                <w:sz w:val="24"/>
                <w:szCs w:val="24"/>
              </w:rPr>
              <w:t>提供不低于四种结果视图模式（数字显示、趋势显示、波形显示、框图显示），根据需求灵活选择不同视图。</w:t>
            </w:r>
          </w:p>
        </w:tc>
      </w:tr>
      <w:tr w14:paraId="224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F10317B">
            <w:pPr>
              <w:spacing w:line="360" w:lineRule="auto"/>
              <w:jc w:val="center"/>
              <w:rPr>
                <w:spacing w:val="-1"/>
                <w:sz w:val="24"/>
                <w:szCs w:val="24"/>
              </w:rPr>
            </w:pPr>
            <w:r>
              <w:rPr>
                <w:rFonts w:hint="eastAsia"/>
                <w:sz w:val="24"/>
                <w:szCs w:val="24"/>
              </w:rPr>
              <w:t>1.7</w:t>
            </w:r>
          </w:p>
        </w:tc>
        <w:tc>
          <w:tcPr>
            <w:tcW w:w="7654" w:type="dxa"/>
            <w:shd w:val="clear" w:color="auto" w:fill="auto"/>
          </w:tcPr>
          <w:p w14:paraId="6B471DC3">
            <w:pPr>
              <w:spacing w:line="360" w:lineRule="auto"/>
              <w:rPr>
                <w:spacing w:val="-1"/>
                <w:sz w:val="24"/>
                <w:szCs w:val="24"/>
              </w:rPr>
            </w:pPr>
            <w:r>
              <w:rPr>
                <w:rFonts w:hint="eastAsia"/>
                <w:sz w:val="24"/>
                <w:szCs w:val="24"/>
              </w:rPr>
              <w:t>提供每屏至少6个参数彩色条状图，可根据需求进行更换不同参数显示，带个性化正常值范围和数值，高低结果清晰。</w:t>
            </w:r>
          </w:p>
        </w:tc>
      </w:tr>
      <w:tr w14:paraId="2BE2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AC3E10F">
            <w:pPr>
              <w:spacing w:line="360" w:lineRule="auto"/>
              <w:jc w:val="center"/>
              <w:rPr>
                <w:spacing w:val="-1"/>
                <w:sz w:val="24"/>
                <w:szCs w:val="24"/>
              </w:rPr>
            </w:pPr>
            <w:r>
              <w:rPr>
                <w:rFonts w:hint="eastAsia"/>
                <w:sz w:val="24"/>
                <w:szCs w:val="24"/>
              </w:rPr>
              <w:t>1.8</w:t>
            </w:r>
          </w:p>
        </w:tc>
        <w:tc>
          <w:tcPr>
            <w:tcW w:w="7654" w:type="dxa"/>
            <w:shd w:val="clear" w:color="auto" w:fill="auto"/>
          </w:tcPr>
          <w:p w14:paraId="679DCD85">
            <w:pPr>
              <w:spacing w:line="360" w:lineRule="auto"/>
              <w:rPr>
                <w:spacing w:val="-1"/>
                <w:sz w:val="24"/>
                <w:szCs w:val="24"/>
              </w:rPr>
            </w:pPr>
            <w:r>
              <w:rPr>
                <w:rFonts w:hint="eastAsia"/>
                <w:sz w:val="24"/>
                <w:szCs w:val="24"/>
              </w:rPr>
              <w:t>配备有起搏器优化功能软件，可为起搏器植入患者获得最佳（AV和VV间隔）设置，确保患者达到最佳治疗效果。</w:t>
            </w:r>
          </w:p>
        </w:tc>
      </w:tr>
      <w:tr w14:paraId="1025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4FE09C5">
            <w:pPr>
              <w:spacing w:line="360" w:lineRule="auto"/>
              <w:jc w:val="center"/>
              <w:rPr>
                <w:spacing w:val="-1"/>
                <w:sz w:val="24"/>
                <w:szCs w:val="24"/>
              </w:rPr>
            </w:pPr>
            <w:r>
              <w:rPr>
                <w:rFonts w:hint="eastAsia"/>
                <w:sz w:val="24"/>
                <w:szCs w:val="24"/>
              </w:rPr>
              <w:t>1.9</w:t>
            </w:r>
          </w:p>
        </w:tc>
        <w:tc>
          <w:tcPr>
            <w:tcW w:w="7654" w:type="dxa"/>
            <w:shd w:val="clear" w:color="auto" w:fill="auto"/>
          </w:tcPr>
          <w:p w14:paraId="40C99352">
            <w:pPr>
              <w:spacing w:line="360" w:lineRule="auto"/>
              <w:rPr>
                <w:spacing w:val="-1"/>
                <w:sz w:val="24"/>
                <w:szCs w:val="24"/>
              </w:rPr>
            </w:pPr>
            <w:r>
              <w:rPr>
                <w:rFonts w:hint="eastAsia"/>
                <w:sz w:val="24"/>
                <w:szCs w:val="24"/>
              </w:rPr>
              <w:t>配备有高低心输出量、高低血管阻力、传感器状态、系统故障和电池电量低报警功能，具有声音和可视报警功能。</w:t>
            </w:r>
          </w:p>
        </w:tc>
      </w:tr>
      <w:tr w14:paraId="3FD9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D691B76">
            <w:pPr>
              <w:spacing w:line="360" w:lineRule="auto"/>
              <w:jc w:val="center"/>
              <w:rPr>
                <w:spacing w:val="-1"/>
                <w:sz w:val="24"/>
                <w:szCs w:val="24"/>
              </w:rPr>
            </w:pPr>
            <w:r>
              <w:rPr>
                <w:rFonts w:hint="eastAsia"/>
                <w:sz w:val="24"/>
                <w:szCs w:val="24"/>
              </w:rPr>
              <w:t>1.10</w:t>
            </w:r>
          </w:p>
        </w:tc>
        <w:tc>
          <w:tcPr>
            <w:tcW w:w="7654" w:type="dxa"/>
            <w:shd w:val="clear" w:color="auto" w:fill="auto"/>
          </w:tcPr>
          <w:p w14:paraId="144F4367">
            <w:pPr>
              <w:spacing w:line="360" w:lineRule="auto"/>
              <w:rPr>
                <w:spacing w:val="-1"/>
                <w:sz w:val="24"/>
                <w:szCs w:val="24"/>
              </w:rPr>
            </w:pPr>
            <w:r>
              <w:rPr>
                <w:rFonts w:hint="eastAsia"/>
                <w:sz w:val="24"/>
                <w:szCs w:val="24"/>
              </w:rPr>
              <w:t>三维报警，可提供急性心衰和有效循环容量不足/低血容量性休克报警。</w:t>
            </w:r>
          </w:p>
        </w:tc>
      </w:tr>
      <w:tr w14:paraId="6640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861F29F">
            <w:pPr>
              <w:spacing w:line="360" w:lineRule="auto"/>
              <w:jc w:val="center"/>
              <w:rPr>
                <w:spacing w:val="-1"/>
                <w:sz w:val="24"/>
                <w:szCs w:val="24"/>
              </w:rPr>
            </w:pPr>
            <w:r>
              <w:rPr>
                <w:rFonts w:hint="eastAsia"/>
                <w:sz w:val="24"/>
                <w:szCs w:val="24"/>
              </w:rPr>
              <w:t>1.11</w:t>
            </w:r>
          </w:p>
        </w:tc>
        <w:tc>
          <w:tcPr>
            <w:tcW w:w="7654" w:type="dxa"/>
            <w:shd w:val="clear" w:color="auto" w:fill="auto"/>
          </w:tcPr>
          <w:p w14:paraId="00A57331">
            <w:pPr>
              <w:spacing w:line="360" w:lineRule="auto"/>
              <w:rPr>
                <w:spacing w:val="-1"/>
                <w:sz w:val="24"/>
                <w:szCs w:val="24"/>
              </w:rPr>
            </w:pPr>
            <w:r>
              <w:rPr>
                <w:rFonts w:hint="eastAsia"/>
                <w:sz w:val="24"/>
                <w:szCs w:val="24"/>
              </w:rPr>
              <w:t>有采集信号强弱时刻显示，ECG采集指示灯，探测起搏器指示灯，错误信息指示灯。</w:t>
            </w:r>
          </w:p>
        </w:tc>
      </w:tr>
      <w:tr w14:paraId="6422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CFE3FED">
            <w:pPr>
              <w:spacing w:line="360" w:lineRule="auto"/>
              <w:jc w:val="center"/>
              <w:rPr>
                <w:spacing w:val="-1"/>
                <w:sz w:val="24"/>
                <w:szCs w:val="24"/>
              </w:rPr>
            </w:pPr>
            <w:r>
              <w:rPr>
                <w:sz w:val="24"/>
                <w:szCs w:val="24"/>
              </w:rPr>
              <w:t>▲</w:t>
            </w:r>
            <w:r>
              <w:rPr>
                <w:rFonts w:hint="eastAsia"/>
                <w:sz w:val="24"/>
                <w:szCs w:val="24"/>
              </w:rPr>
              <w:t>1.12</w:t>
            </w:r>
            <w:r>
              <w:rPr>
                <w:spacing w:val="-1"/>
                <w:sz w:val="24"/>
                <w:szCs w:val="24"/>
              </w:rPr>
              <w:t xml:space="preserve"> </w:t>
            </w:r>
          </w:p>
        </w:tc>
        <w:tc>
          <w:tcPr>
            <w:tcW w:w="7654" w:type="dxa"/>
            <w:shd w:val="clear" w:color="auto" w:fill="auto"/>
          </w:tcPr>
          <w:p w14:paraId="20E74A88">
            <w:pPr>
              <w:spacing w:line="360" w:lineRule="auto"/>
              <w:rPr>
                <w:spacing w:val="-1"/>
                <w:sz w:val="24"/>
                <w:szCs w:val="24"/>
              </w:rPr>
            </w:pPr>
            <w:r>
              <w:rPr>
                <w:rFonts w:hint="eastAsia"/>
                <w:sz w:val="24"/>
                <w:szCs w:val="24"/>
              </w:rPr>
              <w:t>配备有专用软件可将患者测量数据及报告单下载到电脑，数据储存及报告单打印。</w:t>
            </w:r>
          </w:p>
        </w:tc>
      </w:tr>
      <w:tr w14:paraId="6EAC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C9CAB51">
            <w:pPr>
              <w:spacing w:line="360" w:lineRule="auto"/>
              <w:jc w:val="center"/>
              <w:rPr>
                <w:spacing w:val="-1"/>
                <w:sz w:val="24"/>
                <w:szCs w:val="24"/>
              </w:rPr>
            </w:pPr>
            <w:r>
              <w:rPr>
                <w:rFonts w:hint="eastAsia"/>
                <w:sz w:val="24"/>
                <w:szCs w:val="24"/>
              </w:rPr>
              <w:t>1.13</w:t>
            </w:r>
          </w:p>
        </w:tc>
        <w:tc>
          <w:tcPr>
            <w:tcW w:w="7654" w:type="dxa"/>
            <w:shd w:val="clear" w:color="auto" w:fill="auto"/>
            <w:vAlign w:val="center"/>
          </w:tcPr>
          <w:p w14:paraId="11651A3F">
            <w:pPr>
              <w:spacing w:line="360" w:lineRule="auto"/>
              <w:rPr>
                <w:spacing w:val="-1"/>
                <w:sz w:val="24"/>
                <w:szCs w:val="24"/>
              </w:rPr>
            </w:pPr>
            <w:r>
              <w:rPr>
                <w:rFonts w:hint="eastAsia"/>
                <w:sz w:val="24"/>
                <w:szCs w:val="24"/>
              </w:rPr>
              <w:t>操作简便，培训无特殊要求，医生护士均可掌握。</w:t>
            </w:r>
          </w:p>
        </w:tc>
      </w:tr>
      <w:tr w14:paraId="59C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6D64C737">
            <w:pPr>
              <w:spacing w:line="360" w:lineRule="auto"/>
              <w:jc w:val="center"/>
              <w:rPr>
                <w:spacing w:val="-1"/>
                <w:sz w:val="24"/>
                <w:szCs w:val="24"/>
              </w:rPr>
            </w:pPr>
            <w:r>
              <w:rPr>
                <w:rFonts w:hint="eastAsia"/>
                <w:sz w:val="24"/>
                <w:szCs w:val="24"/>
              </w:rPr>
              <w:t>2</w:t>
            </w:r>
          </w:p>
        </w:tc>
        <w:tc>
          <w:tcPr>
            <w:tcW w:w="7654" w:type="dxa"/>
            <w:shd w:val="clear" w:color="auto" w:fill="auto"/>
            <w:vAlign w:val="center"/>
          </w:tcPr>
          <w:p w14:paraId="4E3B739A">
            <w:pPr>
              <w:spacing w:line="360" w:lineRule="auto"/>
              <w:rPr>
                <w:spacing w:val="-1"/>
                <w:sz w:val="24"/>
                <w:szCs w:val="24"/>
              </w:rPr>
            </w:pPr>
            <w:r>
              <w:rPr>
                <w:rFonts w:hint="eastAsia"/>
                <w:sz w:val="24"/>
                <w:szCs w:val="24"/>
              </w:rPr>
              <w:t>主要性能指标</w:t>
            </w:r>
          </w:p>
        </w:tc>
      </w:tr>
      <w:tr w14:paraId="4F6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43C2EBB4">
            <w:pPr>
              <w:spacing w:line="360" w:lineRule="auto"/>
              <w:jc w:val="center"/>
              <w:rPr>
                <w:spacing w:val="-1"/>
                <w:sz w:val="24"/>
                <w:szCs w:val="24"/>
              </w:rPr>
            </w:pPr>
            <w:r>
              <w:rPr>
                <w:rFonts w:hint="eastAsia"/>
                <w:sz w:val="24"/>
                <w:szCs w:val="24"/>
              </w:rPr>
              <w:t>2.1</w:t>
            </w:r>
          </w:p>
        </w:tc>
        <w:tc>
          <w:tcPr>
            <w:tcW w:w="7654" w:type="dxa"/>
            <w:shd w:val="clear" w:color="auto" w:fill="auto"/>
          </w:tcPr>
          <w:p w14:paraId="27D91E27">
            <w:pPr>
              <w:spacing w:line="360" w:lineRule="auto"/>
              <w:rPr>
                <w:spacing w:val="-1"/>
                <w:sz w:val="24"/>
                <w:szCs w:val="24"/>
              </w:rPr>
            </w:pPr>
            <w:r>
              <w:rPr>
                <w:rFonts w:hint="eastAsia"/>
                <w:sz w:val="24"/>
                <w:szCs w:val="24"/>
              </w:rPr>
              <w:t>具备血流排量主要参数：SV每博输出量、SI每博输出量指数、CO心输出量、CI心输出量指数、HR心率。</w:t>
            </w:r>
          </w:p>
        </w:tc>
      </w:tr>
      <w:tr w14:paraId="7922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2AEDA8E5">
            <w:pPr>
              <w:spacing w:line="360" w:lineRule="auto"/>
              <w:jc w:val="center"/>
              <w:rPr>
                <w:spacing w:val="-1"/>
                <w:sz w:val="24"/>
                <w:szCs w:val="24"/>
              </w:rPr>
            </w:pPr>
            <w:r>
              <w:rPr>
                <w:rFonts w:hint="eastAsia"/>
                <w:sz w:val="24"/>
                <w:szCs w:val="24"/>
              </w:rPr>
              <w:t>2.2</w:t>
            </w:r>
          </w:p>
        </w:tc>
        <w:tc>
          <w:tcPr>
            <w:tcW w:w="7654" w:type="dxa"/>
            <w:shd w:val="clear" w:color="auto" w:fill="auto"/>
          </w:tcPr>
          <w:p w14:paraId="7A7517E7">
            <w:pPr>
              <w:spacing w:line="360" w:lineRule="auto"/>
              <w:rPr>
                <w:spacing w:val="-1"/>
                <w:sz w:val="24"/>
                <w:szCs w:val="24"/>
              </w:rPr>
            </w:pPr>
            <w:r>
              <w:rPr>
                <w:rFonts w:hint="eastAsia"/>
                <w:sz w:val="24"/>
                <w:szCs w:val="24"/>
              </w:rPr>
              <w:t>具备血管系统主要性能指标：SVR外周血管阻力、SVRI外周血管阻力指数。</w:t>
            </w:r>
          </w:p>
        </w:tc>
      </w:tr>
      <w:tr w14:paraId="071D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4DECC9BC">
            <w:pPr>
              <w:spacing w:line="360" w:lineRule="auto"/>
              <w:jc w:val="center"/>
              <w:rPr>
                <w:spacing w:val="-1"/>
                <w:sz w:val="24"/>
                <w:szCs w:val="24"/>
              </w:rPr>
            </w:pPr>
            <w:r>
              <w:rPr>
                <w:sz w:val="24"/>
                <w:szCs w:val="24"/>
              </w:rPr>
              <w:t>▲</w:t>
            </w:r>
            <w:r>
              <w:rPr>
                <w:rFonts w:hint="eastAsia"/>
                <w:sz w:val="24"/>
                <w:szCs w:val="24"/>
              </w:rPr>
              <w:t>2.3</w:t>
            </w:r>
          </w:p>
        </w:tc>
        <w:tc>
          <w:tcPr>
            <w:tcW w:w="7654" w:type="dxa"/>
            <w:shd w:val="clear" w:color="auto" w:fill="auto"/>
          </w:tcPr>
          <w:p w14:paraId="1004116F">
            <w:pPr>
              <w:spacing w:line="360" w:lineRule="auto"/>
              <w:rPr>
                <w:spacing w:val="-1"/>
                <w:sz w:val="24"/>
                <w:szCs w:val="24"/>
              </w:rPr>
            </w:pPr>
            <w:r>
              <w:rPr>
                <w:rFonts w:hint="eastAsia"/>
                <w:sz w:val="24"/>
                <w:szCs w:val="24"/>
              </w:rPr>
              <w:t>具备心脏功能主要性能指标：心肌收缩力指数、VIC心肌收缩力指数变异、STR收缩时间比率、PEP预射血期、LVET左心室射血期、CPI心脏功能指数。</w:t>
            </w:r>
          </w:p>
        </w:tc>
      </w:tr>
      <w:tr w14:paraId="3759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F9FEC8C">
            <w:pPr>
              <w:spacing w:line="360" w:lineRule="auto"/>
              <w:jc w:val="center"/>
              <w:rPr>
                <w:spacing w:val="-1"/>
                <w:sz w:val="24"/>
                <w:szCs w:val="24"/>
              </w:rPr>
            </w:pPr>
            <w:r>
              <w:rPr>
                <w:rFonts w:hint="eastAsia" w:ascii="宋体" w:hAnsi="宋体" w:cs="宋体"/>
                <w:sz w:val="24"/>
                <w:szCs w:val="24"/>
              </w:rPr>
              <w:t>▲</w:t>
            </w:r>
            <w:r>
              <w:rPr>
                <w:rFonts w:hint="eastAsia"/>
                <w:sz w:val="24"/>
                <w:szCs w:val="24"/>
              </w:rPr>
              <w:t>2.4</w:t>
            </w:r>
          </w:p>
        </w:tc>
        <w:tc>
          <w:tcPr>
            <w:tcW w:w="7654" w:type="dxa"/>
            <w:shd w:val="clear" w:color="auto" w:fill="auto"/>
          </w:tcPr>
          <w:p w14:paraId="15429BA4">
            <w:pPr>
              <w:spacing w:line="360" w:lineRule="auto"/>
              <w:rPr>
                <w:spacing w:val="-1"/>
                <w:sz w:val="24"/>
                <w:szCs w:val="24"/>
              </w:rPr>
            </w:pPr>
            <w:r>
              <w:rPr>
                <w:rFonts w:hint="eastAsia"/>
                <w:sz w:val="24"/>
                <w:szCs w:val="24"/>
              </w:rPr>
              <w:t>心肌收缩力指数适用于从低体重新生儿（≥0.5kg）到成人的所有类型患者的心肌功能测量。</w:t>
            </w:r>
          </w:p>
        </w:tc>
      </w:tr>
      <w:tr w14:paraId="410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D5A61B3">
            <w:pPr>
              <w:spacing w:line="360" w:lineRule="auto"/>
              <w:jc w:val="center"/>
              <w:rPr>
                <w:rFonts w:hint="eastAsia" w:ascii="宋体" w:hAnsi="宋体" w:cs="宋体"/>
                <w:sz w:val="24"/>
                <w:szCs w:val="24"/>
              </w:rPr>
            </w:pPr>
            <w:r>
              <w:rPr>
                <w:rFonts w:hint="eastAsia"/>
                <w:sz w:val="24"/>
                <w:szCs w:val="24"/>
              </w:rPr>
              <w:t>2.5</w:t>
            </w:r>
          </w:p>
        </w:tc>
        <w:tc>
          <w:tcPr>
            <w:tcW w:w="7654" w:type="dxa"/>
            <w:shd w:val="clear" w:color="auto" w:fill="auto"/>
          </w:tcPr>
          <w:p w14:paraId="6F62EC43">
            <w:pPr>
              <w:spacing w:line="360" w:lineRule="auto"/>
              <w:rPr>
                <w:sz w:val="24"/>
                <w:szCs w:val="24"/>
              </w:rPr>
            </w:pPr>
            <w:r>
              <w:rPr>
                <w:rFonts w:hint="eastAsia"/>
                <w:sz w:val="24"/>
                <w:szCs w:val="24"/>
              </w:rPr>
              <w:t>STR收缩时间比率可作为心脏彩超EF值的指示参数，STR与EF呈负相关。</w:t>
            </w:r>
          </w:p>
        </w:tc>
      </w:tr>
      <w:tr w14:paraId="314F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C3AF01F">
            <w:pPr>
              <w:spacing w:line="360" w:lineRule="auto"/>
              <w:jc w:val="center"/>
              <w:rPr>
                <w:rFonts w:hint="eastAsia" w:ascii="宋体" w:hAnsi="宋体" w:cs="宋体"/>
                <w:sz w:val="24"/>
                <w:szCs w:val="24"/>
              </w:rPr>
            </w:pPr>
            <w:r>
              <w:rPr>
                <w:sz w:val="24"/>
                <w:szCs w:val="24"/>
              </w:rPr>
              <w:t>▲</w:t>
            </w:r>
            <w:r>
              <w:rPr>
                <w:rFonts w:hint="eastAsia"/>
                <w:sz w:val="24"/>
                <w:szCs w:val="24"/>
              </w:rPr>
              <w:t>2.6</w:t>
            </w:r>
          </w:p>
        </w:tc>
        <w:tc>
          <w:tcPr>
            <w:tcW w:w="7654" w:type="dxa"/>
            <w:shd w:val="clear" w:color="auto" w:fill="auto"/>
          </w:tcPr>
          <w:p w14:paraId="4C1A8AE9">
            <w:pPr>
              <w:spacing w:line="360" w:lineRule="auto"/>
              <w:rPr>
                <w:sz w:val="24"/>
                <w:szCs w:val="24"/>
              </w:rPr>
            </w:pPr>
            <w:r>
              <w:rPr>
                <w:rFonts w:hint="eastAsia"/>
                <w:sz w:val="24"/>
                <w:szCs w:val="24"/>
              </w:rPr>
              <w:t>具备液体管理监测参数：TFC胸腔液体水平、SVV每搏输出量变异、FTC校正射血时间，指导患者补液、输血治疗。</w:t>
            </w:r>
          </w:p>
        </w:tc>
      </w:tr>
      <w:tr w14:paraId="4B8C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702D653">
            <w:pPr>
              <w:spacing w:line="360" w:lineRule="auto"/>
              <w:jc w:val="center"/>
              <w:rPr>
                <w:rFonts w:hint="eastAsia" w:ascii="宋体" w:hAnsi="宋体" w:cs="宋体"/>
                <w:sz w:val="24"/>
                <w:szCs w:val="24"/>
              </w:rPr>
            </w:pPr>
            <w:r>
              <w:rPr>
                <w:rFonts w:hint="eastAsia"/>
                <w:sz w:val="24"/>
                <w:szCs w:val="24"/>
              </w:rPr>
              <w:t>2.7</w:t>
            </w:r>
          </w:p>
        </w:tc>
        <w:tc>
          <w:tcPr>
            <w:tcW w:w="7654" w:type="dxa"/>
            <w:shd w:val="clear" w:color="auto" w:fill="auto"/>
          </w:tcPr>
          <w:p w14:paraId="22E5236B">
            <w:pPr>
              <w:spacing w:line="360" w:lineRule="auto"/>
              <w:rPr>
                <w:sz w:val="24"/>
                <w:szCs w:val="24"/>
              </w:rPr>
            </w:pPr>
            <w:r>
              <w:rPr>
                <w:rFonts w:hint="eastAsia"/>
                <w:sz w:val="24"/>
                <w:szCs w:val="24"/>
              </w:rPr>
              <w:t>具备氧合状况（脉冲血氧测定法）主要性能指标：DO2氧气输送、DO2I氧气输送指数、CaO2动脉血氧含量，指导患者输氧治疗。</w:t>
            </w:r>
          </w:p>
        </w:tc>
      </w:tr>
      <w:tr w14:paraId="4D6E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shd w:val="clear" w:color="auto" w:fill="auto"/>
            <w:vAlign w:val="center"/>
          </w:tcPr>
          <w:p w14:paraId="21E4F144">
            <w:pPr>
              <w:spacing w:line="360" w:lineRule="auto"/>
              <w:jc w:val="center"/>
              <w:rPr>
                <w:rFonts w:hint="eastAsia" w:ascii="宋体" w:hAnsi="宋体" w:cs="宋体"/>
                <w:sz w:val="24"/>
                <w:szCs w:val="24"/>
              </w:rPr>
            </w:pPr>
            <w:r>
              <w:rPr>
                <w:rFonts w:hint="eastAsia"/>
                <w:sz w:val="24"/>
                <w:szCs w:val="24"/>
              </w:rPr>
              <w:t>3</w:t>
            </w:r>
          </w:p>
        </w:tc>
        <w:tc>
          <w:tcPr>
            <w:tcW w:w="7654" w:type="dxa"/>
            <w:shd w:val="clear" w:color="auto" w:fill="auto"/>
          </w:tcPr>
          <w:p w14:paraId="670888A1">
            <w:pPr>
              <w:spacing w:line="360" w:lineRule="auto"/>
              <w:rPr>
                <w:sz w:val="24"/>
                <w:szCs w:val="24"/>
              </w:rPr>
            </w:pPr>
            <w:r>
              <w:rPr>
                <w:rFonts w:hint="eastAsia"/>
                <w:sz w:val="24"/>
                <w:szCs w:val="24"/>
              </w:rPr>
              <w:t>设备配置要求</w:t>
            </w:r>
          </w:p>
        </w:tc>
      </w:tr>
      <w:tr w14:paraId="1821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6A602EC">
            <w:pPr>
              <w:spacing w:line="360" w:lineRule="auto"/>
              <w:jc w:val="center"/>
              <w:rPr>
                <w:rFonts w:hint="eastAsia" w:ascii="宋体" w:hAnsi="宋体" w:cs="宋体"/>
                <w:sz w:val="24"/>
                <w:szCs w:val="24"/>
              </w:rPr>
            </w:pPr>
            <w:r>
              <w:rPr>
                <w:rFonts w:hint="eastAsia"/>
                <w:sz w:val="24"/>
                <w:szCs w:val="24"/>
              </w:rPr>
              <w:t>3.1</w:t>
            </w:r>
          </w:p>
        </w:tc>
        <w:tc>
          <w:tcPr>
            <w:tcW w:w="7654" w:type="dxa"/>
            <w:shd w:val="clear" w:color="auto" w:fill="auto"/>
          </w:tcPr>
          <w:p w14:paraId="19CAE789">
            <w:pPr>
              <w:spacing w:line="360" w:lineRule="auto"/>
              <w:rPr>
                <w:sz w:val="24"/>
                <w:szCs w:val="24"/>
              </w:rPr>
            </w:pPr>
            <w:r>
              <w:rPr>
                <w:rFonts w:hint="eastAsia"/>
                <w:sz w:val="24"/>
                <w:szCs w:val="24"/>
              </w:rPr>
              <w:t>显示屏：≥3.5高清晰彩色显示屏。</w:t>
            </w:r>
          </w:p>
        </w:tc>
      </w:tr>
      <w:tr w14:paraId="5F7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66AD6E50">
            <w:pPr>
              <w:spacing w:line="360" w:lineRule="auto"/>
              <w:jc w:val="center"/>
              <w:rPr>
                <w:rFonts w:hint="eastAsia" w:ascii="宋体" w:hAnsi="宋体" w:cs="宋体"/>
                <w:sz w:val="24"/>
                <w:szCs w:val="24"/>
              </w:rPr>
            </w:pPr>
            <w:r>
              <w:rPr>
                <w:rFonts w:hint="eastAsia"/>
                <w:sz w:val="24"/>
                <w:szCs w:val="24"/>
              </w:rPr>
              <w:t>3.2</w:t>
            </w:r>
          </w:p>
        </w:tc>
        <w:tc>
          <w:tcPr>
            <w:tcW w:w="7654" w:type="dxa"/>
            <w:shd w:val="clear" w:color="auto" w:fill="auto"/>
          </w:tcPr>
          <w:p w14:paraId="266DDAD7">
            <w:pPr>
              <w:spacing w:line="360" w:lineRule="auto"/>
              <w:rPr>
                <w:sz w:val="24"/>
                <w:szCs w:val="24"/>
              </w:rPr>
            </w:pPr>
            <w:r>
              <w:rPr>
                <w:rFonts w:hint="eastAsia"/>
                <w:sz w:val="24"/>
                <w:szCs w:val="24"/>
              </w:rPr>
              <w:t>一体化台车：可扩展至</w:t>
            </w:r>
            <w:r>
              <w:rPr>
                <w:rFonts w:ascii="Arial" w:hAnsi="Arial" w:cs="Arial"/>
                <w:sz w:val="24"/>
                <w:szCs w:val="24"/>
              </w:rPr>
              <w:t>≥</w:t>
            </w:r>
            <w:r>
              <w:rPr>
                <w:rFonts w:hint="eastAsia"/>
                <w:sz w:val="24"/>
                <w:szCs w:val="24"/>
              </w:rPr>
              <w:t>17尺寸大小的彩色显示屏，配备打印机。</w:t>
            </w:r>
          </w:p>
        </w:tc>
      </w:tr>
      <w:tr w14:paraId="7C6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CD5A8F2">
            <w:pPr>
              <w:spacing w:line="360" w:lineRule="auto"/>
              <w:jc w:val="center"/>
              <w:rPr>
                <w:rFonts w:hint="eastAsia" w:ascii="宋体" w:hAnsi="宋体" w:cs="宋体"/>
                <w:sz w:val="24"/>
                <w:szCs w:val="24"/>
              </w:rPr>
            </w:pPr>
            <w:r>
              <w:rPr>
                <w:rFonts w:hint="eastAsia"/>
                <w:sz w:val="24"/>
                <w:szCs w:val="24"/>
              </w:rPr>
              <w:t>3.3</w:t>
            </w:r>
          </w:p>
        </w:tc>
        <w:tc>
          <w:tcPr>
            <w:tcW w:w="7654" w:type="dxa"/>
            <w:shd w:val="clear" w:color="auto" w:fill="auto"/>
          </w:tcPr>
          <w:p w14:paraId="4BBF13EB">
            <w:pPr>
              <w:spacing w:line="360" w:lineRule="auto"/>
              <w:rPr>
                <w:sz w:val="24"/>
                <w:szCs w:val="24"/>
              </w:rPr>
            </w:pPr>
            <w:r>
              <w:rPr>
                <w:rFonts w:hint="eastAsia"/>
                <w:sz w:val="24"/>
                <w:szCs w:val="24"/>
              </w:rPr>
              <w:t>便携式主机，仪器重量：≤750g，可床旁连续监测。</w:t>
            </w:r>
          </w:p>
        </w:tc>
      </w:tr>
      <w:tr w14:paraId="536C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07B3D801">
            <w:pPr>
              <w:spacing w:line="360" w:lineRule="auto"/>
              <w:jc w:val="center"/>
              <w:rPr>
                <w:rFonts w:hint="eastAsia" w:ascii="宋体" w:hAnsi="宋体" w:cs="宋体"/>
                <w:sz w:val="24"/>
                <w:szCs w:val="24"/>
              </w:rPr>
            </w:pPr>
            <w:r>
              <w:rPr>
                <w:rFonts w:hint="eastAsia"/>
                <w:sz w:val="24"/>
                <w:szCs w:val="24"/>
              </w:rPr>
              <w:t>3.4</w:t>
            </w:r>
          </w:p>
        </w:tc>
        <w:tc>
          <w:tcPr>
            <w:tcW w:w="7654" w:type="dxa"/>
            <w:shd w:val="clear" w:color="auto" w:fill="auto"/>
          </w:tcPr>
          <w:p w14:paraId="19725D28">
            <w:pPr>
              <w:spacing w:line="360" w:lineRule="auto"/>
              <w:rPr>
                <w:sz w:val="24"/>
                <w:szCs w:val="24"/>
              </w:rPr>
            </w:pPr>
            <w:r>
              <w:rPr>
                <w:rFonts w:hint="eastAsia"/>
                <w:sz w:val="24"/>
                <w:szCs w:val="24"/>
              </w:rPr>
              <w:t>数据存储：可存储≥11000条监测结果。</w:t>
            </w:r>
          </w:p>
        </w:tc>
      </w:tr>
      <w:tr w14:paraId="7A0D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39AFC147">
            <w:pPr>
              <w:spacing w:line="360" w:lineRule="auto"/>
              <w:jc w:val="center"/>
              <w:rPr>
                <w:rFonts w:hint="eastAsia" w:ascii="宋体" w:hAnsi="宋体" w:cs="宋体"/>
                <w:sz w:val="24"/>
                <w:szCs w:val="24"/>
              </w:rPr>
            </w:pPr>
            <w:r>
              <w:rPr>
                <w:rFonts w:hint="eastAsia"/>
                <w:sz w:val="24"/>
                <w:szCs w:val="24"/>
              </w:rPr>
              <w:t>3.5</w:t>
            </w:r>
          </w:p>
        </w:tc>
        <w:tc>
          <w:tcPr>
            <w:tcW w:w="7654" w:type="dxa"/>
            <w:shd w:val="clear" w:color="auto" w:fill="auto"/>
          </w:tcPr>
          <w:p w14:paraId="26969637">
            <w:pPr>
              <w:spacing w:line="360" w:lineRule="auto"/>
              <w:rPr>
                <w:sz w:val="24"/>
                <w:szCs w:val="24"/>
              </w:rPr>
            </w:pPr>
            <w:r>
              <w:rPr>
                <w:rFonts w:hint="eastAsia"/>
                <w:sz w:val="24"/>
                <w:szCs w:val="24"/>
              </w:rPr>
              <w:t>测量电流：≤2mA RMS/50kHz。</w:t>
            </w:r>
            <w:r>
              <w:rPr>
                <w:sz w:val="24"/>
                <w:szCs w:val="24"/>
              </w:rPr>
              <w:t xml:space="preserve"> </w:t>
            </w:r>
          </w:p>
        </w:tc>
      </w:tr>
      <w:tr w14:paraId="2FC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1F3CC664">
            <w:pPr>
              <w:spacing w:line="360" w:lineRule="auto"/>
              <w:jc w:val="center"/>
              <w:rPr>
                <w:rFonts w:hint="eastAsia" w:ascii="宋体" w:hAnsi="宋体" w:cs="宋体"/>
                <w:sz w:val="24"/>
                <w:szCs w:val="24"/>
              </w:rPr>
            </w:pPr>
            <w:r>
              <w:rPr>
                <w:rFonts w:hint="eastAsia"/>
                <w:sz w:val="24"/>
                <w:szCs w:val="24"/>
              </w:rPr>
              <w:t>3.6</w:t>
            </w:r>
          </w:p>
        </w:tc>
        <w:tc>
          <w:tcPr>
            <w:tcW w:w="7654" w:type="dxa"/>
            <w:shd w:val="clear" w:color="auto" w:fill="auto"/>
          </w:tcPr>
          <w:p w14:paraId="7993A25F">
            <w:pPr>
              <w:spacing w:line="360" w:lineRule="auto"/>
              <w:rPr>
                <w:sz w:val="24"/>
                <w:szCs w:val="24"/>
              </w:rPr>
            </w:pPr>
            <w:r>
              <w:rPr>
                <w:rFonts w:hint="eastAsia"/>
                <w:sz w:val="24"/>
                <w:szCs w:val="24"/>
              </w:rPr>
              <w:t>内置可充电锂电池，可持续监测时间≥120分钟。</w:t>
            </w:r>
          </w:p>
        </w:tc>
      </w:tr>
      <w:tr w14:paraId="697D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751A19BB">
            <w:pPr>
              <w:spacing w:line="360" w:lineRule="auto"/>
              <w:jc w:val="center"/>
              <w:rPr>
                <w:rFonts w:hint="eastAsia" w:ascii="宋体" w:hAnsi="宋体" w:cs="宋体"/>
                <w:sz w:val="24"/>
                <w:szCs w:val="24"/>
              </w:rPr>
            </w:pPr>
            <w:r>
              <w:rPr>
                <w:rFonts w:hint="eastAsia"/>
                <w:sz w:val="24"/>
                <w:szCs w:val="24"/>
              </w:rPr>
              <w:t>3.7</w:t>
            </w:r>
          </w:p>
        </w:tc>
        <w:tc>
          <w:tcPr>
            <w:tcW w:w="7654" w:type="dxa"/>
            <w:shd w:val="clear" w:color="auto" w:fill="auto"/>
          </w:tcPr>
          <w:p w14:paraId="055A04F6">
            <w:pPr>
              <w:spacing w:line="360" w:lineRule="auto"/>
              <w:rPr>
                <w:sz w:val="24"/>
                <w:szCs w:val="24"/>
              </w:rPr>
            </w:pPr>
            <w:r>
              <w:rPr>
                <w:rFonts w:hint="eastAsia"/>
                <w:sz w:val="24"/>
                <w:szCs w:val="24"/>
              </w:rPr>
              <w:t>免费开放端口，可实现多方位数据监测。</w:t>
            </w:r>
          </w:p>
        </w:tc>
      </w:tr>
    </w:tbl>
    <w:p w14:paraId="28C0B181">
      <w:pPr>
        <w:rPr>
          <w:rFonts w:hint="eastAsia" w:ascii="宋体" w:hAnsi="宋体"/>
          <w:sz w:val="24"/>
          <w:szCs w:val="24"/>
        </w:rPr>
      </w:pPr>
    </w:p>
    <w:p w14:paraId="1AC2C433">
      <w:pPr>
        <w:spacing w:line="360" w:lineRule="auto"/>
        <w:jc w:val="left"/>
        <w:rPr>
          <w:rFonts w:hint="eastAsia" w:ascii="宋体" w:hAnsi="宋体"/>
          <w:bCs/>
          <w:kern w:val="44"/>
          <w:sz w:val="24"/>
          <w:szCs w:val="24"/>
        </w:rPr>
      </w:pPr>
      <w:r>
        <w:rPr>
          <w:rFonts w:hint="eastAsia" w:ascii="宋体" w:hAnsi="宋体" w:cs="宋体"/>
          <w:b/>
          <w:kern w:val="0"/>
          <w:sz w:val="24"/>
          <w:szCs w:val="24"/>
        </w:rPr>
        <w:t>四、项目售后服务要求</w:t>
      </w:r>
    </w:p>
    <w:p w14:paraId="3CEDA960">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1.供货价为最终用户价，</w:t>
      </w:r>
      <w:r>
        <w:rPr>
          <w:rFonts w:hint="eastAsia" w:ascii="宋体" w:hAnsi="宋体" w:cs="宋体"/>
          <w:color w:val="000000"/>
          <w:kern w:val="0"/>
          <w:sz w:val="24"/>
          <w:lang w:bidi="ar"/>
        </w:rPr>
        <w:t>包括但不限于设备采购费、系统集成费、人工费、税费等，所有运费、保险均由投标方承担；</w:t>
      </w:r>
    </w:p>
    <w:p w14:paraId="0487A158">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2.设备是全新的、未使用过的，并完全符合规定的质量、规格和性能的要求。</w:t>
      </w:r>
    </w:p>
    <w:p w14:paraId="62455BC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19DF8F1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4.验收方案：根据合同的配置标准现场验收。</w:t>
      </w:r>
    </w:p>
    <w:p w14:paraId="3081CB29">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5.保证对所售设备提供专业的7*24小时原厂技术服务和技术支持，2小时内响应，12小时内到达现场，24小时内排除故障。如不能及时修复的，提供与该设备相同的备用机。</w:t>
      </w:r>
    </w:p>
    <w:p w14:paraId="7E5BC140">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供应商派原厂专业技术人员在项目现场对临床医生及技术人员提供技术培训，仪器应用及性能说明，日常维护保养，消毒及仪器清洁操作等，使招标方全面了解直至完全掌握设备的使用。在使用一段时间后可根据使用人员的要求另行安排培训计划；</w:t>
      </w:r>
    </w:p>
    <w:p w14:paraId="2111C0E5">
      <w:pPr>
        <w:spacing w:line="360" w:lineRule="auto"/>
        <w:jc w:val="left"/>
        <w:rPr>
          <w:rFonts w:hint="eastAsia" w:ascii="宋体" w:hAnsi="宋体" w:cs="宋体"/>
          <w:color w:val="000000"/>
          <w:kern w:val="0"/>
          <w:sz w:val="24"/>
          <w:szCs w:val="24"/>
          <w:lang w:bidi="ar"/>
        </w:rPr>
      </w:pPr>
      <w:r>
        <w:rPr>
          <w:rFonts w:hint="eastAsia" w:ascii="宋体" w:hAnsi="宋体"/>
          <w:bCs/>
          <w:sz w:val="24"/>
          <w:szCs w:val="24"/>
        </w:rPr>
        <w:t>★</w:t>
      </w:r>
      <w:r>
        <w:rPr>
          <w:rFonts w:hint="eastAsia" w:ascii="宋体" w:hAnsi="宋体" w:cs="宋体"/>
          <w:color w:val="000000"/>
          <w:kern w:val="0"/>
          <w:sz w:val="24"/>
          <w:szCs w:val="24"/>
          <w:lang w:bidi="ar"/>
        </w:rPr>
        <w:t>7.设备保修期验收合格后，所有投标设备及其附属易耗件（包括第三方外购设备及易耗件）质保期≥3年，在投标文件中提供原厂售后服务承诺函；</w:t>
      </w:r>
    </w:p>
    <w:p w14:paraId="4C7B5A28">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8.质保期内提供每年2次定期预防性维护，提供定期保养报告。质保期后年度定期预防性维护保养次数不少于2次。</w:t>
      </w:r>
    </w:p>
    <w:p w14:paraId="4121C26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rPr>
        <w:t>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Pr>
          <w:rFonts w:hint="eastAsia" w:ascii="宋体" w:hAnsi="宋体" w:cs="宋体"/>
          <w:color w:val="000000"/>
          <w:kern w:val="0"/>
          <w:sz w:val="24"/>
          <w:szCs w:val="24"/>
          <w:lang w:bidi="ar"/>
        </w:rPr>
        <w:t xml:space="preserve"> </w:t>
      </w:r>
    </w:p>
    <w:p w14:paraId="472C69A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10.提供终身软件升级、安装调试服务；</w:t>
      </w:r>
    </w:p>
    <w:p w14:paraId="0DDECD6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11.提供原厂技术援助：如提供操作手册，每年技术回访；</w:t>
      </w:r>
    </w:p>
    <w:p w14:paraId="377B44D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12.投标文件中分别提供随机易损件和易耗件清单（计入投标总价），和质保期结束后的备品备件、易损件和易耗件清单一览表（不计入投标总价）。</w:t>
      </w:r>
    </w:p>
    <w:p w14:paraId="2D5948E7">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13.备品备件供货价格：不得超过市场价格的50%。投标时需填写上述价格，出质保期后，上述产品供货价格以双方最终认定价格为准，且采购人有权更换供货方。配件供应 10 年以上。</w:t>
      </w:r>
    </w:p>
    <w:p w14:paraId="554E9963">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14.维保内容与价格：质保期后，维保费用以双方最终认定价格为准，原则上不超过设备总价的5%。</w:t>
      </w:r>
    </w:p>
    <w:p w14:paraId="76D29BBA">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0C70DA6"/>
    <w:multiLevelType w:val="multilevel"/>
    <w:tmpl w:val="60C70DA6"/>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F7DD1"/>
    <w:rsid w:val="165F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2025-03-13T15:03:00Z</dcterms:created>
  <dc:creator>杨俐君</dc:creator>
  <cp:lastModifiedBy>杨俐君</cp:lastModifiedBy>
  <dcterms:modified xsi:type="dcterms:W3CDTF">2025-03-13T15:04:52Z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827E4D6D846B45E48A95066419B1A735_11</vt:lpwstr>
  </property>
  <property fmtid="{D5CDD505-2E9C-101B-9397-08002B2CF9AE}" pid="4" name="KSOTemplateDocerSaveRecord">
    <vt:lpwstr>eyJoZGlkIjoiOTk1MDI2OWM5MzRhNzc2MDgxNDZhZmRhMmE3MWIxOTkiLCJ1c2VySWQiOiI2NDA4MzE2NjgifQ==</vt:lpwstr>
  </property>
</Properties>
</file>