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3D3EA">
      <w:pPr>
        <w:pStyle w:val="2"/>
        <w:numPr>
          <w:ilvl w:val="0"/>
          <w:numId w:val="2"/>
        </w:numPr>
        <w:tabs>
          <w:tab w:val="left" w:pos="360"/>
          <w:tab w:val="clear" w:pos="3810"/>
        </w:tabs>
        <w:adjustRightInd/>
        <w:spacing w:before="100" w:after="100" w:line="440" w:lineRule="exact"/>
        <w:ind w:left="0" w:firstLine="0"/>
        <w:jc w:val="left"/>
        <w:textAlignment w:val="auto"/>
        <w:rPr>
          <w:b/>
          <w:sz w:val="24"/>
          <w:szCs w:val="24"/>
        </w:rPr>
      </w:pPr>
      <w:bookmarkStart w:id="0" w:name="PO_PURCHASE_REQUIREMENT_FILE28186_2"/>
      <w:bookmarkStart w:id="1" w:name="PO_PURCHASE_REQUIREMENT_FILE36649_2"/>
      <w:r>
        <w:rPr>
          <w:rFonts w:hint="eastAsia"/>
          <w:b/>
          <w:sz w:val="24"/>
          <w:szCs w:val="24"/>
        </w:rPr>
        <w:t>主要功能及工作原理：</w:t>
      </w:r>
    </w:p>
    <w:p w14:paraId="1395A242">
      <w:pPr>
        <w:spacing w:line="360" w:lineRule="auto"/>
        <w:ind w:firstLine="480" w:firstLineChars="200"/>
        <w:rPr>
          <w:rFonts w:hint="eastAsia" w:ascii="宋体" w:hAnsi="宋体"/>
          <w:sz w:val="24"/>
          <w:szCs w:val="24"/>
        </w:rPr>
      </w:pPr>
      <w:r>
        <w:rPr>
          <w:rFonts w:hint="eastAsia" w:ascii="宋体" w:hAnsi="宋体"/>
          <w:sz w:val="24"/>
          <w:szCs w:val="24"/>
        </w:rPr>
        <w:t>给患者提供常频高频呼吸通气治疗</w:t>
      </w:r>
    </w:p>
    <w:p w14:paraId="6E7E872E">
      <w:pPr>
        <w:pStyle w:val="2"/>
        <w:numPr>
          <w:ilvl w:val="0"/>
          <w:numId w:val="2"/>
        </w:numPr>
        <w:tabs>
          <w:tab w:val="left" w:pos="360"/>
          <w:tab w:val="clear" w:pos="3810"/>
        </w:tabs>
        <w:adjustRightInd/>
        <w:spacing w:before="100" w:after="100" w:line="440" w:lineRule="exact"/>
        <w:ind w:left="0" w:firstLine="0"/>
        <w:jc w:val="left"/>
        <w:textAlignment w:val="auto"/>
        <w:rPr>
          <w:b/>
          <w:sz w:val="24"/>
          <w:szCs w:val="24"/>
        </w:rPr>
      </w:pPr>
      <w:r>
        <w:rPr>
          <w:rFonts w:hint="eastAsia"/>
          <w:b/>
          <w:sz w:val="24"/>
          <w:szCs w:val="24"/>
        </w:rPr>
        <w:t>应用场景：</w:t>
      </w:r>
    </w:p>
    <w:p w14:paraId="0714DB50">
      <w:pPr>
        <w:spacing w:line="360" w:lineRule="auto"/>
        <w:ind w:firstLine="480" w:firstLineChars="200"/>
        <w:rPr>
          <w:rFonts w:hint="eastAsia" w:ascii="宋体" w:hAnsi="宋体"/>
          <w:sz w:val="24"/>
          <w:szCs w:val="24"/>
        </w:rPr>
      </w:pPr>
      <w:r>
        <w:rPr>
          <w:rFonts w:hint="eastAsia" w:ascii="宋体" w:hAnsi="宋体"/>
          <w:sz w:val="24"/>
          <w:szCs w:val="24"/>
        </w:rPr>
        <w:t>通过电阻抗的测量来对人体肺部的病变进行诊断，精确的显示通气/血流比，精准地诊断肺通气的范围，肺不张等，可用于重症儿童，婴幼儿有呼吸道疾病或者其他原因引起的ARDS进行辅助诊断治疗。</w:t>
      </w:r>
    </w:p>
    <w:p w14:paraId="462E393F">
      <w:pPr>
        <w:spacing w:line="360" w:lineRule="auto"/>
        <w:ind w:firstLine="480" w:firstLineChars="200"/>
        <w:rPr>
          <w:rFonts w:hint="eastAsia" w:ascii="宋体" w:hAnsi="宋体"/>
          <w:sz w:val="24"/>
          <w:szCs w:val="24"/>
        </w:rPr>
      </w:pPr>
      <w:r>
        <w:rPr>
          <w:rFonts w:hint="eastAsia" w:ascii="宋体" w:hAnsi="宋体"/>
          <w:sz w:val="24"/>
          <w:szCs w:val="24"/>
        </w:rPr>
        <w:t>设备可应用于婴幼儿，儿童及成人所有年龄段患者。</w:t>
      </w:r>
    </w:p>
    <w:p w14:paraId="7656EDAA">
      <w:pPr>
        <w:pStyle w:val="2"/>
        <w:numPr>
          <w:ilvl w:val="0"/>
          <w:numId w:val="2"/>
        </w:numPr>
        <w:tabs>
          <w:tab w:val="left" w:pos="360"/>
          <w:tab w:val="clear" w:pos="3810"/>
        </w:tabs>
        <w:adjustRightInd/>
        <w:spacing w:before="100" w:after="100" w:line="360" w:lineRule="auto"/>
        <w:ind w:left="0" w:firstLine="0"/>
        <w:jc w:val="left"/>
        <w:textAlignment w:val="auto"/>
        <w:rPr>
          <w:b/>
          <w:sz w:val="24"/>
          <w:szCs w:val="24"/>
        </w:rPr>
      </w:pPr>
      <w:bookmarkStart w:id="2" w:name="_Toc70385203"/>
      <w:bookmarkStart w:id="3" w:name="_Toc72184668"/>
      <w:r>
        <w:rPr>
          <w:rFonts w:hint="eastAsia"/>
          <w:b/>
          <w:sz w:val="24"/>
          <w:szCs w:val="24"/>
        </w:rPr>
        <w:t>配置清单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758"/>
        <w:gridCol w:w="1604"/>
      </w:tblGrid>
      <w:tr w14:paraId="335D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shd w:val="clear" w:color="auto" w:fill="D9D9D9"/>
            <w:vAlign w:val="center"/>
          </w:tcPr>
          <w:p w14:paraId="7FE89368">
            <w:pPr>
              <w:jc w:val="center"/>
              <w:rPr>
                <w:sz w:val="24"/>
                <w:szCs w:val="24"/>
              </w:rPr>
            </w:pPr>
            <w:r>
              <w:rPr>
                <w:rFonts w:hint="eastAsia"/>
                <w:sz w:val="24"/>
                <w:szCs w:val="24"/>
              </w:rPr>
              <w:t>序号</w:t>
            </w:r>
          </w:p>
        </w:tc>
        <w:tc>
          <w:tcPr>
            <w:tcW w:w="3758" w:type="dxa"/>
            <w:shd w:val="clear" w:color="auto" w:fill="D9D9D9"/>
            <w:vAlign w:val="center"/>
          </w:tcPr>
          <w:p w14:paraId="186BF857">
            <w:pPr>
              <w:jc w:val="center"/>
              <w:rPr>
                <w:sz w:val="24"/>
                <w:szCs w:val="24"/>
              </w:rPr>
            </w:pPr>
            <w:r>
              <w:rPr>
                <w:rFonts w:hint="eastAsia"/>
                <w:sz w:val="24"/>
                <w:szCs w:val="24"/>
              </w:rPr>
              <w:t>名称</w:t>
            </w:r>
          </w:p>
        </w:tc>
        <w:tc>
          <w:tcPr>
            <w:tcW w:w="1604" w:type="dxa"/>
            <w:shd w:val="clear" w:color="auto" w:fill="D9D9D9"/>
            <w:vAlign w:val="center"/>
          </w:tcPr>
          <w:p w14:paraId="0122E951">
            <w:pPr>
              <w:jc w:val="center"/>
              <w:rPr>
                <w:sz w:val="24"/>
                <w:szCs w:val="24"/>
              </w:rPr>
            </w:pPr>
            <w:r>
              <w:rPr>
                <w:rFonts w:hint="eastAsia"/>
                <w:sz w:val="24"/>
                <w:szCs w:val="24"/>
              </w:rPr>
              <w:t>数量</w:t>
            </w:r>
          </w:p>
        </w:tc>
      </w:tr>
      <w:tr w14:paraId="236F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236D09D8">
            <w:pPr>
              <w:jc w:val="center"/>
              <w:rPr>
                <w:rFonts w:hint="eastAsia" w:ascii="宋体" w:hAnsi="宋体" w:cs="宋体"/>
                <w:sz w:val="24"/>
                <w:szCs w:val="24"/>
              </w:rPr>
            </w:pPr>
            <w:r>
              <w:rPr>
                <w:rFonts w:ascii="Calibri" w:hAnsi="Calibri" w:cs="Calibri"/>
                <w:color w:val="000000"/>
                <w:kern w:val="0"/>
                <w:sz w:val="24"/>
                <w:szCs w:val="24"/>
                <w:lang w:bidi="ar"/>
              </w:rPr>
              <w:t>1</w:t>
            </w:r>
          </w:p>
        </w:tc>
        <w:tc>
          <w:tcPr>
            <w:tcW w:w="3758" w:type="dxa"/>
            <w:shd w:val="clear" w:color="auto" w:fill="auto"/>
            <w:vAlign w:val="center"/>
          </w:tcPr>
          <w:p w14:paraId="291F6F43">
            <w:pPr>
              <w:jc w:val="center"/>
              <w:rPr>
                <w:rFonts w:ascii="Calibri" w:hAnsi="Calibri" w:cs="Calibri"/>
                <w:color w:val="000000"/>
                <w:kern w:val="0"/>
                <w:sz w:val="24"/>
                <w:szCs w:val="24"/>
                <w:lang w:bidi="ar"/>
              </w:rPr>
            </w:pPr>
            <w:r>
              <w:rPr>
                <w:rFonts w:hint="eastAsia" w:ascii="宋体" w:hAnsi="宋体"/>
                <w:color w:val="000000"/>
                <w:kern w:val="0"/>
                <w:sz w:val="22"/>
                <w:szCs w:val="22"/>
              </w:rPr>
              <w:t>主机</w:t>
            </w:r>
          </w:p>
        </w:tc>
        <w:tc>
          <w:tcPr>
            <w:tcW w:w="1604" w:type="dxa"/>
            <w:shd w:val="clear" w:color="auto" w:fill="auto"/>
            <w:vAlign w:val="center"/>
          </w:tcPr>
          <w:p w14:paraId="35FC199F">
            <w:pPr>
              <w:jc w:val="center"/>
              <w:rPr>
                <w:rFonts w:ascii="Calibri" w:hAnsi="Calibri" w:cs="Calibri"/>
                <w:color w:val="000000"/>
                <w:kern w:val="0"/>
                <w:sz w:val="24"/>
                <w:szCs w:val="24"/>
                <w:lang w:bidi="ar"/>
              </w:rPr>
            </w:pPr>
            <w:r>
              <w:rPr>
                <w:rFonts w:hint="eastAsia" w:ascii="宋体" w:hAnsi="宋体"/>
                <w:color w:val="000000"/>
                <w:kern w:val="0"/>
                <w:sz w:val="22"/>
                <w:szCs w:val="22"/>
              </w:rPr>
              <w:t>1台</w:t>
            </w:r>
          </w:p>
        </w:tc>
      </w:tr>
      <w:tr w14:paraId="6C68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0F68A817">
            <w:pPr>
              <w:jc w:val="center"/>
              <w:rPr>
                <w:rFonts w:hint="eastAsia" w:ascii="宋体" w:hAnsi="宋体" w:cs="宋体"/>
                <w:sz w:val="24"/>
                <w:szCs w:val="24"/>
              </w:rPr>
            </w:pPr>
            <w:r>
              <w:rPr>
                <w:rFonts w:ascii="Calibri" w:hAnsi="Calibri" w:cs="Calibri"/>
                <w:color w:val="000000"/>
                <w:kern w:val="0"/>
                <w:sz w:val="24"/>
                <w:szCs w:val="24"/>
                <w:lang w:bidi="ar"/>
              </w:rPr>
              <w:t>2</w:t>
            </w:r>
          </w:p>
        </w:tc>
        <w:tc>
          <w:tcPr>
            <w:tcW w:w="3758" w:type="dxa"/>
            <w:shd w:val="clear" w:color="auto" w:fill="auto"/>
            <w:vAlign w:val="center"/>
          </w:tcPr>
          <w:p w14:paraId="3D053793">
            <w:pPr>
              <w:jc w:val="center"/>
              <w:rPr>
                <w:rFonts w:ascii="Calibri" w:hAnsi="Calibri" w:cs="Calibri"/>
                <w:color w:val="000000"/>
                <w:kern w:val="0"/>
                <w:sz w:val="24"/>
                <w:szCs w:val="24"/>
                <w:lang w:bidi="ar"/>
              </w:rPr>
            </w:pPr>
            <w:r>
              <w:rPr>
                <w:rFonts w:hint="eastAsia" w:ascii="宋体" w:hAnsi="宋体"/>
                <w:color w:val="000000"/>
                <w:kern w:val="0"/>
                <w:sz w:val="22"/>
                <w:szCs w:val="22"/>
              </w:rPr>
              <w:t>电源线</w:t>
            </w:r>
          </w:p>
        </w:tc>
        <w:tc>
          <w:tcPr>
            <w:tcW w:w="1604" w:type="dxa"/>
            <w:shd w:val="clear" w:color="auto" w:fill="auto"/>
            <w:vAlign w:val="center"/>
          </w:tcPr>
          <w:p w14:paraId="0C31C53E">
            <w:pPr>
              <w:jc w:val="center"/>
              <w:rPr>
                <w:rFonts w:ascii="Calibri" w:hAnsi="Calibri" w:cs="Calibri"/>
                <w:color w:val="000000"/>
                <w:kern w:val="0"/>
                <w:sz w:val="24"/>
                <w:szCs w:val="24"/>
                <w:lang w:bidi="ar"/>
              </w:rPr>
            </w:pPr>
            <w:r>
              <w:rPr>
                <w:rFonts w:hint="eastAsia" w:ascii="宋体" w:hAnsi="宋体"/>
                <w:color w:val="000000"/>
                <w:kern w:val="0"/>
                <w:sz w:val="22"/>
                <w:szCs w:val="22"/>
              </w:rPr>
              <w:t>1条</w:t>
            </w:r>
          </w:p>
        </w:tc>
      </w:tr>
      <w:tr w14:paraId="3F51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02654320">
            <w:pPr>
              <w:jc w:val="center"/>
              <w:rPr>
                <w:rFonts w:hint="eastAsia" w:ascii="宋体" w:hAnsi="宋体" w:cs="宋体"/>
                <w:sz w:val="24"/>
                <w:szCs w:val="24"/>
              </w:rPr>
            </w:pPr>
            <w:r>
              <w:rPr>
                <w:rFonts w:ascii="Calibri" w:hAnsi="Calibri" w:cs="Calibri"/>
                <w:color w:val="000000"/>
                <w:kern w:val="0"/>
                <w:sz w:val="24"/>
                <w:szCs w:val="24"/>
                <w:lang w:bidi="ar"/>
              </w:rPr>
              <w:t>3</w:t>
            </w:r>
          </w:p>
        </w:tc>
        <w:tc>
          <w:tcPr>
            <w:tcW w:w="3758" w:type="dxa"/>
            <w:shd w:val="clear" w:color="auto" w:fill="auto"/>
            <w:vAlign w:val="center"/>
          </w:tcPr>
          <w:p w14:paraId="01CCCAB7">
            <w:pPr>
              <w:jc w:val="center"/>
              <w:rPr>
                <w:rFonts w:ascii="Calibri" w:hAnsi="Calibri" w:cs="Calibri"/>
                <w:color w:val="000000"/>
                <w:kern w:val="0"/>
                <w:sz w:val="24"/>
                <w:szCs w:val="24"/>
                <w:lang w:bidi="ar"/>
              </w:rPr>
            </w:pPr>
            <w:r>
              <w:rPr>
                <w:rFonts w:hint="eastAsia" w:ascii="宋体" w:hAnsi="宋体"/>
                <w:color w:val="000000"/>
                <w:kern w:val="0"/>
                <w:sz w:val="22"/>
                <w:szCs w:val="22"/>
              </w:rPr>
              <w:t>设备电缆</w:t>
            </w:r>
          </w:p>
        </w:tc>
        <w:tc>
          <w:tcPr>
            <w:tcW w:w="1604" w:type="dxa"/>
            <w:shd w:val="clear" w:color="auto" w:fill="auto"/>
            <w:vAlign w:val="center"/>
          </w:tcPr>
          <w:p w14:paraId="288988C7">
            <w:pPr>
              <w:jc w:val="center"/>
              <w:rPr>
                <w:rFonts w:ascii="Calibri" w:hAnsi="Calibri" w:cs="Calibri"/>
                <w:color w:val="000000"/>
                <w:kern w:val="0"/>
                <w:sz w:val="24"/>
                <w:szCs w:val="24"/>
                <w:lang w:bidi="ar"/>
              </w:rPr>
            </w:pPr>
            <w:r>
              <w:rPr>
                <w:rFonts w:hint="eastAsia" w:ascii="宋体" w:hAnsi="宋体"/>
                <w:color w:val="000000"/>
                <w:kern w:val="0"/>
                <w:sz w:val="22"/>
                <w:szCs w:val="22"/>
              </w:rPr>
              <w:t>1条</w:t>
            </w:r>
          </w:p>
        </w:tc>
      </w:tr>
      <w:tr w14:paraId="2FD2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24026595">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4</w:t>
            </w:r>
          </w:p>
        </w:tc>
        <w:tc>
          <w:tcPr>
            <w:tcW w:w="3758" w:type="dxa"/>
            <w:shd w:val="clear" w:color="auto" w:fill="auto"/>
            <w:vAlign w:val="center"/>
          </w:tcPr>
          <w:p w14:paraId="0AFFBBAE">
            <w:pPr>
              <w:jc w:val="center"/>
              <w:rPr>
                <w:rFonts w:ascii="Calibri" w:hAnsi="Calibri" w:cs="Calibri"/>
                <w:color w:val="000000"/>
                <w:kern w:val="0"/>
                <w:sz w:val="24"/>
                <w:szCs w:val="24"/>
                <w:lang w:bidi="ar"/>
              </w:rPr>
            </w:pPr>
            <w:r>
              <w:rPr>
                <w:rFonts w:hint="eastAsia" w:ascii="宋体" w:hAnsi="宋体"/>
                <w:color w:val="000000"/>
                <w:kern w:val="0"/>
                <w:sz w:val="22"/>
                <w:szCs w:val="22"/>
              </w:rPr>
              <w:t>患者电缆</w:t>
            </w:r>
          </w:p>
        </w:tc>
        <w:tc>
          <w:tcPr>
            <w:tcW w:w="1604" w:type="dxa"/>
            <w:shd w:val="clear" w:color="auto" w:fill="auto"/>
            <w:vAlign w:val="center"/>
          </w:tcPr>
          <w:p w14:paraId="0FCFBEAE">
            <w:pPr>
              <w:jc w:val="center"/>
              <w:rPr>
                <w:rFonts w:ascii="Calibri" w:hAnsi="Calibri" w:cs="Calibri"/>
                <w:color w:val="000000"/>
                <w:kern w:val="0"/>
                <w:sz w:val="24"/>
                <w:szCs w:val="24"/>
                <w:lang w:bidi="ar"/>
              </w:rPr>
            </w:pPr>
            <w:r>
              <w:rPr>
                <w:rFonts w:hint="eastAsia" w:ascii="宋体" w:hAnsi="宋体"/>
                <w:color w:val="000000"/>
                <w:kern w:val="0"/>
                <w:sz w:val="22"/>
                <w:szCs w:val="22"/>
              </w:rPr>
              <w:t>2套</w:t>
            </w:r>
          </w:p>
        </w:tc>
      </w:tr>
      <w:tr w14:paraId="27A3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485EC6F1">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5</w:t>
            </w:r>
          </w:p>
        </w:tc>
        <w:tc>
          <w:tcPr>
            <w:tcW w:w="3758" w:type="dxa"/>
            <w:shd w:val="clear" w:color="auto" w:fill="auto"/>
            <w:vAlign w:val="center"/>
          </w:tcPr>
          <w:p w14:paraId="7702E05E">
            <w:pPr>
              <w:jc w:val="center"/>
              <w:rPr>
                <w:rFonts w:ascii="Calibri" w:hAnsi="Calibri" w:cs="Calibri"/>
                <w:color w:val="000000"/>
                <w:kern w:val="0"/>
                <w:sz w:val="24"/>
                <w:szCs w:val="24"/>
                <w:lang w:bidi="ar"/>
              </w:rPr>
            </w:pPr>
            <w:r>
              <w:rPr>
                <w:rFonts w:hint="eastAsia" w:ascii="宋体" w:hAnsi="宋体"/>
                <w:color w:val="000000"/>
                <w:kern w:val="0"/>
                <w:sz w:val="22"/>
                <w:szCs w:val="22"/>
              </w:rPr>
              <w:t>电极带</w:t>
            </w:r>
          </w:p>
        </w:tc>
        <w:tc>
          <w:tcPr>
            <w:tcW w:w="1604" w:type="dxa"/>
            <w:shd w:val="clear" w:color="auto" w:fill="auto"/>
            <w:vAlign w:val="center"/>
          </w:tcPr>
          <w:p w14:paraId="446667AA">
            <w:pPr>
              <w:jc w:val="center"/>
              <w:rPr>
                <w:rFonts w:ascii="Calibri" w:hAnsi="Calibri" w:cs="Calibri"/>
                <w:color w:val="000000"/>
                <w:kern w:val="0"/>
                <w:sz w:val="24"/>
                <w:szCs w:val="24"/>
                <w:lang w:bidi="ar"/>
              </w:rPr>
            </w:pPr>
            <w:r>
              <w:rPr>
                <w:rFonts w:hint="eastAsia" w:ascii="宋体" w:hAnsi="宋体"/>
                <w:color w:val="000000"/>
                <w:kern w:val="0"/>
                <w:sz w:val="22"/>
                <w:szCs w:val="22"/>
              </w:rPr>
              <w:t>5条</w:t>
            </w:r>
          </w:p>
        </w:tc>
      </w:tr>
      <w:tr w14:paraId="52A3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50E7B8D6">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6</w:t>
            </w:r>
          </w:p>
        </w:tc>
        <w:tc>
          <w:tcPr>
            <w:tcW w:w="3758" w:type="dxa"/>
            <w:shd w:val="clear" w:color="auto" w:fill="auto"/>
            <w:vAlign w:val="center"/>
          </w:tcPr>
          <w:p w14:paraId="64AADD81">
            <w:pPr>
              <w:jc w:val="center"/>
              <w:rPr>
                <w:rFonts w:ascii="Calibri" w:hAnsi="Calibri" w:cs="Calibri"/>
                <w:color w:val="000000"/>
                <w:kern w:val="0"/>
                <w:sz w:val="24"/>
                <w:szCs w:val="24"/>
                <w:lang w:bidi="ar"/>
              </w:rPr>
            </w:pPr>
            <w:r>
              <w:rPr>
                <w:rFonts w:hint="eastAsia" w:ascii="宋体" w:hAnsi="宋体"/>
                <w:color w:val="000000"/>
                <w:kern w:val="0"/>
                <w:sz w:val="22"/>
                <w:szCs w:val="22"/>
              </w:rPr>
              <w:t>说明书</w:t>
            </w:r>
          </w:p>
        </w:tc>
        <w:tc>
          <w:tcPr>
            <w:tcW w:w="1604" w:type="dxa"/>
            <w:shd w:val="clear" w:color="auto" w:fill="auto"/>
            <w:vAlign w:val="center"/>
          </w:tcPr>
          <w:p w14:paraId="0A00900F">
            <w:pPr>
              <w:jc w:val="center"/>
              <w:rPr>
                <w:rFonts w:ascii="Calibri" w:hAnsi="Calibri" w:cs="Calibri"/>
                <w:color w:val="000000"/>
                <w:kern w:val="0"/>
                <w:sz w:val="24"/>
                <w:szCs w:val="24"/>
                <w:lang w:bidi="ar"/>
              </w:rPr>
            </w:pPr>
            <w:r>
              <w:rPr>
                <w:rFonts w:hint="eastAsia" w:ascii="宋体" w:hAnsi="宋体"/>
                <w:color w:val="000000"/>
                <w:kern w:val="0"/>
                <w:sz w:val="22"/>
                <w:szCs w:val="22"/>
              </w:rPr>
              <w:t>1册</w:t>
            </w:r>
          </w:p>
        </w:tc>
      </w:tr>
      <w:tr w14:paraId="71DD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5B42DBAB">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7</w:t>
            </w:r>
          </w:p>
        </w:tc>
        <w:tc>
          <w:tcPr>
            <w:tcW w:w="3758" w:type="dxa"/>
            <w:shd w:val="clear" w:color="auto" w:fill="auto"/>
            <w:vAlign w:val="center"/>
          </w:tcPr>
          <w:p w14:paraId="2EF20404">
            <w:pPr>
              <w:jc w:val="center"/>
              <w:rPr>
                <w:rFonts w:ascii="Calibri" w:hAnsi="Calibri" w:cs="Calibri"/>
                <w:color w:val="000000"/>
                <w:kern w:val="0"/>
                <w:sz w:val="24"/>
                <w:szCs w:val="24"/>
                <w:lang w:bidi="ar"/>
              </w:rPr>
            </w:pPr>
            <w:r>
              <w:rPr>
                <w:rFonts w:hint="eastAsia" w:ascii="宋体" w:hAnsi="宋体"/>
                <w:color w:val="000000"/>
                <w:kern w:val="0"/>
                <w:sz w:val="22"/>
                <w:szCs w:val="22"/>
              </w:rPr>
              <w:t>移动台车</w:t>
            </w:r>
          </w:p>
        </w:tc>
        <w:tc>
          <w:tcPr>
            <w:tcW w:w="1604" w:type="dxa"/>
            <w:shd w:val="clear" w:color="auto" w:fill="auto"/>
            <w:vAlign w:val="center"/>
          </w:tcPr>
          <w:p w14:paraId="1590DF94">
            <w:pPr>
              <w:jc w:val="center"/>
              <w:rPr>
                <w:rFonts w:ascii="Calibri" w:hAnsi="Calibri" w:cs="Calibri"/>
                <w:color w:val="000000"/>
                <w:kern w:val="0"/>
                <w:sz w:val="24"/>
                <w:szCs w:val="24"/>
                <w:lang w:bidi="ar"/>
              </w:rPr>
            </w:pPr>
            <w:r>
              <w:rPr>
                <w:rFonts w:hint="eastAsia" w:ascii="宋体" w:hAnsi="宋体"/>
                <w:color w:val="000000"/>
                <w:kern w:val="0"/>
                <w:sz w:val="22"/>
                <w:szCs w:val="22"/>
              </w:rPr>
              <w:t>1台</w:t>
            </w:r>
          </w:p>
        </w:tc>
      </w:tr>
      <w:tr w14:paraId="39BF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68FCEB05">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8</w:t>
            </w:r>
          </w:p>
        </w:tc>
        <w:tc>
          <w:tcPr>
            <w:tcW w:w="3758" w:type="dxa"/>
            <w:shd w:val="clear" w:color="auto" w:fill="auto"/>
            <w:vAlign w:val="center"/>
          </w:tcPr>
          <w:p w14:paraId="49D11354">
            <w:pPr>
              <w:jc w:val="center"/>
              <w:rPr>
                <w:rFonts w:ascii="Calibri" w:hAnsi="Calibri" w:cs="Calibri"/>
                <w:color w:val="000000"/>
                <w:kern w:val="0"/>
                <w:sz w:val="24"/>
                <w:szCs w:val="24"/>
                <w:lang w:bidi="ar"/>
              </w:rPr>
            </w:pPr>
            <w:r>
              <w:rPr>
                <w:rFonts w:hint="eastAsia" w:ascii="宋体" w:hAnsi="宋体"/>
                <w:color w:val="000000"/>
                <w:kern w:val="0"/>
                <w:sz w:val="22"/>
                <w:szCs w:val="22"/>
              </w:rPr>
              <w:t>数据处理软件</w:t>
            </w:r>
          </w:p>
        </w:tc>
        <w:tc>
          <w:tcPr>
            <w:tcW w:w="1604" w:type="dxa"/>
            <w:shd w:val="clear" w:color="auto" w:fill="auto"/>
            <w:vAlign w:val="center"/>
          </w:tcPr>
          <w:p w14:paraId="74DF68A9">
            <w:pPr>
              <w:jc w:val="center"/>
              <w:rPr>
                <w:rFonts w:ascii="Calibri" w:hAnsi="Calibri" w:cs="Calibri"/>
                <w:color w:val="000000"/>
                <w:kern w:val="0"/>
                <w:sz w:val="24"/>
                <w:szCs w:val="24"/>
                <w:lang w:bidi="ar"/>
              </w:rPr>
            </w:pPr>
            <w:r>
              <w:rPr>
                <w:rFonts w:hint="eastAsia" w:ascii="宋体" w:hAnsi="宋体"/>
                <w:color w:val="000000"/>
                <w:kern w:val="0"/>
                <w:sz w:val="22"/>
                <w:szCs w:val="22"/>
              </w:rPr>
              <w:t>1份</w:t>
            </w:r>
          </w:p>
        </w:tc>
      </w:tr>
      <w:bookmarkEnd w:id="2"/>
      <w:bookmarkEnd w:id="3"/>
    </w:tbl>
    <w:tbl>
      <w:tblPr>
        <w:tblStyle w:val="3"/>
        <w:tblpPr w:leftFromText="180" w:rightFromText="180" w:vertAnchor="text" w:horzAnchor="page" w:tblpXSpec="center" w:tblpY="869"/>
        <w:tblOverlap w:val="never"/>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7632"/>
      </w:tblGrid>
      <w:tr w14:paraId="7118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721CDF23">
            <w:pPr>
              <w:spacing w:line="360" w:lineRule="auto"/>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序号</w:t>
            </w:r>
          </w:p>
        </w:tc>
        <w:tc>
          <w:tcPr>
            <w:tcW w:w="7632" w:type="dxa"/>
            <w:shd w:val="clear" w:color="auto" w:fill="auto"/>
          </w:tcPr>
          <w:p w14:paraId="58A94716">
            <w:pPr>
              <w:spacing w:line="360" w:lineRule="auto"/>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需求描述</w:t>
            </w:r>
          </w:p>
        </w:tc>
      </w:tr>
      <w:tr w14:paraId="2048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66B357D7">
            <w:pPr>
              <w:spacing w:line="360" w:lineRule="auto"/>
              <w:jc w:val="center"/>
              <w:rPr>
                <w:rFonts w:hint="eastAsia" w:asciiTheme="minorEastAsia" w:hAnsiTheme="minorEastAsia" w:eastAsiaTheme="minorEastAsia"/>
                <w:spacing w:val="-1"/>
                <w:sz w:val="24"/>
                <w:szCs w:val="24"/>
              </w:rPr>
            </w:pPr>
            <w:r>
              <w:rPr>
                <w:rFonts w:hint="eastAsia" w:asciiTheme="minorEastAsia" w:hAnsiTheme="minorEastAsia" w:eastAsiaTheme="minorEastAsia"/>
                <w:sz w:val="24"/>
                <w:szCs w:val="24"/>
              </w:rPr>
              <w:t>一</w:t>
            </w:r>
          </w:p>
        </w:tc>
        <w:tc>
          <w:tcPr>
            <w:tcW w:w="7632" w:type="dxa"/>
            <w:shd w:val="clear" w:color="auto" w:fill="auto"/>
          </w:tcPr>
          <w:p w14:paraId="093DBB56">
            <w:pPr>
              <w:spacing w:line="360" w:lineRule="auto"/>
              <w:rPr>
                <w:rFonts w:hint="eastAsia" w:asciiTheme="minorEastAsia" w:hAnsiTheme="minorEastAsia" w:eastAsiaTheme="minorEastAsia"/>
                <w:spacing w:val="-1"/>
                <w:sz w:val="24"/>
                <w:szCs w:val="24"/>
              </w:rPr>
            </w:pPr>
            <w:r>
              <w:rPr>
                <w:rFonts w:hint="eastAsia" w:asciiTheme="minorEastAsia" w:hAnsiTheme="minorEastAsia" w:eastAsiaTheme="minorEastAsia"/>
                <w:sz w:val="24"/>
                <w:szCs w:val="24"/>
              </w:rPr>
              <w:t>基本要求</w:t>
            </w:r>
          </w:p>
        </w:tc>
      </w:tr>
      <w:tr w14:paraId="3C25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174D6BE4">
            <w:pPr>
              <w:spacing w:line="360" w:lineRule="auto"/>
              <w:jc w:val="center"/>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▲1</w:t>
            </w:r>
          </w:p>
        </w:tc>
        <w:tc>
          <w:tcPr>
            <w:tcW w:w="7632" w:type="dxa"/>
            <w:shd w:val="clear" w:color="auto" w:fill="auto"/>
          </w:tcPr>
          <w:p w14:paraId="1030D343">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适用于婴幼儿、儿童、成人患者，采用电阻抗断层成像显示技术，无放射性，可显示胸腔肺通气图像和血流灌注图像及曲线，中文操作界面。</w:t>
            </w:r>
          </w:p>
        </w:tc>
      </w:tr>
      <w:tr w14:paraId="2B1F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01A4F716">
            <w:pPr>
              <w:spacing w:line="360" w:lineRule="auto"/>
              <w:jc w:val="center"/>
              <w:rPr>
                <w:rFonts w:hint="eastAsia"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2</w:t>
            </w:r>
          </w:p>
        </w:tc>
        <w:tc>
          <w:tcPr>
            <w:tcW w:w="7632" w:type="dxa"/>
            <w:shd w:val="clear" w:color="auto" w:fill="auto"/>
          </w:tcPr>
          <w:p w14:paraId="30A7A989">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主机与屏幕一体化设计，体积小，主机重量低于6KG，便于院内、病床间的转移使用。</w:t>
            </w:r>
          </w:p>
        </w:tc>
      </w:tr>
      <w:tr w14:paraId="6584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7B8F1D4D">
            <w:pPr>
              <w:spacing w:line="360" w:lineRule="auto"/>
              <w:jc w:val="center"/>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w:t>
            </w:r>
            <w:r>
              <w:rPr>
                <w:rFonts w:hint="eastAsia" w:asciiTheme="minorEastAsia" w:hAnsiTheme="minorEastAsia" w:eastAsiaTheme="minorEastAsia"/>
                <w:spacing w:val="-1"/>
                <w:sz w:val="24"/>
                <w:szCs w:val="24"/>
              </w:rPr>
              <w:t>3</w:t>
            </w:r>
          </w:p>
        </w:tc>
        <w:tc>
          <w:tcPr>
            <w:tcW w:w="7632" w:type="dxa"/>
            <w:shd w:val="clear" w:color="auto" w:fill="auto"/>
          </w:tcPr>
          <w:p w14:paraId="3C640E45">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采用≥13.3英寸彩色触摸屏，图像显示分辨率≥1920*1080像素，图像空间分辨率≥120x80。对比度≥800 : 1。</w:t>
            </w:r>
          </w:p>
        </w:tc>
      </w:tr>
      <w:tr w14:paraId="755E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1B202C4E">
            <w:pPr>
              <w:spacing w:line="360" w:lineRule="auto"/>
              <w:jc w:val="center"/>
              <w:rPr>
                <w:rFonts w:hint="eastAsia"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4</w:t>
            </w:r>
          </w:p>
        </w:tc>
        <w:tc>
          <w:tcPr>
            <w:tcW w:w="7632" w:type="dxa"/>
            <w:shd w:val="clear" w:color="auto" w:fill="auto"/>
          </w:tcPr>
          <w:p w14:paraId="3C507325">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标配原装同品牌电极带，</w:t>
            </w:r>
            <w:r>
              <w:rPr>
                <w:rFonts w:cs="HarmonyOS Sans SC Medium" w:asciiTheme="minorEastAsia" w:hAnsiTheme="minorEastAsia" w:eastAsiaTheme="minorEastAsia"/>
                <w:sz w:val="24"/>
                <w:szCs w:val="24"/>
              </w:rPr>
              <w:t>至少5种规格型号，绑带长度范围35.5cm到85cm</w:t>
            </w:r>
            <w:r>
              <w:rPr>
                <w:rFonts w:hint="eastAsia" w:cs="HarmonyOS Sans SC Medium" w:asciiTheme="minorEastAsia" w:hAnsiTheme="minorEastAsia" w:eastAsiaTheme="minorEastAsia"/>
                <w:sz w:val="24"/>
                <w:szCs w:val="24"/>
              </w:rPr>
              <w:t>，</w:t>
            </w:r>
            <w:bookmarkStart w:id="4" w:name="OLE_LINK4"/>
            <w:r>
              <w:rPr>
                <w:rFonts w:hint="eastAsia" w:cs="HarmonyOS Sans SC Medium" w:asciiTheme="minorEastAsia" w:hAnsiTheme="minorEastAsia" w:eastAsiaTheme="minorEastAsia"/>
                <w:sz w:val="24"/>
                <w:szCs w:val="24"/>
              </w:rPr>
              <w:t>电极带含16个等距电极。</w:t>
            </w:r>
            <w:bookmarkEnd w:id="4"/>
          </w:p>
        </w:tc>
      </w:tr>
      <w:tr w14:paraId="449B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36D30EFA">
            <w:pPr>
              <w:spacing w:line="360" w:lineRule="auto"/>
              <w:jc w:val="center"/>
              <w:rPr>
                <w:rFonts w:hint="eastAsia"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5</w:t>
            </w:r>
          </w:p>
        </w:tc>
        <w:tc>
          <w:tcPr>
            <w:tcW w:w="7632" w:type="dxa"/>
            <w:shd w:val="clear" w:color="auto" w:fill="auto"/>
          </w:tcPr>
          <w:p w14:paraId="59F26F0D">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标配通讯接口：USB Type A接口≥2个，USB Type B接口≥1个，RS232接口≥1个，RJ45网络接口≥1个。</w:t>
            </w:r>
          </w:p>
        </w:tc>
      </w:tr>
      <w:tr w14:paraId="7E86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0ED74053">
            <w:pPr>
              <w:spacing w:line="360" w:lineRule="auto"/>
              <w:jc w:val="center"/>
              <w:rPr>
                <w:rFonts w:hint="eastAsia"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6</w:t>
            </w:r>
          </w:p>
        </w:tc>
        <w:tc>
          <w:tcPr>
            <w:tcW w:w="7632" w:type="dxa"/>
            <w:shd w:val="clear" w:color="auto" w:fill="auto"/>
          </w:tcPr>
          <w:p w14:paraId="72CB5B9C">
            <w:pPr>
              <w:spacing w:line="360" w:lineRule="auto"/>
              <w:rPr>
                <w:rFonts w:hint="eastAsia" w:asciiTheme="minorEastAsia" w:hAnsiTheme="minorEastAsia" w:eastAsiaTheme="minorEastAsia"/>
                <w:spacing w:val="-1"/>
                <w:sz w:val="24"/>
                <w:szCs w:val="24"/>
              </w:rPr>
            </w:pPr>
            <w:bookmarkStart w:id="5" w:name="OLE_LINK5"/>
            <w:r>
              <w:rPr>
                <w:rFonts w:hint="eastAsia" w:cs="HarmonyOS Sans SC Medium" w:asciiTheme="minorEastAsia" w:hAnsiTheme="minorEastAsia" w:eastAsiaTheme="minorEastAsia"/>
                <w:sz w:val="24"/>
                <w:szCs w:val="24"/>
              </w:rPr>
              <w:t>存储空间不低于250GiB</w:t>
            </w:r>
            <w:bookmarkEnd w:id="5"/>
            <w:r>
              <w:rPr>
                <w:rFonts w:hint="eastAsia" w:cs="HarmonyOS Sans SC Medium" w:asciiTheme="minorEastAsia" w:hAnsiTheme="minorEastAsia" w:eastAsiaTheme="minorEastAsia"/>
                <w:sz w:val="24"/>
                <w:szCs w:val="24"/>
              </w:rPr>
              <w:t>，内存不低于2GiB。</w:t>
            </w:r>
          </w:p>
        </w:tc>
      </w:tr>
      <w:tr w14:paraId="3325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02C46110">
            <w:pPr>
              <w:spacing w:line="360" w:lineRule="auto"/>
              <w:jc w:val="center"/>
              <w:rPr>
                <w:rFonts w:hint="eastAsia"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二</w:t>
            </w:r>
          </w:p>
        </w:tc>
        <w:tc>
          <w:tcPr>
            <w:tcW w:w="7632" w:type="dxa"/>
            <w:shd w:val="clear" w:color="auto" w:fill="auto"/>
          </w:tcPr>
          <w:p w14:paraId="42CC4FFF">
            <w:pPr>
              <w:spacing w:line="360" w:lineRule="auto"/>
              <w:rPr>
                <w:rFonts w:hint="eastAsia"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详细参数要求</w:t>
            </w:r>
          </w:p>
        </w:tc>
      </w:tr>
      <w:tr w14:paraId="4FC8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4814472A">
            <w:pPr>
              <w:spacing w:line="360" w:lineRule="auto"/>
              <w:jc w:val="center"/>
              <w:rPr>
                <w:rFonts w:hint="eastAsia"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1</w:t>
            </w:r>
          </w:p>
        </w:tc>
        <w:tc>
          <w:tcPr>
            <w:tcW w:w="7632" w:type="dxa"/>
            <w:shd w:val="clear" w:color="auto" w:fill="auto"/>
          </w:tcPr>
          <w:p w14:paraId="4CFAE24F">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具有以下信息输入、输出功能：患者信息录入，患者数据记录，事件标记功能，数据回放功能，文件夹管理，切点频率设置，状态图像切换，多语言与时区的设置。</w:t>
            </w:r>
          </w:p>
        </w:tc>
      </w:tr>
      <w:tr w14:paraId="13D1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6728699E">
            <w:pPr>
              <w:spacing w:line="360" w:lineRule="auto"/>
              <w:jc w:val="center"/>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w:t>
            </w:r>
            <w:r>
              <w:rPr>
                <w:rFonts w:hint="eastAsia" w:asciiTheme="minorEastAsia" w:hAnsiTheme="minorEastAsia" w:eastAsiaTheme="minorEastAsia"/>
                <w:spacing w:val="-1"/>
                <w:sz w:val="24"/>
                <w:szCs w:val="24"/>
              </w:rPr>
              <w:t>2</w:t>
            </w:r>
          </w:p>
        </w:tc>
        <w:tc>
          <w:tcPr>
            <w:tcW w:w="7632" w:type="dxa"/>
            <w:shd w:val="clear" w:color="auto" w:fill="auto"/>
          </w:tcPr>
          <w:p w14:paraId="1468CEC8">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无需任何介质，即可连续监测患者肺部通气(LPB)和血流灌注(HPB)引起的实时阻抗变化，以全局和ROI的LPB和HPB百分比显示。</w:t>
            </w:r>
          </w:p>
        </w:tc>
      </w:tr>
      <w:tr w14:paraId="34D9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6A7C815D">
            <w:pPr>
              <w:spacing w:line="360" w:lineRule="auto"/>
              <w:jc w:val="center"/>
              <w:rPr>
                <w:rFonts w:hint="eastAsia"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3</w:t>
            </w:r>
          </w:p>
        </w:tc>
        <w:tc>
          <w:tcPr>
            <w:tcW w:w="7632" w:type="dxa"/>
            <w:shd w:val="clear" w:color="auto" w:fill="auto"/>
          </w:tcPr>
          <w:p w14:paraId="457BAE44">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切点频率可手动设置，便于区分HPB和LPB电阻抗信号，切点频率设置范围：45-195/min。</w:t>
            </w:r>
          </w:p>
        </w:tc>
      </w:tr>
      <w:tr w14:paraId="6267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0F5CB15A">
            <w:pPr>
              <w:spacing w:line="360" w:lineRule="auto"/>
              <w:jc w:val="center"/>
              <w:rPr>
                <w:rFonts w:hint="eastAsia"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4</w:t>
            </w:r>
          </w:p>
        </w:tc>
        <w:tc>
          <w:tcPr>
            <w:tcW w:w="7632" w:type="dxa"/>
            <w:shd w:val="clear" w:color="auto" w:fill="auto"/>
          </w:tcPr>
          <w:p w14:paraId="720C7168">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主视图工具：</w:t>
            </w:r>
          </w:p>
        </w:tc>
      </w:tr>
      <w:tr w14:paraId="7C05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38B15FAA">
            <w:pPr>
              <w:spacing w:line="360" w:lineRule="auto"/>
              <w:jc w:val="center"/>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 xml:space="preserve">▲4.1  </w:t>
            </w:r>
          </w:p>
        </w:tc>
        <w:tc>
          <w:tcPr>
            <w:tcW w:w="7632" w:type="dxa"/>
            <w:shd w:val="clear" w:color="auto" w:fill="auto"/>
          </w:tcPr>
          <w:p w14:paraId="07AFBD80">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 xml:space="preserve">可同屏显示LPB状态图像、动态图像和HPB的状态图像、动态图像。 </w:t>
            </w:r>
          </w:p>
        </w:tc>
      </w:tr>
      <w:tr w14:paraId="7165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7B556EA1">
            <w:pPr>
              <w:spacing w:line="360" w:lineRule="auto"/>
              <w:jc w:val="center"/>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4.2</w:t>
            </w:r>
          </w:p>
        </w:tc>
        <w:tc>
          <w:tcPr>
            <w:tcW w:w="7632" w:type="dxa"/>
            <w:shd w:val="clear" w:color="auto" w:fill="auto"/>
          </w:tcPr>
          <w:p w14:paraId="178200D0">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具有LPB全局阻抗曲线和至少4组LPB兴趣区ROI阻抗曲线，HPB全局阻抗曲线。</w:t>
            </w:r>
          </w:p>
        </w:tc>
      </w:tr>
      <w:tr w14:paraId="6326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707A22A4">
            <w:pPr>
              <w:spacing w:line="360" w:lineRule="auto"/>
              <w:jc w:val="center"/>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4.3</w:t>
            </w:r>
          </w:p>
        </w:tc>
        <w:tc>
          <w:tcPr>
            <w:tcW w:w="7632" w:type="dxa"/>
            <w:shd w:val="clear" w:color="auto" w:fill="auto"/>
          </w:tcPr>
          <w:p w14:paraId="188FE3E5">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具备自动增强显示功能，并可调节，范围1/8至8共15个级别。</w:t>
            </w:r>
          </w:p>
        </w:tc>
      </w:tr>
      <w:tr w14:paraId="0BDE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554F2D35">
            <w:pPr>
              <w:spacing w:line="360" w:lineRule="auto"/>
              <w:jc w:val="center"/>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4.4</w:t>
            </w:r>
          </w:p>
        </w:tc>
        <w:tc>
          <w:tcPr>
            <w:tcW w:w="7632" w:type="dxa"/>
            <w:shd w:val="clear" w:color="auto" w:fill="auto"/>
          </w:tcPr>
          <w:p w14:paraId="59862FA1">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ROI可设置层、象限、自由三种排列方式。</w:t>
            </w:r>
          </w:p>
        </w:tc>
      </w:tr>
      <w:tr w14:paraId="7B1E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65104EE1">
            <w:pPr>
              <w:spacing w:line="360" w:lineRule="auto"/>
              <w:jc w:val="center"/>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4.5</w:t>
            </w:r>
          </w:p>
        </w:tc>
        <w:tc>
          <w:tcPr>
            <w:tcW w:w="7632" w:type="dxa"/>
            <w:shd w:val="clear" w:color="auto" w:fill="auto"/>
          </w:tcPr>
          <w:p w14:paraId="3DAEEF4C">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可同屏显示潮气频率，LPB和HPB ROI百分比，CoV，电极断开指示等监测参数值。</w:t>
            </w:r>
          </w:p>
        </w:tc>
      </w:tr>
      <w:tr w14:paraId="2282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6EE13ED0">
            <w:pPr>
              <w:spacing w:line="360" w:lineRule="auto"/>
              <w:jc w:val="center"/>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4.6</w:t>
            </w:r>
          </w:p>
        </w:tc>
        <w:tc>
          <w:tcPr>
            <w:tcW w:w="7632" w:type="dxa"/>
            <w:shd w:val="clear" w:color="auto" w:fill="auto"/>
          </w:tcPr>
          <w:p w14:paraId="5233A660">
            <w:pPr>
              <w:spacing w:line="360" w:lineRule="auto"/>
              <w:rPr>
                <w:rFonts w:hint="eastAsia" w:asciiTheme="minorEastAsia" w:hAnsiTheme="minorEastAsia" w:eastAsiaTheme="minorEastAsia"/>
                <w:spacing w:val="-1"/>
                <w:sz w:val="24"/>
                <w:szCs w:val="24"/>
              </w:rPr>
            </w:pPr>
            <w:r>
              <w:rPr>
                <w:rFonts w:hint="eastAsia" w:cs="HarmonyOS Sans SC Medium" w:asciiTheme="minorEastAsia" w:hAnsiTheme="minorEastAsia" w:eastAsiaTheme="minorEastAsia"/>
                <w:sz w:val="24"/>
                <w:szCs w:val="24"/>
              </w:rPr>
              <w:t>具有图像参考功能。</w:t>
            </w:r>
          </w:p>
        </w:tc>
      </w:tr>
      <w:tr w14:paraId="175A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0618D442">
            <w:pPr>
              <w:spacing w:line="360" w:lineRule="auto"/>
              <w:jc w:val="center"/>
              <w:rPr>
                <w:rFonts w:hint="eastAsia" w:asciiTheme="minorEastAsia" w:hAnsiTheme="minorEastAsia" w:eastAsiaTheme="minorEastAsia"/>
                <w:spacing w:val="-1"/>
                <w:sz w:val="24"/>
                <w:szCs w:val="24"/>
              </w:rPr>
            </w:pPr>
            <w:r>
              <w:rPr>
                <w:rFonts w:hint="eastAsia" w:asciiTheme="minorEastAsia" w:hAnsiTheme="minorEastAsia" w:eastAsiaTheme="minorEastAsia"/>
                <w:spacing w:val="-1"/>
                <w:sz w:val="24"/>
                <w:szCs w:val="24"/>
              </w:rPr>
              <w:t>5</w:t>
            </w:r>
          </w:p>
        </w:tc>
        <w:tc>
          <w:tcPr>
            <w:tcW w:w="7632" w:type="dxa"/>
            <w:shd w:val="clear" w:color="auto" w:fill="auto"/>
          </w:tcPr>
          <w:p w14:paraId="01939F81">
            <w:pPr>
              <w:spacing w:line="360" w:lineRule="auto"/>
              <w:rPr>
                <w:rFonts w:hint="eastAsia" w:asciiTheme="minorEastAsia" w:hAnsiTheme="minorEastAsia" w:eastAsiaTheme="minorEastAsia"/>
                <w:spacing w:val="-1"/>
                <w:sz w:val="24"/>
                <w:szCs w:val="24"/>
              </w:rPr>
            </w:pPr>
            <w:bookmarkStart w:id="6" w:name="OLE_LINK6"/>
            <w:r>
              <w:rPr>
                <w:rFonts w:hint="eastAsia" w:cs="HarmonyOS Sans SC Medium" w:asciiTheme="minorEastAsia" w:hAnsiTheme="minorEastAsia" w:eastAsiaTheme="minorEastAsia"/>
                <w:sz w:val="24"/>
                <w:szCs w:val="24"/>
              </w:rPr>
              <w:t>△EELI视图工具</w:t>
            </w:r>
            <w:bookmarkEnd w:id="6"/>
            <w:r>
              <w:rPr>
                <w:rFonts w:hint="eastAsia" w:cs="HarmonyOS Sans SC Medium" w:asciiTheme="minorEastAsia" w:hAnsiTheme="minorEastAsia" w:eastAsiaTheme="minorEastAsia"/>
                <w:sz w:val="24"/>
                <w:szCs w:val="24"/>
              </w:rPr>
              <w:t>：</w:t>
            </w:r>
          </w:p>
        </w:tc>
      </w:tr>
      <w:tr w14:paraId="3D88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0EE4950D">
            <w:pPr>
              <w:spacing w:line="360" w:lineRule="auto"/>
              <w:jc w:val="center"/>
              <w:rPr>
                <w:rFonts w:hint="eastAsia" w:cs="宋体"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5.1</w:t>
            </w:r>
          </w:p>
        </w:tc>
        <w:tc>
          <w:tcPr>
            <w:tcW w:w="7632" w:type="dxa"/>
            <w:shd w:val="clear" w:color="auto" w:fill="auto"/>
          </w:tcPr>
          <w:p w14:paraId="7236DB50">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可动态显示呼末肺容量变化的区域信息。</w:t>
            </w:r>
          </w:p>
        </w:tc>
      </w:tr>
      <w:tr w14:paraId="4A2D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3ACEAAAC">
            <w:pPr>
              <w:spacing w:line="360" w:lineRule="auto"/>
              <w:jc w:val="center"/>
              <w:rPr>
                <w:rFonts w:hint="eastAsia" w:cs="宋体"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5.2</w:t>
            </w:r>
          </w:p>
        </w:tc>
        <w:tc>
          <w:tcPr>
            <w:tcW w:w="7632" w:type="dxa"/>
            <w:shd w:val="clear" w:color="auto" w:fill="auto"/>
          </w:tcPr>
          <w:p w14:paraId="257665D9">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全局和区域阻抗波形可压缩，最长可显示120分钟的呼末电阻抗波形变化趋势。</w:t>
            </w:r>
          </w:p>
        </w:tc>
      </w:tr>
      <w:tr w14:paraId="4AF1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603977E7">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5.3</w:t>
            </w:r>
          </w:p>
        </w:tc>
        <w:tc>
          <w:tcPr>
            <w:tcW w:w="7632" w:type="dxa"/>
            <w:shd w:val="clear" w:color="auto" w:fill="auto"/>
          </w:tcPr>
          <w:p w14:paraId="17B9B8C1">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可选择任意两个时刻进行呼末电阻抗比较分析，通过差分图像表现该两个时刻呼末电阻抗的差值，从而显示监测区域内呼气末肺容量的短期变化信息。</w:t>
            </w:r>
          </w:p>
        </w:tc>
      </w:tr>
      <w:tr w14:paraId="315E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2E5A3873">
            <w:pPr>
              <w:spacing w:line="360" w:lineRule="auto"/>
              <w:jc w:val="center"/>
              <w:rPr>
                <w:rFonts w:hint="eastAsia" w:cs="宋体"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5.4</w:t>
            </w:r>
          </w:p>
        </w:tc>
        <w:tc>
          <w:tcPr>
            <w:tcW w:w="7632" w:type="dxa"/>
            <w:shd w:val="clear" w:color="auto" w:fill="auto"/>
          </w:tcPr>
          <w:p w14:paraId="5634599C">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可用于床边持续观察肺功能，及时评估治疗手法如PEEP滴定、俯卧位、肺复张等对局部通气分布所产生的影响。</w:t>
            </w:r>
          </w:p>
        </w:tc>
      </w:tr>
      <w:tr w14:paraId="023B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155DD320">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p>
        </w:tc>
        <w:tc>
          <w:tcPr>
            <w:tcW w:w="7632" w:type="dxa"/>
            <w:shd w:val="clear" w:color="auto" w:fill="auto"/>
          </w:tcPr>
          <w:p w14:paraId="4B79298C">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趋势视图工具：</w:t>
            </w:r>
          </w:p>
        </w:tc>
      </w:tr>
      <w:tr w14:paraId="6DB7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4921B042">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6.1</w:t>
            </w:r>
          </w:p>
        </w:tc>
        <w:tc>
          <w:tcPr>
            <w:tcW w:w="7632" w:type="dxa"/>
            <w:shd w:val="clear" w:color="auto" w:fill="auto"/>
          </w:tcPr>
          <w:p w14:paraId="2C73B370">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可动态显示吸末肺容量变化的区域信息。</w:t>
            </w:r>
          </w:p>
        </w:tc>
      </w:tr>
      <w:tr w14:paraId="15FA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39FDD112">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6.2</w:t>
            </w:r>
          </w:p>
        </w:tc>
        <w:tc>
          <w:tcPr>
            <w:tcW w:w="7632" w:type="dxa"/>
            <w:shd w:val="clear" w:color="auto" w:fill="auto"/>
          </w:tcPr>
          <w:p w14:paraId="594A6466">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全局和区域阻抗波形可压缩，最长可显示120分钟的吸末电阻抗波形变化趋势。</w:t>
            </w:r>
          </w:p>
        </w:tc>
      </w:tr>
      <w:tr w14:paraId="31AB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4445A5A6">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6.3</w:t>
            </w:r>
          </w:p>
        </w:tc>
        <w:tc>
          <w:tcPr>
            <w:tcW w:w="7632" w:type="dxa"/>
            <w:shd w:val="clear" w:color="auto" w:fill="auto"/>
          </w:tcPr>
          <w:p w14:paraId="3EF0A9B8">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可选择任意两个时刻进行吸末电阻抗比较分析，通过差分图像表现该两个时刻吸末电阻抗的差值，从而显示监测区域内吸气末肺容量的短期变化信息。</w:t>
            </w:r>
          </w:p>
        </w:tc>
      </w:tr>
      <w:tr w14:paraId="48DB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29866201">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6.4</w:t>
            </w:r>
          </w:p>
        </w:tc>
        <w:tc>
          <w:tcPr>
            <w:tcW w:w="7632" w:type="dxa"/>
            <w:shd w:val="clear" w:color="auto" w:fill="auto"/>
          </w:tcPr>
          <w:p w14:paraId="236A8779">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可动态显示HPB全局电阻抗信息，趋势图信息可压缩，最长可显示120分钟。</w:t>
            </w:r>
          </w:p>
        </w:tc>
      </w:tr>
      <w:tr w14:paraId="35D4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38689B09">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7</w:t>
            </w:r>
          </w:p>
        </w:tc>
        <w:tc>
          <w:tcPr>
            <w:tcW w:w="7632" w:type="dxa"/>
            <w:shd w:val="clear" w:color="auto" w:fill="auto"/>
          </w:tcPr>
          <w:p w14:paraId="20108BED">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分析视图工具：</w:t>
            </w:r>
          </w:p>
        </w:tc>
      </w:tr>
      <w:tr w14:paraId="47F6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3FC59089">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7.1</w:t>
            </w:r>
          </w:p>
        </w:tc>
        <w:tc>
          <w:tcPr>
            <w:tcW w:w="7632" w:type="dxa"/>
            <w:shd w:val="clear" w:color="auto" w:fill="auto"/>
          </w:tcPr>
          <w:p w14:paraId="1946B0B6">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具有</w:t>
            </w:r>
            <w:bookmarkStart w:id="7" w:name="OLE_LINK7"/>
            <w:r>
              <w:rPr>
                <w:rFonts w:hint="eastAsia" w:cs="HarmonyOS Sans SC Medium" w:asciiTheme="minorEastAsia" w:hAnsiTheme="minorEastAsia" w:eastAsiaTheme="minorEastAsia"/>
                <w:sz w:val="24"/>
                <w:szCs w:val="24"/>
              </w:rPr>
              <w:t>PEEP滴定分析功能</w:t>
            </w:r>
            <w:bookmarkEnd w:id="7"/>
            <w:r>
              <w:rPr>
                <w:rFonts w:hint="eastAsia" w:cs="HarmonyOS Sans SC Medium" w:asciiTheme="minorEastAsia" w:hAnsiTheme="minorEastAsia" w:eastAsiaTheme="minorEastAsia"/>
                <w:sz w:val="24"/>
                <w:szCs w:val="24"/>
              </w:rPr>
              <w:t>。在全局电阻抗变化信号的低频部分阻抗曲线上可以添加区间，填写对应区间的呼吸机参数以便进行分析，可增加区间数量不小于20个。</w:t>
            </w:r>
          </w:p>
        </w:tc>
      </w:tr>
      <w:tr w14:paraId="0676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438D35AC">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7.2</w:t>
            </w:r>
          </w:p>
        </w:tc>
        <w:tc>
          <w:tcPr>
            <w:tcW w:w="7632" w:type="dxa"/>
            <w:shd w:val="clear" w:color="auto" w:fill="auto"/>
          </w:tcPr>
          <w:p w14:paraId="1B50D137">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区域通气延迟指数(RVD)分析图像和曲线；具有全肺不均匀指数(GI)分析图像和曲线；具有电阻抗变化信号的高频与低频部分的匹配指数分析图像和曲线。</w:t>
            </w:r>
          </w:p>
        </w:tc>
      </w:tr>
      <w:tr w14:paraId="02CF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1D79CF8D">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7.3</w:t>
            </w:r>
          </w:p>
        </w:tc>
        <w:tc>
          <w:tcPr>
            <w:tcW w:w="7632" w:type="dxa"/>
            <w:shd w:val="clear" w:color="auto" w:fill="auto"/>
          </w:tcPr>
          <w:p w14:paraId="651C1EA0">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具有肺部过度膨胀和塌陷指数分析图像和曲线，包含PEEP递增过程中出现顺应性减少和PEEP递减过程中出现顺应性减少功能分析。</w:t>
            </w:r>
          </w:p>
        </w:tc>
      </w:tr>
      <w:tr w14:paraId="7771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783D51F5">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7.4</w:t>
            </w:r>
          </w:p>
        </w:tc>
        <w:tc>
          <w:tcPr>
            <w:tcW w:w="7632" w:type="dxa"/>
            <w:shd w:val="clear" w:color="auto" w:fill="auto"/>
          </w:tcPr>
          <w:p w14:paraId="637E1825">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自定义分析功能，用于反映与参考点比较后的顺应性增加(CW)或减少(CL)。</w:t>
            </w:r>
          </w:p>
        </w:tc>
      </w:tr>
      <w:tr w14:paraId="00AA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4A51DB42">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7.5</w:t>
            </w:r>
          </w:p>
        </w:tc>
        <w:tc>
          <w:tcPr>
            <w:tcW w:w="7632" w:type="dxa"/>
            <w:shd w:val="clear" w:color="auto" w:fill="auto"/>
          </w:tcPr>
          <w:p w14:paraId="41554E50">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支持PCV和VCV模式下进行PEEP滴定。</w:t>
            </w:r>
          </w:p>
        </w:tc>
      </w:tr>
      <w:tr w14:paraId="6810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1DF36FCA">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8</w:t>
            </w:r>
          </w:p>
        </w:tc>
        <w:tc>
          <w:tcPr>
            <w:tcW w:w="7632" w:type="dxa"/>
            <w:shd w:val="clear" w:color="auto" w:fill="auto"/>
          </w:tcPr>
          <w:p w14:paraId="1F1447BE">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具有事件标记功能，记录功能，图像冻结功能，屏幕可截图并导出至U盘。记录功能可以连续记录不低于200小时的阻抗数据。</w:t>
            </w:r>
          </w:p>
        </w:tc>
      </w:tr>
      <w:tr w14:paraId="019E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6E8204C5">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9</w:t>
            </w:r>
          </w:p>
        </w:tc>
        <w:tc>
          <w:tcPr>
            <w:tcW w:w="7632" w:type="dxa"/>
            <w:shd w:val="clear" w:color="auto" w:fill="auto"/>
          </w:tcPr>
          <w:p w14:paraId="0CFDD9ED">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具有主视图、趋势视图、分析视图和</w:t>
            </w:r>
            <w:bookmarkStart w:id="8" w:name="OLE_LINK8"/>
            <w:r>
              <w:rPr>
                <w:rFonts w:hint="eastAsia" w:cs="HarmonyOS Sans SC Medium" w:asciiTheme="minorEastAsia" w:hAnsiTheme="minorEastAsia" w:eastAsiaTheme="minorEastAsia"/>
                <w:sz w:val="24"/>
                <w:szCs w:val="24"/>
              </w:rPr>
              <w:t>△EELI视图</w:t>
            </w:r>
            <w:bookmarkEnd w:id="8"/>
            <w:r>
              <w:rPr>
                <w:rFonts w:hint="eastAsia" w:cs="HarmonyOS Sans SC Medium" w:asciiTheme="minorEastAsia" w:hAnsiTheme="minorEastAsia" w:eastAsiaTheme="minorEastAsia"/>
                <w:sz w:val="24"/>
                <w:szCs w:val="24"/>
              </w:rPr>
              <w:t>等回放功能。</w:t>
            </w:r>
          </w:p>
        </w:tc>
      </w:tr>
      <w:tr w14:paraId="03DE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2ABF0DC3">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10</w:t>
            </w:r>
          </w:p>
        </w:tc>
        <w:tc>
          <w:tcPr>
            <w:tcW w:w="7632" w:type="dxa"/>
            <w:shd w:val="clear" w:color="auto" w:fill="auto"/>
          </w:tcPr>
          <w:p w14:paraId="7E7FB20D">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报警参数：</w:t>
            </w:r>
          </w:p>
        </w:tc>
      </w:tr>
      <w:tr w14:paraId="04E2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0E04B413">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10.1</w:t>
            </w:r>
          </w:p>
        </w:tc>
        <w:tc>
          <w:tcPr>
            <w:tcW w:w="7632" w:type="dxa"/>
            <w:shd w:val="clear" w:color="auto" w:fill="auto"/>
          </w:tcPr>
          <w:p w14:paraId="657CEECD">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设备电缆脱落报警</w:t>
            </w:r>
          </w:p>
        </w:tc>
      </w:tr>
      <w:tr w14:paraId="0979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73FD3654">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10.2</w:t>
            </w:r>
          </w:p>
        </w:tc>
        <w:tc>
          <w:tcPr>
            <w:tcW w:w="7632" w:type="dxa"/>
            <w:shd w:val="clear" w:color="auto" w:fill="auto"/>
          </w:tcPr>
          <w:p w14:paraId="541A213C">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设备内部存储空间不足报警</w:t>
            </w:r>
          </w:p>
        </w:tc>
      </w:tr>
      <w:tr w14:paraId="4FE0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251B1DA5">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11</w:t>
            </w:r>
          </w:p>
        </w:tc>
        <w:tc>
          <w:tcPr>
            <w:tcW w:w="7632" w:type="dxa"/>
            <w:shd w:val="clear" w:color="auto" w:fill="auto"/>
          </w:tcPr>
          <w:p w14:paraId="1C4CF85E">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支持多语种切换，支持全球时区切换，方便全球使用且在临床数据记录、导出、回放时与当地保持时间一致性。</w:t>
            </w:r>
          </w:p>
        </w:tc>
      </w:tr>
      <w:tr w14:paraId="6984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042AC70C">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12</w:t>
            </w:r>
          </w:p>
        </w:tc>
        <w:tc>
          <w:tcPr>
            <w:tcW w:w="7632" w:type="dxa"/>
            <w:shd w:val="clear" w:color="auto" w:fill="auto"/>
          </w:tcPr>
          <w:p w14:paraId="7822C8F5">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信息互联：可以手动输入呼吸机相关参数，便于总体分析做个性化治疗。</w:t>
            </w:r>
          </w:p>
        </w:tc>
      </w:tr>
      <w:tr w14:paraId="52A9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17AF75B5">
            <w:pPr>
              <w:spacing w:line="360" w:lineRule="auto"/>
              <w:jc w:val="center"/>
              <w:rPr>
                <w:rFonts w:hint="eastAsia" w:cs="宋体"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w:t>
            </w:r>
            <w:r>
              <w:rPr>
                <w:rFonts w:hint="eastAsia" w:cs="宋体" w:asciiTheme="minorEastAsia" w:hAnsiTheme="minorEastAsia" w:eastAsiaTheme="minorEastAsia"/>
                <w:sz w:val="24"/>
                <w:szCs w:val="24"/>
              </w:rPr>
              <w:t>13</w:t>
            </w:r>
          </w:p>
        </w:tc>
        <w:tc>
          <w:tcPr>
            <w:tcW w:w="7632" w:type="dxa"/>
            <w:shd w:val="clear" w:color="auto" w:fill="auto"/>
          </w:tcPr>
          <w:p w14:paraId="41436C95">
            <w:pPr>
              <w:spacing w:line="360" w:lineRule="auto"/>
              <w:rPr>
                <w:rFonts w:hint="eastAsia"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软件功能：PC软件可以对离线数据进行分析，并处理通气及灌注等数据满足临床科研需求。</w:t>
            </w:r>
          </w:p>
        </w:tc>
      </w:tr>
      <w:tr w14:paraId="1641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14:paraId="474AACAA">
            <w:pPr>
              <w:spacing w:line="360" w:lineRule="auto"/>
              <w:jc w:val="center"/>
              <w:rPr>
                <w:rFonts w:hint="eastAsia" w:cs="HarmonyOS Sans SC Medium"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▲14</w:t>
            </w:r>
          </w:p>
        </w:tc>
        <w:tc>
          <w:tcPr>
            <w:tcW w:w="7632" w:type="dxa"/>
            <w:shd w:val="clear" w:color="auto" w:fill="auto"/>
          </w:tcPr>
          <w:p w14:paraId="16CECAA8">
            <w:pPr>
              <w:spacing w:line="360" w:lineRule="auto"/>
              <w:rPr>
                <w:rFonts w:hint="eastAsia" w:cs="HarmonyOS Sans SC Medium" w:asciiTheme="minorEastAsia" w:hAnsiTheme="minorEastAsia" w:eastAsiaTheme="minorEastAsia"/>
                <w:sz w:val="24"/>
                <w:szCs w:val="24"/>
              </w:rPr>
            </w:pPr>
            <w:r>
              <w:rPr>
                <w:rFonts w:hint="eastAsia" w:cs="HarmonyOS Sans SC Medium" w:asciiTheme="minorEastAsia" w:hAnsiTheme="minorEastAsia" w:eastAsiaTheme="minorEastAsia"/>
                <w:sz w:val="24"/>
                <w:szCs w:val="24"/>
              </w:rPr>
              <w:t>使用年限:12年（提供说明书及使用期限验证报告文件）</w:t>
            </w:r>
          </w:p>
        </w:tc>
      </w:tr>
    </w:tbl>
    <w:p w14:paraId="5F793438">
      <w:pPr>
        <w:pStyle w:val="2"/>
        <w:numPr>
          <w:ilvl w:val="0"/>
          <w:numId w:val="2"/>
        </w:numPr>
        <w:tabs>
          <w:tab w:val="left" w:pos="360"/>
          <w:tab w:val="clear" w:pos="3810"/>
        </w:tabs>
        <w:adjustRightInd/>
        <w:spacing w:before="100" w:after="100" w:line="360" w:lineRule="auto"/>
        <w:ind w:left="0" w:firstLine="0"/>
        <w:jc w:val="left"/>
        <w:textAlignment w:val="auto"/>
        <w:rPr>
          <w:b/>
          <w:sz w:val="24"/>
          <w:szCs w:val="24"/>
        </w:rPr>
      </w:pPr>
      <w:r>
        <w:rPr>
          <w:rFonts w:hint="eastAsia"/>
          <w:b/>
          <w:sz w:val="24"/>
          <w:szCs w:val="24"/>
        </w:rPr>
        <w:t>重要及一般技术参数：</w:t>
      </w:r>
    </w:p>
    <w:bookmarkEnd w:id="0"/>
    <w:bookmarkEnd w:id="1"/>
    <w:p w14:paraId="47D52435">
      <w:pPr>
        <w:spacing w:line="360" w:lineRule="auto"/>
        <w:jc w:val="left"/>
        <w:rPr>
          <w:rFonts w:hint="eastAsia" w:ascii="宋体" w:hAnsi="宋体"/>
          <w:bCs/>
          <w:kern w:val="44"/>
          <w:sz w:val="24"/>
          <w:szCs w:val="24"/>
        </w:rPr>
      </w:pPr>
      <w:r>
        <w:rPr>
          <w:rFonts w:hint="eastAsia" w:ascii="宋体" w:hAnsi="宋体" w:cs="宋体"/>
          <w:b/>
          <w:kern w:val="0"/>
          <w:sz w:val="24"/>
          <w:szCs w:val="24"/>
        </w:rPr>
        <w:t>四、项目售后服务要求</w:t>
      </w:r>
    </w:p>
    <w:p w14:paraId="56DAD341">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1.供货价为最终用户价，</w:t>
      </w:r>
      <w:r>
        <w:rPr>
          <w:rFonts w:hint="eastAsia" w:ascii="宋体" w:hAnsi="宋体" w:cs="宋体"/>
          <w:color w:val="000000"/>
          <w:kern w:val="0"/>
          <w:sz w:val="24"/>
          <w:lang w:bidi="ar"/>
        </w:rPr>
        <w:t>包括但不限于设备采购费、系统集成费、人工费、税费等，所有运费、保险均由投标方承担；</w:t>
      </w:r>
    </w:p>
    <w:p w14:paraId="23E741D3">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2.设备是全新的、未使用过的，并完全符合规定的质量、规格和性能的要求。</w:t>
      </w:r>
    </w:p>
    <w:p w14:paraId="79D513FD">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所有设备均由投标方负责安装调试，货物送至2个工作日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7E6CD707">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4.验收方案：根据合同的配置标准现场验收。</w:t>
      </w:r>
    </w:p>
    <w:p w14:paraId="30822D24">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5.保证对所售设备提供专业的7*24小时原厂技术服务和技术支持，2小时内响应，4小时内到达现场，24小时内排除故障。如不能及时修复的，提供与该设备相同的备用机。</w:t>
      </w:r>
    </w:p>
    <w:p w14:paraId="0D0A92D3">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6.供应商派原厂专业技术人员在项目现场对临床医生及技术人员提供技术培训，仪器应用及性能说明，日常维护保养等，使招标方全面了解直至完全掌握设备的使用。在使用一段时间后可根据使用人员的要求另行安排培训计划；</w:t>
      </w:r>
    </w:p>
    <w:p w14:paraId="69AF6CD6">
      <w:pPr>
        <w:spacing w:line="360" w:lineRule="auto"/>
        <w:jc w:val="left"/>
        <w:rPr>
          <w:rFonts w:hint="eastAsia" w:ascii="宋体" w:hAnsi="宋体" w:cs="宋体"/>
          <w:color w:val="000000"/>
          <w:kern w:val="0"/>
          <w:sz w:val="24"/>
          <w:szCs w:val="24"/>
          <w:highlight w:val="none"/>
          <w:lang w:bidi="ar"/>
        </w:rPr>
      </w:pPr>
      <w:bookmarkStart w:id="9" w:name="_GoBack"/>
      <w:r>
        <w:rPr>
          <w:rFonts w:hint="eastAsia" w:ascii="宋体" w:hAnsi="宋体"/>
          <w:bCs/>
          <w:sz w:val="24"/>
          <w:szCs w:val="24"/>
          <w:highlight w:val="none"/>
        </w:rPr>
        <w:t>★</w:t>
      </w:r>
      <w:r>
        <w:rPr>
          <w:rFonts w:hint="eastAsia" w:ascii="宋体" w:hAnsi="宋体" w:cs="宋体"/>
          <w:color w:val="000000"/>
          <w:kern w:val="0"/>
          <w:sz w:val="24"/>
          <w:szCs w:val="24"/>
          <w:highlight w:val="none"/>
          <w:lang w:bidi="ar"/>
        </w:rPr>
        <w:t>7. 设备保修期验收合格后，所有投标设备及其附属易耗件（包括第三方外购设备及易耗件）质保期≥5年，在投标文件中提供原厂售后服务承诺函；</w:t>
      </w:r>
    </w:p>
    <w:bookmarkEnd w:id="9"/>
    <w:p w14:paraId="09EF32D3">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rPr>
        <w:t>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w:t>
      </w:r>
      <w:r>
        <w:rPr>
          <w:rFonts w:hint="eastAsia" w:ascii="宋体" w:hAnsi="宋体" w:cs="宋体"/>
          <w:color w:val="000000"/>
          <w:kern w:val="0"/>
          <w:sz w:val="24"/>
          <w:szCs w:val="24"/>
          <w:lang w:bidi="ar"/>
        </w:rPr>
        <w:t xml:space="preserve"> </w:t>
      </w:r>
    </w:p>
    <w:p w14:paraId="387D7D67">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9.提供终身软件升级、安装调试服务；</w:t>
      </w:r>
    </w:p>
    <w:p w14:paraId="4140AD76">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10.提供原厂技术援助：如提供操作手册，每年技术回访；</w:t>
      </w:r>
    </w:p>
    <w:p w14:paraId="694B67EC">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11.投标文件中分别提供随机易损件和易耗件清单（计入投标总价），和质保期结束后的备品备件、易损件和易耗件清单一览表（不计入投标总价）。</w:t>
      </w:r>
    </w:p>
    <w:p w14:paraId="0CDEC3B2">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12.备品备件供货价格：不得超过市场价格的50%。投标时需填写上述价格，出质保期后，上述产品供货价格以双方最终认定价格为准，且采购人有权更换供货方。配件供应 10 年以上。</w:t>
      </w:r>
    </w:p>
    <w:p w14:paraId="590639E9">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13.维保内容与价格：质保期后，维保费用以双方最终认定价格为准，原则上不超过设备总价的5%。</w:t>
      </w:r>
    </w:p>
    <w:p w14:paraId="5EE88CF7">
      <w:pPr>
        <w:spacing w:line="360" w:lineRule="auto"/>
        <w:jc w:val="left"/>
        <w:rPr>
          <w:rFonts w:hint="eastAsia" w:ascii="宋体" w:hAnsi="宋体" w:cs="宋体"/>
          <w:color w:val="000000"/>
          <w:kern w:val="0"/>
          <w:sz w:val="24"/>
          <w:szCs w:val="24"/>
          <w:lang w:bidi="ar"/>
        </w:rPr>
      </w:pPr>
    </w:p>
    <w:p w14:paraId="1DD73F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armonyOS Sans SC Medium">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2"/>
    <w:multiLevelType w:val="multilevel"/>
    <w:tmpl w:val="00000042"/>
    <w:lvl w:ilvl="0" w:tentative="0">
      <w:start w:val="1"/>
      <w:numFmt w:val="chineseCountingThousand"/>
      <w:pStyle w:val="2"/>
      <w:lvlText w:val="%1、"/>
      <w:lvlJc w:val="left"/>
      <w:pPr>
        <w:tabs>
          <w:tab w:val="left" w:pos="3810"/>
        </w:tabs>
        <w:ind w:left="2730" w:firstLine="0"/>
      </w:pPr>
      <w:rPr>
        <w:rFonts w:hint="eastAsia"/>
        <w:b/>
        <w:i w:val="0"/>
        <w:sz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0C70DA6"/>
    <w:multiLevelType w:val="multilevel"/>
    <w:tmpl w:val="60C70DA6"/>
    <w:lvl w:ilvl="0" w:tentative="0">
      <w:start w:val="1"/>
      <w:numFmt w:val="chineseCountingThousand"/>
      <w:suff w:val="nothing"/>
      <w:lvlText w:val="%1、"/>
      <w:lvlJc w:val="left"/>
      <w:pPr>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00943"/>
    <w:rsid w:val="23500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adjustRightInd w:val="0"/>
      <w:spacing w:before="240" w:after="120" w:line="400" w:lineRule="atLeast"/>
      <w:textAlignment w:val="baseline"/>
      <w:outlineLvl w:val="0"/>
    </w:pPr>
    <w:rPr>
      <w:rFonts w:ascii="宋体"/>
      <w:spacing w:val="20"/>
      <w:kern w:val="44"/>
      <w:sz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2025-03-13T14:47:00Z</dcterms:created>
  <dc:creator>杨俐君</dc:creator>
  <cp:lastModifiedBy>杨俐君</cp:lastModifiedBy>
  <dcterms:modified xsi:type="dcterms:W3CDTF">2025-03-13T14:53:05Z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07E8EB6464804A50A33A4ECAAFA1CF2A_11</vt:lpwstr>
  </property>
  <property fmtid="{D5CDD505-2E9C-101B-9397-08002B2CF9AE}" pid="4" name="KSOTemplateDocerSaveRecord">
    <vt:lpwstr>eyJoZGlkIjoiOTk1MDI2OWM5MzRhNzc2MDgxNDZhZmRhMmE3MWIxOTkiLCJ1c2VySWQiOiI2NDA4MzE2NjgifQ==</vt:lpwstr>
  </property>
</Properties>
</file>