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EC57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一、项目概述</w:t>
      </w:r>
    </w:p>
    <w:p w14:paraId="1B11F18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1、项目名称：2025年度影像云存储使用及技术支持运维服务</w:t>
      </w:r>
    </w:p>
    <w:p w14:paraId="34E6214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服务项目背景介绍：目前新华医院的医疗影像业务系统采用本地加远程方式对数据服务器系统进行数据存储与备份，本地存储6个月以内的医疗影像数据，6个月以上的医疗影像数据需要租用物理独立的存储空间，实现医疗影像数据的安全可控交换及数据灾备。</w:t>
      </w:r>
    </w:p>
    <w:p w14:paraId="28CFB60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医院需要对半年以上的医疗影像数据进行云存储及备份，并支持安全、高速、随时的调用，本次项目需要租用物理独享的医疗影像云存储系统服务，通过双路由点对点光纤互联实现物理托管点与医院的高速转发。租用容量为≥660T（其中至少包括560T对象存储+100T NAS存储服务），同时需要提供至少一套同步灾备数据，本次服务周期为一年</w:t>
      </w:r>
    </w:p>
    <w:p w14:paraId="40BF178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3、服务地点：招标人指定地点</w:t>
      </w:r>
    </w:p>
    <w:p w14:paraId="7A91428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4、服务期限：2025.7.1-2026.6.30</w:t>
      </w:r>
    </w:p>
    <w:p w14:paraId="7A1AF37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5、付款方式：</w:t>
      </w:r>
    </w:p>
    <w:p w14:paraId="5B27FCE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（1）维护服务年度开始至完整服务6个月后，按照医院的付款流程，甲方向乙方支付当年维护服务费的50%。</w:t>
      </w:r>
    </w:p>
    <w:p w14:paraId="782D3F2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本项目一年维保期结束后，且运维满意度（评价标准详见附件“系统运维满意度评价表”）达到80分以上，甲方在收到乙方开具的有效发票后，根据医院付款流程，向乙方支付本合同项目总金额50%的合同款。当满意度低于80分，甲方有权视情况扣除相应的服务费用（按照服务周期和合同价格扣除未支付比例），并具有进一步要求赔偿的权利（按照合同约定）。</w:t>
      </w:r>
    </w:p>
    <w:p w14:paraId="19BC11A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（3）如项目维护期存续期间，若因特殊原因造成项目维护期提前结束，则本项目涉及的维护期维护费用按照实际发生时长进行结算。</w:t>
      </w:r>
    </w:p>
    <w:p w14:paraId="41528ED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6、招标人提供的招标内容及要求没有任何限制性，如投标人无法提供招标文件要求的需求，可以选用其他不低于招标文件要求的同档次产品和技术替代。</w:t>
      </w:r>
    </w:p>
    <w:p w14:paraId="0F1BC16B">
      <w:pPr>
        <w:autoSpaceDE w:val="0"/>
        <w:autoSpaceDN w:val="0"/>
        <w:adjustRightInd w:val="0"/>
        <w:spacing w:line="360" w:lineRule="auto"/>
        <w:jc w:val="left"/>
        <w:rPr>
          <w:rFonts w:hint="eastAsia" w:ascii="宋体" w:hAnsi="宋体" w:eastAsia="宋体" w:cs="宋体"/>
          <w:kern w:val="0"/>
          <w:sz w:val="24"/>
          <w:szCs w:val="24"/>
        </w:rPr>
      </w:pPr>
    </w:p>
    <w:p w14:paraId="1CF195B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二、技术需求</w:t>
      </w:r>
    </w:p>
    <w:p w14:paraId="602EACC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1、服务目标：提供影像云存储服务及同步的灾备服务，本次预计服务周期为2025.7.1-2026.6.30，实际以招标人要求为准（至少包括560T对象存储+100T NAS存储服务）</w:t>
      </w:r>
    </w:p>
    <w:p w14:paraId="5C3B186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★2、关键性技术指标：医院本地客户端打开影像文件速度≥10张/秒，投标人必须出具相应承诺文件。</w:t>
      </w:r>
    </w:p>
    <w:p w14:paraId="4CA6ADD9">
      <w:pPr>
        <w:autoSpaceDE w:val="0"/>
        <w:autoSpaceDN w:val="0"/>
        <w:adjustRightInd w:val="0"/>
        <w:spacing w:line="360" w:lineRule="auto"/>
        <w:jc w:val="left"/>
        <w:rPr>
          <w:rFonts w:hint="eastAsia" w:ascii="宋体" w:hAnsi="宋体" w:eastAsia="宋体" w:cs="宋体"/>
          <w:kern w:val="0"/>
          <w:sz w:val="24"/>
          <w:szCs w:val="24"/>
        </w:rPr>
      </w:pPr>
    </w:p>
    <w:p w14:paraId="393FE5E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3、对象存储技术要求</w:t>
      </w:r>
    </w:p>
    <w:tbl>
      <w:tblPr>
        <w:tblStyle w:val="9"/>
        <w:tblW w:w="5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579"/>
        <w:gridCol w:w="6384"/>
      </w:tblGrid>
      <w:tr w14:paraId="3F27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5" w:type="pct"/>
            <w:noWrap w:val="0"/>
            <w:vAlign w:val="center"/>
          </w:tcPr>
          <w:p w14:paraId="5FF2F07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899" w:type="pct"/>
            <w:noWrap w:val="0"/>
            <w:vAlign w:val="center"/>
          </w:tcPr>
          <w:p w14:paraId="7356F53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指标项</w:t>
            </w:r>
          </w:p>
        </w:tc>
        <w:tc>
          <w:tcPr>
            <w:tcW w:w="3635" w:type="pct"/>
            <w:noWrap w:val="0"/>
            <w:vAlign w:val="center"/>
          </w:tcPr>
          <w:p w14:paraId="1FD1111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指标要求</w:t>
            </w:r>
          </w:p>
        </w:tc>
      </w:tr>
      <w:tr w14:paraId="5BE2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pct"/>
            <w:noWrap w:val="0"/>
            <w:vAlign w:val="center"/>
          </w:tcPr>
          <w:p w14:paraId="14BEA6DD">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noWrap w:val="0"/>
            <w:vAlign w:val="center"/>
          </w:tcPr>
          <w:p w14:paraId="3FE6A7D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产品要求▲</w:t>
            </w:r>
          </w:p>
        </w:tc>
        <w:tc>
          <w:tcPr>
            <w:tcW w:w="3635" w:type="pct"/>
            <w:noWrap w:val="0"/>
            <w:vAlign w:val="center"/>
          </w:tcPr>
          <w:p w14:paraId="6A9B71F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所投产品拥有完全的自主知识产权。并提供《计算机软件著作权登记证书》证明。</w:t>
            </w:r>
          </w:p>
        </w:tc>
      </w:tr>
      <w:tr w14:paraId="759F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pct"/>
            <w:noWrap w:val="0"/>
            <w:vAlign w:val="center"/>
          </w:tcPr>
          <w:p w14:paraId="560AEAB2">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noWrap w:val="0"/>
            <w:vAlign w:val="center"/>
          </w:tcPr>
          <w:p w14:paraId="56A4A2B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分布式架构▲</w:t>
            </w:r>
          </w:p>
        </w:tc>
        <w:tc>
          <w:tcPr>
            <w:tcW w:w="3635" w:type="pct"/>
            <w:noWrap w:val="0"/>
            <w:vAlign w:val="center"/>
          </w:tcPr>
          <w:p w14:paraId="043AC60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采用全对称分布式架构，无独立元数据节点，性能、容量随节点数增加而线性增加，扩容过程中对业务无影响。提供</w:t>
            </w:r>
            <w:r>
              <w:rPr>
                <w:rFonts w:hint="eastAsia" w:ascii="宋体" w:hAnsi="宋体" w:eastAsia="宋体" w:cs="宋体"/>
                <w:kern w:val="0"/>
                <w:sz w:val="24"/>
                <w:szCs w:val="24"/>
                <w:lang w:val="en-US" w:eastAsia="zh-CN"/>
              </w:rPr>
              <w:t>厂家</w:t>
            </w:r>
            <w:r>
              <w:rPr>
                <w:rFonts w:hint="eastAsia" w:ascii="宋体" w:hAnsi="宋体" w:eastAsia="宋体" w:cs="宋体"/>
                <w:kern w:val="0"/>
                <w:sz w:val="24"/>
                <w:szCs w:val="24"/>
              </w:rPr>
              <w:t>证明材料。</w:t>
            </w:r>
          </w:p>
        </w:tc>
      </w:tr>
      <w:tr w14:paraId="4FF6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pct"/>
            <w:noWrap w:val="0"/>
            <w:vAlign w:val="center"/>
          </w:tcPr>
          <w:p w14:paraId="73D13C4B">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noWrap w:val="0"/>
            <w:vAlign w:val="center"/>
          </w:tcPr>
          <w:p w14:paraId="1ED19A9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数据冗余保护▲</w:t>
            </w:r>
          </w:p>
        </w:tc>
        <w:tc>
          <w:tcPr>
            <w:tcW w:w="3635" w:type="pct"/>
            <w:noWrap w:val="0"/>
            <w:vAlign w:val="center"/>
          </w:tcPr>
          <w:p w14:paraId="697EF2E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支持数据高冗余模式，最多可容忍任意≥4个节点同时失效而不丢失数据。支持动态EC，当节点故障时，自动调整EC配比，确保新数据可靠性不降级。提供第三方检测报告证明。</w:t>
            </w:r>
          </w:p>
        </w:tc>
      </w:tr>
      <w:tr w14:paraId="77B3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pct"/>
            <w:noWrap w:val="0"/>
            <w:vAlign w:val="center"/>
          </w:tcPr>
          <w:p w14:paraId="52F88225">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noWrap w:val="0"/>
            <w:vAlign w:val="center"/>
          </w:tcPr>
          <w:p w14:paraId="31DC516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空间利用率</w:t>
            </w:r>
          </w:p>
        </w:tc>
        <w:tc>
          <w:tcPr>
            <w:tcW w:w="3635" w:type="pct"/>
            <w:noWrap w:val="0"/>
            <w:vAlign w:val="center"/>
          </w:tcPr>
          <w:p w14:paraId="37A6623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至少支持副本及EC（纠删码）数据保护模式，且支持+2/+3/+4灵活EC配比；至少支持大比例EC，支持22+2 EC配比，利用率高于90%。</w:t>
            </w:r>
          </w:p>
        </w:tc>
      </w:tr>
      <w:tr w14:paraId="7507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pct"/>
            <w:noWrap w:val="0"/>
            <w:vAlign w:val="center"/>
          </w:tcPr>
          <w:p w14:paraId="5FA2CF8A">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noWrap w:val="0"/>
            <w:vAlign w:val="center"/>
          </w:tcPr>
          <w:p w14:paraId="1BBC9FB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数据重构▲</w:t>
            </w:r>
          </w:p>
        </w:tc>
        <w:tc>
          <w:tcPr>
            <w:tcW w:w="3635" w:type="pct"/>
            <w:noWrap w:val="0"/>
            <w:vAlign w:val="center"/>
          </w:tcPr>
          <w:p w14:paraId="622CFF6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支持数据快速重构，当磁盘或存储节点故障时，系统能自动进行数据重建，在无人工干预条件下，数据重建速度能满足：每TB≤15分钟。提供第三方检测报告证明。</w:t>
            </w:r>
          </w:p>
        </w:tc>
      </w:tr>
      <w:tr w14:paraId="16A5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pct"/>
            <w:noWrap w:val="0"/>
            <w:vAlign w:val="center"/>
          </w:tcPr>
          <w:p w14:paraId="446E905F">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noWrap w:val="0"/>
            <w:vAlign w:val="center"/>
          </w:tcPr>
          <w:p w14:paraId="5A512DA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端到端DIF</w:t>
            </w:r>
          </w:p>
        </w:tc>
        <w:tc>
          <w:tcPr>
            <w:tcW w:w="3635" w:type="pct"/>
            <w:noWrap w:val="0"/>
            <w:vAlign w:val="center"/>
          </w:tcPr>
          <w:p w14:paraId="647423E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支持存储软件端到端数据完整性校验，字节跳变、读偏、写偏等数据静默错误可自动校验并修复，提升数据可靠性。</w:t>
            </w:r>
          </w:p>
        </w:tc>
      </w:tr>
      <w:tr w14:paraId="7B06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65" w:type="pct"/>
            <w:noWrap w:val="0"/>
            <w:vAlign w:val="center"/>
          </w:tcPr>
          <w:p w14:paraId="5C0FC554">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tcBorders>
              <w:top w:val="nil"/>
              <w:left w:val="single" w:color="auto" w:sz="4" w:space="0"/>
              <w:bottom w:val="single" w:color="auto" w:sz="4" w:space="0"/>
              <w:right w:val="single" w:color="auto" w:sz="4" w:space="0"/>
            </w:tcBorders>
            <w:noWrap w:val="0"/>
            <w:vAlign w:val="center"/>
          </w:tcPr>
          <w:p w14:paraId="1797EF7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负载均衡</w:t>
            </w:r>
          </w:p>
        </w:tc>
        <w:tc>
          <w:tcPr>
            <w:tcW w:w="3635" w:type="pct"/>
            <w:tcBorders>
              <w:top w:val="nil"/>
              <w:left w:val="nil"/>
              <w:bottom w:val="single" w:color="auto" w:sz="4" w:space="0"/>
              <w:right w:val="single" w:color="auto" w:sz="4" w:space="0"/>
            </w:tcBorders>
            <w:noWrap w:val="0"/>
            <w:vAlign w:val="center"/>
          </w:tcPr>
          <w:p w14:paraId="6C76469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存储集群池内节点网口间负载均衡，相差不超过10%；盘间容量均衡相差不超过2%，节点容量相差不超过0.2%。</w:t>
            </w:r>
          </w:p>
        </w:tc>
      </w:tr>
      <w:tr w14:paraId="5FB5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pct"/>
            <w:noWrap w:val="0"/>
            <w:vAlign w:val="center"/>
          </w:tcPr>
          <w:p w14:paraId="5129EBA0">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tcBorders>
              <w:top w:val="nil"/>
              <w:left w:val="single" w:color="auto" w:sz="4" w:space="0"/>
              <w:bottom w:val="single" w:color="auto" w:sz="4" w:space="0"/>
              <w:right w:val="single" w:color="auto" w:sz="4" w:space="0"/>
            </w:tcBorders>
            <w:noWrap w:val="0"/>
            <w:vAlign w:val="center"/>
          </w:tcPr>
          <w:p w14:paraId="2AA1D69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快照▲</w:t>
            </w:r>
          </w:p>
        </w:tc>
        <w:tc>
          <w:tcPr>
            <w:tcW w:w="3635" w:type="pct"/>
            <w:tcBorders>
              <w:top w:val="nil"/>
              <w:left w:val="nil"/>
              <w:bottom w:val="single" w:color="auto" w:sz="4" w:space="0"/>
              <w:right w:val="single" w:color="auto" w:sz="4" w:space="0"/>
            </w:tcBorders>
            <w:noWrap w:val="0"/>
            <w:vAlign w:val="center"/>
          </w:tcPr>
          <w:p w14:paraId="45BA260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支持基于命名空间和子命名空间粒度的快照；文件/大数据/对象服务均支持快照能力；快照占用的空间可在配额中统计。提供第三方检测报告证明。</w:t>
            </w:r>
          </w:p>
        </w:tc>
      </w:tr>
      <w:tr w14:paraId="06DF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465" w:type="pct"/>
            <w:noWrap w:val="0"/>
            <w:vAlign w:val="center"/>
          </w:tcPr>
          <w:p w14:paraId="57A54BA0">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tcBorders>
              <w:top w:val="single" w:color="auto" w:sz="4" w:space="0"/>
              <w:left w:val="single" w:color="auto" w:sz="4" w:space="0"/>
              <w:bottom w:val="single" w:color="auto" w:sz="4" w:space="0"/>
              <w:right w:val="single" w:color="auto" w:sz="4" w:space="0"/>
            </w:tcBorders>
            <w:noWrap w:val="0"/>
            <w:vAlign w:val="center"/>
          </w:tcPr>
          <w:p w14:paraId="21B8BCD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回收站▲</w:t>
            </w:r>
          </w:p>
        </w:tc>
        <w:tc>
          <w:tcPr>
            <w:tcW w:w="3635" w:type="pct"/>
            <w:tcBorders>
              <w:top w:val="single" w:color="auto" w:sz="4" w:space="0"/>
              <w:left w:val="single" w:color="auto" w:sz="4" w:space="0"/>
              <w:bottom w:val="single" w:color="auto" w:sz="4" w:space="0"/>
              <w:right w:val="single" w:color="auto" w:sz="4" w:space="0"/>
            </w:tcBorders>
            <w:noWrap w:val="0"/>
            <w:vAlign w:val="center"/>
          </w:tcPr>
          <w:p w14:paraId="07DDDF0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回收站功能。文件/大数据/对象服务均支持回收站功能。回收站内文件/对象的保留时长和扫描周期可配置；支持通过任意一种服务写删文件进入回收站后，通过任意一种其他服务访问回收站内文件。提供第三方检测报告证明。</w:t>
            </w:r>
          </w:p>
        </w:tc>
      </w:tr>
      <w:tr w14:paraId="32B0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65" w:type="pct"/>
            <w:noWrap w:val="0"/>
            <w:vAlign w:val="center"/>
          </w:tcPr>
          <w:p w14:paraId="6D993EB1">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tcBorders>
              <w:top w:val="single" w:color="auto" w:sz="4" w:space="0"/>
              <w:left w:val="single" w:color="auto" w:sz="4" w:space="0"/>
              <w:bottom w:val="single" w:color="auto" w:sz="4" w:space="0"/>
              <w:right w:val="single" w:color="auto" w:sz="4" w:space="0"/>
            </w:tcBorders>
            <w:noWrap w:val="0"/>
            <w:vAlign w:val="center"/>
          </w:tcPr>
          <w:p w14:paraId="7191B2C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Qos</w:t>
            </w:r>
          </w:p>
        </w:tc>
        <w:tc>
          <w:tcPr>
            <w:tcW w:w="3635" w:type="pct"/>
            <w:tcBorders>
              <w:top w:val="single" w:color="auto" w:sz="4" w:space="0"/>
              <w:left w:val="nil"/>
              <w:bottom w:val="single" w:color="auto" w:sz="4" w:space="0"/>
              <w:right w:val="single" w:color="auto" w:sz="4" w:space="0"/>
            </w:tcBorders>
            <w:noWrap w:val="0"/>
            <w:vAlign w:val="center"/>
          </w:tcPr>
          <w:p w14:paraId="0765549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支持卷的IOPS、带宽的上限设置，可设置卷的总IOPS和带宽，也可以设置每单位容量的IOPS与带宽。用户可指定Qos策略的运行周期为单次、每天、每周或始终执行。</w:t>
            </w:r>
          </w:p>
        </w:tc>
      </w:tr>
      <w:tr w14:paraId="1D8E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65" w:type="pct"/>
            <w:noWrap w:val="0"/>
            <w:vAlign w:val="center"/>
          </w:tcPr>
          <w:p w14:paraId="12AA7EF6">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tcBorders>
              <w:top w:val="nil"/>
              <w:left w:val="single" w:color="auto" w:sz="4" w:space="0"/>
              <w:bottom w:val="single" w:color="auto" w:sz="4" w:space="0"/>
              <w:right w:val="single" w:color="auto" w:sz="4" w:space="0"/>
            </w:tcBorders>
            <w:noWrap w:val="0"/>
            <w:vAlign w:val="center"/>
          </w:tcPr>
          <w:p w14:paraId="139F34E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异步复制▲</w:t>
            </w:r>
          </w:p>
        </w:tc>
        <w:tc>
          <w:tcPr>
            <w:tcW w:w="3635" w:type="pct"/>
            <w:tcBorders>
              <w:top w:val="nil"/>
              <w:left w:val="nil"/>
              <w:bottom w:val="single" w:color="auto" w:sz="4" w:space="0"/>
              <w:right w:val="single" w:color="auto" w:sz="4" w:space="0"/>
            </w:tcBorders>
            <w:noWrap w:val="0"/>
            <w:vAlign w:val="center"/>
          </w:tcPr>
          <w:p w14:paraId="0EA852D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支持异步远程复制功能，支持Failover和Failback能力，最低RPO≤1分钟。提供第三方检测报告证明。</w:t>
            </w:r>
          </w:p>
        </w:tc>
      </w:tr>
      <w:tr w14:paraId="7706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65" w:type="pct"/>
            <w:noWrap w:val="0"/>
            <w:vAlign w:val="center"/>
          </w:tcPr>
          <w:p w14:paraId="4E24310A">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tcBorders>
              <w:top w:val="nil"/>
              <w:left w:val="single" w:color="auto" w:sz="4" w:space="0"/>
              <w:bottom w:val="single" w:color="auto" w:sz="4" w:space="0"/>
              <w:right w:val="single" w:color="auto" w:sz="4" w:space="0"/>
            </w:tcBorders>
            <w:noWrap w:val="0"/>
            <w:vAlign w:val="center"/>
          </w:tcPr>
          <w:p w14:paraId="06D5895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系统安全加固</w:t>
            </w:r>
          </w:p>
        </w:tc>
        <w:tc>
          <w:tcPr>
            <w:tcW w:w="3635" w:type="pct"/>
            <w:tcBorders>
              <w:top w:val="nil"/>
              <w:left w:val="nil"/>
              <w:bottom w:val="single" w:color="auto" w:sz="4" w:space="0"/>
              <w:right w:val="single" w:color="auto" w:sz="4" w:space="0"/>
            </w:tcBorders>
            <w:noWrap w:val="0"/>
            <w:vAlign w:val="center"/>
          </w:tcPr>
          <w:p w14:paraId="02BA752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支持SSH加固；支持内核参数加固；系统中删除报文探测和编译相关的工具。</w:t>
            </w:r>
          </w:p>
        </w:tc>
      </w:tr>
      <w:tr w14:paraId="2E4B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465" w:type="pct"/>
            <w:tcBorders>
              <w:bottom w:val="single" w:color="auto" w:sz="4" w:space="0"/>
            </w:tcBorders>
            <w:noWrap w:val="0"/>
            <w:vAlign w:val="center"/>
          </w:tcPr>
          <w:p w14:paraId="4AFB7134">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tcBorders>
              <w:top w:val="nil"/>
              <w:left w:val="single" w:color="auto" w:sz="4" w:space="0"/>
              <w:bottom w:val="single" w:color="auto" w:sz="4" w:space="0"/>
              <w:right w:val="single" w:color="auto" w:sz="4" w:space="0"/>
            </w:tcBorders>
            <w:noWrap w:val="0"/>
            <w:vAlign w:val="center"/>
          </w:tcPr>
          <w:p w14:paraId="4C60E04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安全沙箱</w:t>
            </w:r>
          </w:p>
        </w:tc>
        <w:tc>
          <w:tcPr>
            <w:tcW w:w="3635" w:type="pct"/>
            <w:tcBorders>
              <w:top w:val="nil"/>
              <w:left w:val="nil"/>
              <w:bottom w:val="single" w:color="auto" w:sz="4" w:space="0"/>
              <w:right w:val="single" w:color="auto" w:sz="4" w:space="0"/>
            </w:tcBorders>
            <w:noWrap w:val="0"/>
            <w:vAlign w:val="center"/>
          </w:tcPr>
          <w:p w14:paraId="46AFC45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预设白名单用户可登录系统执行预设受控命令操作（如：查询系统状态、查询系统容量等）,无法执行非预设命令（如：增删用户、修改密码、获取root权限等）；非预设白名单用户无法通过SSH登录存储系统</w:t>
            </w:r>
          </w:p>
        </w:tc>
      </w:tr>
      <w:tr w14:paraId="1B0B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65" w:type="pct"/>
            <w:tcBorders>
              <w:top w:val="single" w:color="auto" w:sz="4" w:space="0"/>
              <w:bottom w:val="single" w:color="auto" w:sz="4" w:space="0"/>
              <w:right w:val="single" w:color="auto" w:sz="4" w:space="0"/>
            </w:tcBorders>
            <w:noWrap w:val="0"/>
            <w:vAlign w:val="center"/>
          </w:tcPr>
          <w:p w14:paraId="691927CE">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tcBorders>
              <w:top w:val="single" w:color="auto" w:sz="4" w:space="0"/>
              <w:left w:val="single" w:color="auto" w:sz="4" w:space="0"/>
              <w:bottom w:val="single" w:color="auto" w:sz="4" w:space="0"/>
              <w:right w:val="single" w:color="auto" w:sz="4" w:space="0"/>
            </w:tcBorders>
            <w:noWrap w:val="0"/>
            <w:vAlign w:val="center"/>
          </w:tcPr>
          <w:p w14:paraId="0F9357B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性能管理</w:t>
            </w:r>
          </w:p>
        </w:tc>
        <w:tc>
          <w:tcPr>
            <w:tcW w:w="3635" w:type="pct"/>
            <w:tcBorders>
              <w:top w:val="single" w:color="auto" w:sz="4" w:space="0"/>
              <w:left w:val="single" w:color="auto" w:sz="4" w:space="0"/>
              <w:bottom w:val="single" w:color="auto" w:sz="4" w:space="0"/>
              <w:right w:val="single" w:color="auto" w:sz="4" w:space="0"/>
            </w:tcBorders>
            <w:noWrap w:val="0"/>
            <w:vAlign w:val="center"/>
          </w:tcPr>
          <w:p w14:paraId="4F8233B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支持用户自定义性能图表并指定对象，对CPU利用率、内存利用率、带宽利用率等进行统计。</w:t>
            </w:r>
          </w:p>
        </w:tc>
      </w:tr>
      <w:tr w14:paraId="5286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65" w:type="pct"/>
            <w:tcBorders>
              <w:top w:val="single" w:color="auto" w:sz="4" w:space="0"/>
              <w:bottom w:val="single" w:color="auto" w:sz="4" w:space="0"/>
              <w:right w:val="single" w:color="auto" w:sz="4" w:space="0"/>
            </w:tcBorders>
            <w:noWrap w:val="0"/>
            <w:vAlign w:val="center"/>
          </w:tcPr>
          <w:p w14:paraId="303FD719">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tcBorders>
              <w:top w:val="single" w:color="auto" w:sz="4" w:space="0"/>
              <w:left w:val="single" w:color="auto" w:sz="4" w:space="0"/>
              <w:bottom w:val="single" w:color="auto" w:sz="4" w:space="0"/>
              <w:right w:val="single" w:color="auto" w:sz="4" w:space="0"/>
            </w:tcBorders>
            <w:noWrap w:val="0"/>
            <w:vAlign w:val="center"/>
          </w:tcPr>
          <w:p w14:paraId="39CDF74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告警管理</w:t>
            </w:r>
          </w:p>
        </w:tc>
        <w:tc>
          <w:tcPr>
            <w:tcW w:w="3635" w:type="pct"/>
            <w:tcBorders>
              <w:top w:val="single" w:color="auto" w:sz="4" w:space="0"/>
              <w:left w:val="single" w:color="auto" w:sz="4" w:space="0"/>
              <w:bottom w:val="single" w:color="auto" w:sz="4" w:space="0"/>
              <w:right w:val="single" w:color="auto" w:sz="4" w:space="0"/>
            </w:tcBorders>
            <w:noWrap w:val="0"/>
            <w:vAlign w:val="center"/>
          </w:tcPr>
          <w:p w14:paraId="6D66182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支持告警邮件通知，系统将自动将告警信息通过Email发送给相关人员，也可设置将告警转储到第三方服务器。支持告警屏蔽和取消屏蔽。</w:t>
            </w:r>
          </w:p>
        </w:tc>
      </w:tr>
      <w:tr w14:paraId="08C0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65" w:type="pct"/>
            <w:tcBorders>
              <w:top w:val="single" w:color="auto" w:sz="4" w:space="0"/>
              <w:bottom w:val="single" w:color="auto" w:sz="4" w:space="0"/>
              <w:right w:val="single" w:color="auto" w:sz="4" w:space="0"/>
            </w:tcBorders>
            <w:noWrap w:val="0"/>
            <w:vAlign w:val="center"/>
          </w:tcPr>
          <w:p w14:paraId="5DBC4688">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tcBorders>
              <w:top w:val="single" w:color="auto" w:sz="4" w:space="0"/>
              <w:left w:val="single" w:color="auto" w:sz="4" w:space="0"/>
              <w:bottom w:val="single" w:color="auto" w:sz="4" w:space="0"/>
              <w:right w:val="single" w:color="auto" w:sz="4" w:space="0"/>
            </w:tcBorders>
            <w:noWrap w:val="0"/>
            <w:vAlign w:val="center"/>
          </w:tcPr>
          <w:p w14:paraId="4F4E362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节点数量要求★</w:t>
            </w:r>
          </w:p>
        </w:tc>
        <w:tc>
          <w:tcPr>
            <w:tcW w:w="3635" w:type="pct"/>
            <w:tcBorders>
              <w:top w:val="single" w:color="auto" w:sz="4" w:space="0"/>
              <w:left w:val="single" w:color="auto" w:sz="4" w:space="0"/>
              <w:bottom w:val="single" w:color="auto" w:sz="4" w:space="0"/>
            </w:tcBorders>
            <w:noWrap w:val="0"/>
            <w:vAlign w:val="center"/>
          </w:tcPr>
          <w:p w14:paraId="1FF118E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本次配置扩容存储节点≥3个，扩容节点需要支持与现网X86架构存储节点共集群。提供第三方检测报告证明。</w:t>
            </w:r>
          </w:p>
        </w:tc>
      </w:tr>
      <w:tr w14:paraId="266A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65" w:type="pct"/>
            <w:tcBorders>
              <w:top w:val="single" w:color="auto" w:sz="4" w:space="0"/>
              <w:bottom w:val="single" w:color="auto" w:sz="4" w:space="0"/>
              <w:right w:val="single" w:color="auto" w:sz="4" w:space="0"/>
            </w:tcBorders>
            <w:noWrap w:val="0"/>
            <w:vAlign w:val="center"/>
          </w:tcPr>
          <w:p w14:paraId="26C03660">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tcBorders>
              <w:top w:val="single" w:color="auto" w:sz="4" w:space="0"/>
              <w:left w:val="single" w:color="auto" w:sz="4" w:space="0"/>
              <w:bottom w:val="single" w:color="auto" w:sz="4" w:space="0"/>
              <w:right w:val="single" w:color="auto" w:sz="4" w:space="0"/>
            </w:tcBorders>
            <w:noWrap w:val="0"/>
            <w:vAlign w:val="center"/>
          </w:tcPr>
          <w:p w14:paraId="2B98081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CPU</w:t>
            </w:r>
          </w:p>
        </w:tc>
        <w:tc>
          <w:tcPr>
            <w:tcW w:w="3635" w:type="pct"/>
            <w:tcBorders>
              <w:top w:val="single" w:color="auto" w:sz="4" w:space="0"/>
              <w:left w:val="single" w:color="auto" w:sz="4" w:space="0"/>
              <w:bottom w:val="single" w:color="auto" w:sz="4" w:space="0"/>
            </w:tcBorders>
            <w:noWrap w:val="0"/>
            <w:vAlign w:val="center"/>
          </w:tcPr>
          <w:p w14:paraId="13746AC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单节点配置≥2颗CPU，单CPU主频≥2.6GHz，核数≥32核。</w:t>
            </w:r>
          </w:p>
        </w:tc>
      </w:tr>
      <w:tr w14:paraId="3EAD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5" w:type="pct"/>
            <w:tcBorders>
              <w:top w:val="single" w:color="auto" w:sz="4" w:space="0"/>
              <w:bottom w:val="single" w:color="auto" w:sz="4" w:space="0"/>
              <w:right w:val="single" w:color="auto" w:sz="4" w:space="0"/>
            </w:tcBorders>
            <w:noWrap w:val="0"/>
            <w:vAlign w:val="center"/>
          </w:tcPr>
          <w:p w14:paraId="36961E54">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tcBorders>
              <w:top w:val="single" w:color="auto" w:sz="4" w:space="0"/>
              <w:left w:val="single" w:color="auto" w:sz="4" w:space="0"/>
              <w:bottom w:val="single" w:color="auto" w:sz="4" w:space="0"/>
              <w:right w:val="single" w:color="auto" w:sz="4" w:space="0"/>
            </w:tcBorders>
            <w:noWrap w:val="0"/>
            <w:vAlign w:val="center"/>
          </w:tcPr>
          <w:p w14:paraId="02AE40F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内存</w:t>
            </w:r>
          </w:p>
        </w:tc>
        <w:tc>
          <w:tcPr>
            <w:tcW w:w="3635" w:type="pct"/>
            <w:tcBorders>
              <w:top w:val="single" w:color="auto" w:sz="4" w:space="0"/>
              <w:left w:val="single" w:color="auto" w:sz="4" w:space="0"/>
              <w:bottom w:val="single" w:color="auto" w:sz="4" w:space="0"/>
            </w:tcBorders>
            <w:noWrap w:val="0"/>
            <w:vAlign w:val="center"/>
          </w:tcPr>
          <w:p w14:paraId="3940C36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单节点配置≥256GB DDR4内存。</w:t>
            </w:r>
          </w:p>
        </w:tc>
      </w:tr>
      <w:tr w14:paraId="69BF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5" w:type="pct"/>
            <w:tcBorders>
              <w:top w:val="single" w:color="auto" w:sz="4" w:space="0"/>
              <w:bottom w:val="single" w:color="auto" w:sz="4" w:space="0"/>
              <w:right w:val="single" w:color="auto" w:sz="4" w:space="0"/>
            </w:tcBorders>
            <w:noWrap w:val="0"/>
            <w:vAlign w:val="center"/>
          </w:tcPr>
          <w:p w14:paraId="39C1A7F1">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tcBorders>
              <w:top w:val="single" w:color="auto" w:sz="4" w:space="0"/>
              <w:left w:val="single" w:color="auto" w:sz="4" w:space="0"/>
              <w:bottom w:val="single" w:color="auto" w:sz="4" w:space="0"/>
              <w:right w:val="single" w:color="auto" w:sz="4" w:space="0"/>
            </w:tcBorders>
            <w:noWrap w:val="0"/>
            <w:vAlign w:val="center"/>
          </w:tcPr>
          <w:p w14:paraId="66086C5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系统盘</w:t>
            </w:r>
          </w:p>
        </w:tc>
        <w:tc>
          <w:tcPr>
            <w:tcW w:w="3635" w:type="pct"/>
            <w:tcBorders>
              <w:top w:val="single" w:color="auto" w:sz="4" w:space="0"/>
              <w:left w:val="single" w:color="auto" w:sz="4" w:space="0"/>
              <w:bottom w:val="single" w:color="auto" w:sz="4" w:space="0"/>
            </w:tcBorders>
            <w:noWrap w:val="0"/>
            <w:vAlign w:val="center"/>
          </w:tcPr>
          <w:p w14:paraId="1E36054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单节点配置≥2*480G SSD系统盘。</w:t>
            </w:r>
          </w:p>
        </w:tc>
      </w:tr>
      <w:tr w14:paraId="7DC7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5" w:type="pct"/>
            <w:tcBorders>
              <w:top w:val="single" w:color="auto" w:sz="4" w:space="0"/>
              <w:bottom w:val="single" w:color="auto" w:sz="4" w:space="0"/>
              <w:right w:val="single" w:color="auto" w:sz="4" w:space="0"/>
            </w:tcBorders>
            <w:noWrap w:val="0"/>
            <w:vAlign w:val="center"/>
          </w:tcPr>
          <w:p w14:paraId="0138CE02">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tcBorders>
              <w:top w:val="single" w:color="auto" w:sz="4" w:space="0"/>
              <w:left w:val="single" w:color="auto" w:sz="4" w:space="0"/>
              <w:bottom w:val="single" w:color="auto" w:sz="4" w:space="0"/>
              <w:right w:val="single" w:color="auto" w:sz="4" w:space="0"/>
            </w:tcBorders>
            <w:noWrap w:val="0"/>
            <w:vAlign w:val="center"/>
          </w:tcPr>
          <w:p w14:paraId="1A8E2F7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主存盘</w:t>
            </w:r>
          </w:p>
        </w:tc>
        <w:tc>
          <w:tcPr>
            <w:tcW w:w="3635" w:type="pct"/>
            <w:tcBorders>
              <w:top w:val="single" w:color="auto" w:sz="4" w:space="0"/>
              <w:left w:val="single" w:color="auto" w:sz="4" w:space="0"/>
              <w:bottom w:val="single" w:color="auto" w:sz="4" w:space="0"/>
            </w:tcBorders>
            <w:noWrap w:val="0"/>
            <w:vAlign w:val="center"/>
          </w:tcPr>
          <w:p w14:paraId="71326E9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单节点配置≥12*14TB SATA主存盘。</w:t>
            </w:r>
          </w:p>
        </w:tc>
      </w:tr>
      <w:tr w14:paraId="00D0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5" w:type="pct"/>
            <w:tcBorders>
              <w:top w:val="single" w:color="auto" w:sz="4" w:space="0"/>
              <w:bottom w:val="single" w:color="auto" w:sz="4" w:space="0"/>
              <w:right w:val="single" w:color="auto" w:sz="4" w:space="0"/>
            </w:tcBorders>
            <w:noWrap w:val="0"/>
            <w:vAlign w:val="center"/>
          </w:tcPr>
          <w:p w14:paraId="1DAE9215">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tcBorders>
              <w:top w:val="single" w:color="auto" w:sz="4" w:space="0"/>
              <w:left w:val="single" w:color="auto" w:sz="4" w:space="0"/>
              <w:bottom w:val="single" w:color="auto" w:sz="4" w:space="0"/>
              <w:right w:val="single" w:color="auto" w:sz="4" w:space="0"/>
            </w:tcBorders>
            <w:noWrap w:val="0"/>
            <w:vAlign w:val="center"/>
          </w:tcPr>
          <w:p w14:paraId="2639C4C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缓存盘</w:t>
            </w:r>
          </w:p>
        </w:tc>
        <w:tc>
          <w:tcPr>
            <w:tcW w:w="3635" w:type="pct"/>
            <w:tcBorders>
              <w:top w:val="single" w:color="auto" w:sz="4" w:space="0"/>
              <w:left w:val="single" w:color="auto" w:sz="4" w:space="0"/>
              <w:bottom w:val="single" w:color="auto" w:sz="4" w:space="0"/>
            </w:tcBorders>
            <w:noWrap w:val="0"/>
            <w:vAlign w:val="center"/>
          </w:tcPr>
          <w:p w14:paraId="451F435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单节点配置≥2*3.2TB NVMe SSD缓存盘。</w:t>
            </w:r>
          </w:p>
        </w:tc>
      </w:tr>
      <w:tr w14:paraId="18D0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5" w:type="pct"/>
            <w:tcBorders>
              <w:top w:val="single" w:color="auto" w:sz="4" w:space="0"/>
              <w:bottom w:val="single" w:color="auto" w:sz="4" w:space="0"/>
              <w:right w:val="single" w:color="auto" w:sz="4" w:space="0"/>
            </w:tcBorders>
            <w:noWrap w:val="0"/>
            <w:vAlign w:val="center"/>
          </w:tcPr>
          <w:p w14:paraId="523A42A9">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tcBorders>
              <w:top w:val="single" w:color="auto" w:sz="4" w:space="0"/>
              <w:left w:val="single" w:color="auto" w:sz="4" w:space="0"/>
              <w:bottom w:val="single" w:color="auto" w:sz="4" w:space="0"/>
              <w:right w:val="single" w:color="auto" w:sz="4" w:space="0"/>
            </w:tcBorders>
            <w:noWrap w:val="0"/>
            <w:vAlign w:val="center"/>
          </w:tcPr>
          <w:p w14:paraId="37D02A0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网卡</w:t>
            </w:r>
          </w:p>
        </w:tc>
        <w:tc>
          <w:tcPr>
            <w:tcW w:w="3635" w:type="pct"/>
            <w:tcBorders>
              <w:top w:val="single" w:color="auto" w:sz="4" w:space="0"/>
              <w:left w:val="single" w:color="auto" w:sz="4" w:space="0"/>
              <w:bottom w:val="single" w:color="auto" w:sz="4" w:space="0"/>
            </w:tcBorders>
            <w:noWrap w:val="0"/>
            <w:vAlign w:val="center"/>
          </w:tcPr>
          <w:p w14:paraId="3005D70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单节点配置≥2*双端口25GE以太网卡（含模块）。</w:t>
            </w:r>
          </w:p>
        </w:tc>
      </w:tr>
      <w:tr w14:paraId="1C75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pct"/>
            <w:tcBorders>
              <w:top w:val="single" w:color="auto" w:sz="4" w:space="0"/>
              <w:right w:val="single" w:color="auto" w:sz="4" w:space="0"/>
            </w:tcBorders>
            <w:noWrap w:val="0"/>
            <w:vAlign w:val="center"/>
          </w:tcPr>
          <w:p w14:paraId="15656887">
            <w:pPr>
              <w:numPr>
                <w:ilvl w:val="0"/>
                <w:numId w:val="1"/>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p>
        </w:tc>
        <w:tc>
          <w:tcPr>
            <w:tcW w:w="899" w:type="pct"/>
            <w:tcBorders>
              <w:top w:val="single" w:color="auto" w:sz="4" w:space="0"/>
              <w:left w:val="single" w:color="auto" w:sz="4" w:space="0"/>
              <w:right w:val="single" w:color="auto" w:sz="4" w:space="0"/>
            </w:tcBorders>
            <w:noWrap w:val="0"/>
            <w:vAlign w:val="center"/>
          </w:tcPr>
          <w:p w14:paraId="6EBC701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服务▲</w:t>
            </w:r>
          </w:p>
        </w:tc>
        <w:tc>
          <w:tcPr>
            <w:tcW w:w="3635" w:type="pct"/>
            <w:tcBorders>
              <w:top w:val="single" w:color="auto" w:sz="4" w:space="0"/>
              <w:left w:val="single" w:color="auto" w:sz="4" w:space="0"/>
            </w:tcBorders>
            <w:noWrap w:val="0"/>
            <w:vAlign w:val="center"/>
          </w:tcPr>
          <w:p w14:paraId="1E27C18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服务期内需</w:t>
            </w:r>
            <w:r>
              <w:rPr>
                <w:rFonts w:hint="eastAsia" w:ascii="宋体" w:hAnsi="宋体" w:eastAsia="宋体" w:cs="宋体"/>
                <w:kern w:val="0"/>
                <w:sz w:val="24"/>
                <w:szCs w:val="24"/>
              </w:rPr>
              <w:t>提供7*24原厂维保服务，</w:t>
            </w:r>
            <w:r>
              <w:rPr>
                <w:rFonts w:hint="eastAsia" w:ascii="宋体" w:hAnsi="宋体" w:eastAsia="宋体" w:cs="宋体"/>
                <w:kern w:val="0"/>
                <w:sz w:val="24"/>
                <w:szCs w:val="24"/>
                <w:lang w:val="en-US" w:eastAsia="zh-CN"/>
              </w:rPr>
              <w:t>投标人需</w:t>
            </w:r>
            <w:r>
              <w:rPr>
                <w:rFonts w:hint="eastAsia" w:ascii="宋体" w:hAnsi="宋体" w:eastAsia="宋体" w:cs="宋体"/>
                <w:kern w:val="0"/>
                <w:sz w:val="24"/>
                <w:szCs w:val="24"/>
              </w:rPr>
              <w:t>提供原厂售后服务承诺函</w:t>
            </w:r>
            <w:r>
              <w:rPr>
                <w:rFonts w:hint="eastAsia" w:ascii="宋体" w:hAnsi="宋体" w:eastAsia="宋体" w:cs="宋体"/>
                <w:kern w:val="0"/>
                <w:sz w:val="24"/>
                <w:szCs w:val="24"/>
                <w:lang w:val="en-US" w:eastAsia="zh-CN"/>
              </w:rPr>
              <w:t>原件</w:t>
            </w:r>
            <w:r>
              <w:rPr>
                <w:rFonts w:hint="eastAsia" w:ascii="宋体" w:hAnsi="宋体" w:eastAsia="宋体" w:cs="宋体"/>
                <w:kern w:val="0"/>
                <w:sz w:val="24"/>
                <w:szCs w:val="24"/>
              </w:rPr>
              <w:t>和授权书</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并加盖投标人公章</w:t>
            </w:r>
            <w:r>
              <w:rPr>
                <w:rFonts w:hint="eastAsia" w:ascii="宋体" w:hAnsi="宋体" w:eastAsia="宋体" w:cs="宋体"/>
                <w:kern w:val="0"/>
                <w:sz w:val="24"/>
                <w:szCs w:val="24"/>
              </w:rPr>
              <w:t>盖章</w:t>
            </w:r>
            <w:r>
              <w:rPr>
                <w:rFonts w:hint="eastAsia" w:ascii="宋体" w:hAnsi="宋体" w:eastAsia="宋体" w:cs="宋体"/>
                <w:kern w:val="0"/>
                <w:sz w:val="24"/>
                <w:szCs w:val="24"/>
                <w:lang w:val="en-US" w:eastAsia="zh-CN"/>
              </w:rPr>
              <w:t>电子件（需盖投标人公章）</w:t>
            </w:r>
            <w:r>
              <w:rPr>
                <w:rFonts w:hint="eastAsia" w:ascii="宋体" w:hAnsi="宋体" w:eastAsia="宋体" w:cs="宋体"/>
                <w:kern w:val="0"/>
                <w:sz w:val="24"/>
                <w:szCs w:val="24"/>
              </w:rPr>
              <w:t>；设备生产商需在国内设有400</w:t>
            </w:r>
            <w:r>
              <w:rPr>
                <w:rFonts w:hint="eastAsia" w:ascii="宋体" w:hAnsi="宋体" w:eastAsia="宋体" w:cs="宋体"/>
                <w:kern w:val="0"/>
                <w:sz w:val="24"/>
                <w:szCs w:val="24"/>
                <w:lang w:val="en-US" w:eastAsia="zh-CN"/>
              </w:rPr>
              <w:t>或800</w:t>
            </w:r>
            <w:r>
              <w:rPr>
                <w:rFonts w:hint="eastAsia" w:ascii="宋体" w:hAnsi="宋体" w:eastAsia="宋体" w:cs="宋体"/>
                <w:kern w:val="0"/>
                <w:sz w:val="24"/>
                <w:szCs w:val="24"/>
              </w:rPr>
              <w:t>技术服务热线。</w:t>
            </w:r>
          </w:p>
        </w:tc>
      </w:tr>
    </w:tbl>
    <w:p w14:paraId="6B94B876">
      <w:pPr>
        <w:autoSpaceDE w:val="0"/>
        <w:autoSpaceDN w:val="0"/>
        <w:adjustRightInd w:val="0"/>
        <w:spacing w:line="360" w:lineRule="auto"/>
        <w:jc w:val="left"/>
        <w:rPr>
          <w:rFonts w:hint="eastAsia" w:ascii="宋体" w:hAnsi="宋体" w:eastAsia="宋体" w:cs="宋体"/>
          <w:kern w:val="0"/>
          <w:sz w:val="24"/>
          <w:szCs w:val="24"/>
        </w:rPr>
      </w:pPr>
    </w:p>
    <w:p w14:paraId="196187A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4、NAS存储灾备服务要求</w:t>
      </w:r>
    </w:p>
    <w:p w14:paraId="14933A1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4.1管理特性</w:t>
      </w:r>
    </w:p>
    <w:p w14:paraId="26C5851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4.1.1.支持海量小文件同步，同步文件数量至少达到1亿级别。</w:t>
      </w:r>
    </w:p>
    <w:p w14:paraId="0892ED1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4.1.2.提供归档的支持，将归档文件放置于目标机的存储中，并能实时召回使用，归档的文件可以共享使用。</w:t>
      </w:r>
    </w:p>
    <w:p w14:paraId="10DAF90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4.1.3.提供数据验证功能，并能按计划时间执行。</w:t>
      </w:r>
    </w:p>
    <w:p w14:paraId="2E72772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4.2功能与规格</w:t>
      </w:r>
    </w:p>
    <w:p w14:paraId="10BA502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4.2.1平台支持目标端和源端支持多平台，至少包括Windows和Linux版本，拥有实时复制功能</w:t>
      </w:r>
    </w:p>
    <w:p w14:paraId="4702B08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4.2.2盘符容量Windows系统下一个盘符的容量≥256T。</w:t>
      </w:r>
    </w:p>
    <w:p w14:paraId="549F0A3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4.2.3存储访问方式：至少支持NFS、CIFS、ISCSI</w:t>
      </w:r>
    </w:p>
    <w:p w14:paraId="3303037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4.2.4扩展性支持：备份软件提供扩展性，不需专属硬件支持</w:t>
      </w:r>
    </w:p>
    <w:p w14:paraId="608BF3F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4.2.5读写能力：云数据存储应具备超高的读写能力，内部提供≥11000MB/s带宽，IOPS≥80万。</w:t>
      </w:r>
    </w:p>
    <w:p w14:paraId="0928A6E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4.2.6数据保护：云数据存储至少支持如下数据保护功能：CDP、快照功能、卷克隆、远程复制、实时卷恢复、支持多种RAID级别选项、在线添加存储资源池、高速缓存、数据加密、CHAP认证。</w:t>
      </w:r>
    </w:p>
    <w:p w14:paraId="591C346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4.2.7云数据存储私密性：存放数据为内部业务数据，要求不得和其他租户的数据在物理上混合存放。</w:t>
      </w:r>
    </w:p>
    <w:p w14:paraId="6C1322C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4.2.8云数据存储可用性：保证数据安全性，云数据存储应能提供≥99.99%的可用性</w:t>
      </w:r>
    </w:p>
    <w:p w14:paraId="47B2F25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4.2.9部署方式：多种灵活的部署方式,工作机和备份机以及管理机可以分离，独立配置。</w:t>
      </w:r>
    </w:p>
    <w:p w14:paraId="6A3320B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▲4.2.10存储能力：云数据存储应支持PB级别及以上的存储能力，初始提供的可用空间≥100TB，并至少提供块存储、数据分层功能。</w:t>
      </w:r>
    </w:p>
    <w:p w14:paraId="414C6D4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4.3备份特性</w:t>
      </w:r>
    </w:p>
    <w:p w14:paraId="0D8A6F4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4.3.1多线程备份管理</w:t>
      </w:r>
    </w:p>
    <w:p w14:paraId="415252E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1）支持多个复制规则并且支持多并发，灵活的规则管理策略，规则之间相互独立。</w:t>
      </w:r>
    </w:p>
    <w:p w14:paraId="171A449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2）至少提供异步字节级别的增量数据持续复制功能，能不受距离限制的复制。</w:t>
      </w:r>
    </w:p>
    <w:p w14:paraId="61CDC88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3）提供带宽及数据流控制功能，每个复制任务可根据时间动态调整带宽限制功能。</w:t>
      </w:r>
    </w:p>
    <w:p w14:paraId="60D9410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4）数据压缩加密，至少能按单独复制任务，服务器，数据及网络自动进行≥三个级别的压缩。</w:t>
      </w:r>
    </w:p>
    <w:p w14:paraId="172E125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4.3.2存储设备支持:至少要求支持NAS、SAN存储类型的备份。</w:t>
      </w:r>
    </w:p>
    <w:p w14:paraId="630D808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▲4.3.3一致性校验:要求在实际生产中，任意情况下（断电、断网、机器故障、人为故障等）均能保证灾备数据的完整性、一致性，保证数据的真实可用。</w:t>
      </w:r>
    </w:p>
    <w:p w14:paraId="6DA48AE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4.3.4备份恢复策略:要求对保护的数据实现灵活的选取以及舍弃，可根据实际需求灵活选取单个文件、文件夹、卷做保护，支持文件及目录选择，并提供打开文件的镜像和复制功能，节省传输数据量，节约带宽。同时可对数据进行恢复，提供恢复至本机、恢复至异机等灵活的恢复机制。</w:t>
      </w:r>
    </w:p>
    <w:p w14:paraId="43B344A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4.3.5断点续传:要求在传输过程中可应对各种网络故障以及机器故障等导致的传输终止情况，实现断点续传。</w:t>
      </w:r>
    </w:p>
    <w:p w14:paraId="1BA5C19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4.3.6高速备份:要求实现对存储中数据进行高效的传输备份，对现有存储中存量数据不低于60MB/S的传输速率，对现有存储中增量数据不低于30MB/S的传输速率。</w:t>
      </w:r>
    </w:p>
    <w:p w14:paraId="4F07BFA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4.3.7容灾周期短:为了确保医院数据安全，要求同步周期最高至少可以达到秒级。</w:t>
      </w:r>
    </w:p>
    <w:p w14:paraId="4DC0B3C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4.3.8分布存储:要求数据能够均匀分布到各个数据盘，避免磁盘热点出现，从而保障读写速度。</w:t>
      </w:r>
    </w:p>
    <w:p w14:paraId="007D45E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4.3.9快速自愈:系统自动检测到硬盘故障，系统会自动进行重构，实现系统的快速自愈合。</w:t>
      </w:r>
    </w:p>
    <w:p w14:paraId="1FE6728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4.3.10数据网络调整:目前的数据网络，同时支持现网NAS存储和对象存储，可随时调整网络，调整网络期间业务离线时间≤2分钟。</w:t>
      </w:r>
    </w:p>
    <w:p w14:paraId="2106383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4.4传输线路及速率</w:t>
      </w:r>
    </w:p>
    <w:p w14:paraId="1881D3C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▲4.4.1双联路专线连接（本条款项下1）和2）任意一条不满足均视为▲4.4.1不满足）</w:t>
      </w:r>
    </w:p>
    <w:p w14:paraId="5CA6D59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1）须使用双路由点对点的裸光纤互联或更优，实现高速率、双链路专线连接</w:t>
      </w:r>
    </w:p>
    <w:p w14:paraId="6BAB484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2）专线链接在单链路下可实现万兆传输速率。</w:t>
      </w:r>
    </w:p>
    <w:p w14:paraId="17AEBD3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4.4.2光纤切换：医院与异地备份机房之间光纤链路为运营商光纤资源，存储业务调整期间，光纤切换时间≤50ms。</w:t>
      </w:r>
    </w:p>
    <w:p w14:paraId="257BCF73">
      <w:pPr>
        <w:autoSpaceDE w:val="0"/>
        <w:autoSpaceDN w:val="0"/>
        <w:adjustRightInd w:val="0"/>
        <w:spacing w:line="360" w:lineRule="auto"/>
        <w:jc w:val="left"/>
        <w:rPr>
          <w:rFonts w:hint="eastAsia" w:ascii="宋体" w:hAnsi="宋体" w:eastAsia="宋体" w:cs="宋体"/>
          <w:kern w:val="0"/>
          <w:sz w:val="24"/>
          <w:szCs w:val="24"/>
        </w:rPr>
      </w:pPr>
    </w:p>
    <w:p w14:paraId="3651CDA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九、服务要求</w:t>
      </w:r>
    </w:p>
    <w:p w14:paraId="53FC471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1现场办公配套服务</w:t>
      </w:r>
    </w:p>
    <w:p w14:paraId="264B489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1.1.提供≥1个独立封闭的操作工位，用于数据调用、应用升级等现场操作。</w:t>
      </w:r>
    </w:p>
    <w:p w14:paraId="5007ADE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1.2.工位需具备网络端口，且与其他网络隔离。</w:t>
      </w:r>
    </w:p>
    <w:p w14:paraId="22BB086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▲2服务响应:需要提供7*24小时支持响应服务，要求10分钟内响应；遇重大故障需要到机房或者医院现场时，在院方确认后30分钟内到达现场。</w:t>
      </w:r>
    </w:p>
    <w:p w14:paraId="3700405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3数据迁移:如涉及数据迁移，服务商需承诺提供技术培训:通过在线平台远程培训方式，提供培训名额满足项目建设和应用需求，支持远程在线实时直播培训以及培训过程的视频录制</w:t>
      </w:r>
    </w:p>
    <w:p w14:paraId="3514539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★3投标人需在投标文件中承诺：</w:t>
      </w:r>
    </w:p>
    <w:p w14:paraId="2F90DF1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投标人承诺满足验收要求:影像云存储及技术支持运维服务上线运营交付要求，规格和性能以及可用空间均满足招标文件中要求。招标人根据投标人投标文件中服务方案、服务承诺等内容的实施情况对项目进行验收。如中标方未通过验收，招标人有权中止合同，并且需由中标方支付采购人因中标方未能按照承诺响应完成项目造成的业务影响费用（包含但不限于因服务未能按时上线所需要支付的延续服务费，可能包含租赁费、数据存储费等）。</w:t>
      </w:r>
    </w:p>
    <w:p w14:paraId="2B56835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投标人承诺满足连续性要求：在保证医院业务连续性，不影响原有存储业务（存储业务离线时间不超过两分钟）的前提下，于2025年6月30日前，完成数据迁移和校验工作，且所有数据迁移成本，均包含在报价之内，投标人明确业务连续性对招标人的重要性，能够预见未能满足承诺要求将对招标人造成巨大的损失；因此投标人同意如未满足承诺要求，医院有权单方面解除合同且投标人承担违约责任，包括但不限于返还招标人已支付费用、承担招标人再次招标的费用、因数据无法迁移产生的所有费用等。</w:t>
      </w:r>
    </w:p>
    <w:p w14:paraId="61C72E6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巡检要求：投标人须承诺按季度提供巡检服务，巡检服务内容包括：网络测试、设备状态巡查、数据检验等；巡检中需评估风险，提出优化建议，收集各类招标人提出的问题，巡检后及时进行招标人满意度调查。</w:t>
      </w:r>
    </w:p>
    <w:p w14:paraId="3BEB9FFD">
      <w:pPr>
        <w:autoSpaceDE w:val="0"/>
        <w:autoSpaceDN w:val="0"/>
        <w:adjustRightInd w:val="0"/>
        <w:spacing w:line="360" w:lineRule="auto"/>
        <w:jc w:val="left"/>
        <w:rPr>
          <w:rFonts w:hint="eastAsia" w:ascii="宋体" w:hAnsi="宋体" w:eastAsia="宋体" w:cs="宋体"/>
          <w:kern w:val="0"/>
          <w:sz w:val="24"/>
          <w:szCs w:val="24"/>
        </w:rPr>
      </w:pPr>
    </w:p>
    <w:p w14:paraId="207EAD6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四</w:t>
      </w:r>
      <w:r>
        <w:rPr>
          <w:rFonts w:hint="eastAsia" w:ascii="宋体" w:hAnsi="宋体" w:eastAsia="宋体" w:cs="宋体"/>
          <w:kern w:val="0"/>
          <w:sz w:val="24"/>
          <w:szCs w:val="24"/>
        </w:rPr>
        <w:t>、商务要求</w:t>
      </w:r>
    </w:p>
    <w:p w14:paraId="24DD97B1">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eastAsia="zh-CN"/>
        </w:rPr>
        <w:t>最高限价</w:t>
      </w:r>
    </w:p>
    <w:p w14:paraId="3F937189">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人民币</w:t>
      </w:r>
      <w:r>
        <w:rPr>
          <w:rFonts w:hint="eastAsia" w:ascii="宋体" w:hAnsi="宋体" w:eastAsia="宋体" w:cs="宋体"/>
          <w:kern w:val="0"/>
          <w:sz w:val="24"/>
          <w:szCs w:val="24"/>
          <w:lang w:val="en-US" w:eastAsia="zh-CN"/>
        </w:rPr>
        <w:t>285</w:t>
      </w:r>
      <w:r>
        <w:rPr>
          <w:rFonts w:hint="eastAsia" w:ascii="宋体" w:hAnsi="宋体" w:eastAsia="宋体" w:cs="宋体"/>
          <w:kern w:val="0"/>
          <w:sz w:val="24"/>
          <w:szCs w:val="24"/>
          <w:lang w:eastAsia="zh-CN"/>
        </w:rPr>
        <w:t>.00万元</w:t>
      </w:r>
    </w:p>
    <w:p w14:paraId="2F700BA9">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eastAsia="zh-CN"/>
        </w:rPr>
        <w:t>资格条件</w:t>
      </w:r>
    </w:p>
    <w:p w14:paraId="0F820DB2">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（1）具有合法经营资质的独立法人、其他组织；</w:t>
      </w:r>
    </w:p>
    <w:p w14:paraId="24CA249A">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（2）未被“信用中国”网站（www.creditchina.gov.cn）列入失信被执行人名单、重大税收违法案件当事人名单、未被中国政府采购网（</w:t>
      </w:r>
      <w:r>
        <w:rPr>
          <w:rFonts w:hint="eastAsia" w:ascii="宋体" w:hAnsi="宋体" w:eastAsia="宋体" w:cs="宋体"/>
          <w:kern w:val="0"/>
          <w:sz w:val="24"/>
          <w:szCs w:val="24"/>
          <w:lang w:eastAsia="zh-CN"/>
        </w:rPr>
        <w:fldChar w:fldCharType="begin"/>
      </w:r>
      <w:r>
        <w:rPr>
          <w:rFonts w:hint="eastAsia" w:ascii="宋体" w:hAnsi="宋体" w:eastAsia="宋体" w:cs="宋体"/>
          <w:kern w:val="0"/>
          <w:sz w:val="24"/>
          <w:szCs w:val="24"/>
          <w:lang w:eastAsia="zh-CN"/>
        </w:rPr>
        <w:instrText xml:space="preserve"> HYPERLINK "http://www.ccgp.gov.cn" </w:instrText>
      </w:r>
      <w:r>
        <w:rPr>
          <w:rFonts w:hint="eastAsia" w:ascii="宋体" w:hAnsi="宋体" w:eastAsia="宋体" w:cs="宋体"/>
          <w:kern w:val="0"/>
          <w:sz w:val="24"/>
          <w:szCs w:val="24"/>
          <w:lang w:eastAsia="zh-CN"/>
        </w:rPr>
        <w:fldChar w:fldCharType="separate"/>
      </w:r>
      <w:r>
        <w:rPr>
          <w:rFonts w:hint="eastAsia" w:ascii="宋体" w:hAnsi="宋体" w:eastAsia="宋体" w:cs="宋体"/>
          <w:kern w:val="0"/>
          <w:sz w:val="24"/>
          <w:szCs w:val="24"/>
          <w:lang w:eastAsia="zh-CN"/>
        </w:rPr>
        <w:t>www.ccgp.gov.cn</w:t>
      </w:r>
      <w:r>
        <w:rPr>
          <w:rFonts w:hint="eastAsia" w:ascii="宋体" w:hAnsi="宋体" w:eastAsia="宋体" w:cs="宋体"/>
          <w:kern w:val="0"/>
          <w:sz w:val="24"/>
          <w:szCs w:val="24"/>
          <w:lang w:eastAsia="zh-CN"/>
        </w:rPr>
        <w:fldChar w:fldCharType="end"/>
      </w:r>
      <w:r>
        <w:rPr>
          <w:rFonts w:hint="eastAsia" w:ascii="宋体" w:hAnsi="宋体" w:eastAsia="宋体" w:cs="宋体"/>
          <w:kern w:val="0"/>
          <w:sz w:val="24"/>
          <w:szCs w:val="24"/>
          <w:lang w:eastAsia="zh-CN"/>
        </w:rPr>
        <w:t>）列入政府采购严重违法失信行为记录名单。</w:t>
      </w:r>
    </w:p>
    <w:p w14:paraId="70ADB396">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（3）本项目不接受联合体投标。</w:t>
      </w:r>
    </w:p>
    <w:p w14:paraId="4C02E06A">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93FD5"/>
    <w:multiLevelType w:val="singleLevel"/>
    <w:tmpl w:val="2EF93FD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N2YyNGE3MGRmODA3YWUxMTEzMzYyNzE2N2EyZGMifQ=="/>
  </w:docVars>
  <w:rsids>
    <w:rsidRoot w:val="00802568"/>
    <w:rsid w:val="00097888"/>
    <w:rsid w:val="000B35DF"/>
    <w:rsid w:val="0013594E"/>
    <w:rsid w:val="001B75E0"/>
    <w:rsid w:val="001C1877"/>
    <w:rsid w:val="001D1C86"/>
    <w:rsid w:val="002E581F"/>
    <w:rsid w:val="00442A8D"/>
    <w:rsid w:val="007E4B52"/>
    <w:rsid w:val="00802568"/>
    <w:rsid w:val="0090336E"/>
    <w:rsid w:val="009D50C6"/>
    <w:rsid w:val="00B43BBE"/>
    <w:rsid w:val="00BE15FC"/>
    <w:rsid w:val="00C6537D"/>
    <w:rsid w:val="00DE00A7"/>
    <w:rsid w:val="00E327F1"/>
    <w:rsid w:val="00F33866"/>
    <w:rsid w:val="060614D7"/>
    <w:rsid w:val="0D995E8D"/>
    <w:rsid w:val="14094B03"/>
    <w:rsid w:val="1DC57AE4"/>
    <w:rsid w:val="1F0A03FC"/>
    <w:rsid w:val="21B06347"/>
    <w:rsid w:val="31785D43"/>
    <w:rsid w:val="49B50201"/>
    <w:rsid w:val="54294421"/>
    <w:rsid w:val="56EB6D2E"/>
    <w:rsid w:val="582D1057"/>
    <w:rsid w:val="59D9400C"/>
    <w:rsid w:val="65E840C9"/>
    <w:rsid w:val="682E13C0"/>
    <w:rsid w:val="6D3A0424"/>
    <w:rsid w:val="7950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Body Text Indent"/>
    <w:basedOn w:val="1"/>
    <w:qFormat/>
    <w:uiPriority w:val="99"/>
    <w:pPr>
      <w:spacing w:line="480" w:lineRule="exact"/>
      <w:ind w:firstLine="525"/>
    </w:pPr>
    <w:rPr>
      <w:rFonts w:ascii="宋体" w:eastAsia="宋体"/>
      <w:sz w:val="24"/>
      <w:szCs w:val="20"/>
    </w:rPr>
  </w:style>
  <w:style w:type="paragraph" w:styleId="4">
    <w:name w:val="Plain Text"/>
    <w:basedOn w:val="1"/>
    <w:qFormat/>
    <w:uiPriority w:val="0"/>
    <w:pPr>
      <w:adjustRightInd w:val="0"/>
      <w:textAlignment w:val="baseline"/>
    </w:pPr>
    <w:rPr>
      <w:rFonts w:ascii="宋体" w:hAnsi="Courier New"/>
      <w:szCs w:val="20"/>
    </w:rPr>
  </w:style>
  <w:style w:type="paragraph" w:styleId="5">
    <w:name w:val="Balloon Text"/>
    <w:basedOn w:val="1"/>
    <w:link w:val="19"/>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8"/>
    <w:autoRedefine/>
    <w:semiHidden/>
    <w:unhideWhenUsed/>
    <w:qFormat/>
    <w:uiPriority w:val="99"/>
    <w:rPr>
      <w:b/>
      <w:bCs/>
    </w:rPr>
  </w:style>
  <w:style w:type="character" w:styleId="11">
    <w:name w:val="page number"/>
    <w:qFormat/>
    <w:uiPriority w:val="0"/>
  </w:style>
  <w:style w:type="character" w:styleId="12">
    <w:name w:val="annotation reference"/>
    <w:basedOn w:val="10"/>
    <w:autoRedefine/>
    <w:semiHidden/>
    <w:unhideWhenUsed/>
    <w:qFormat/>
    <w:uiPriority w:val="99"/>
    <w:rPr>
      <w:sz w:val="21"/>
      <w:szCs w:val="21"/>
    </w:rPr>
  </w:style>
  <w:style w:type="character" w:customStyle="1" w:styleId="13">
    <w:name w:val="页眉 字符"/>
    <w:basedOn w:val="10"/>
    <w:link w:val="7"/>
    <w:autoRedefine/>
    <w:qFormat/>
    <w:uiPriority w:val="99"/>
    <w:rPr>
      <w:sz w:val="18"/>
      <w:szCs w:val="18"/>
    </w:rPr>
  </w:style>
  <w:style w:type="character" w:customStyle="1" w:styleId="14">
    <w:name w:val="页脚 字符"/>
    <w:basedOn w:val="10"/>
    <w:link w:val="6"/>
    <w:autoRedefine/>
    <w:qFormat/>
    <w:uiPriority w:val="99"/>
    <w:rPr>
      <w:sz w:val="18"/>
      <w:szCs w:val="18"/>
    </w:rPr>
  </w:style>
  <w:style w:type="character" w:customStyle="1" w:styleId="15">
    <w:name w:val="NormalCharacter"/>
    <w:autoRedefine/>
    <w:semiHidden/>
    <w:qFormat/>
    <w:uiPriority w:val="0"/>
  </w:style>
  <w:style w:type="paragraph" w:styleId="16">
    <w:name w:val="List Paragraph"/>
    <w:basedOn w:val="1"/>
    <w:autoRedefine/>
    <w:qFormat/>
    <w:uiPriority w:val="34"/>
    <w:pPr>
      <w:ind w:firstLine="420" w:firstLineChars="200"/>
    </w:pPr>
  </w:style>
  <w:style w:type="character" w:customStyle="1" w:styleId="17">
    <w:name w:val="批注文字 字符"/>
    <w:basedOn w:val="10"/>
    <w:link w:val="2"/>
    <w:autoRedefine/>
    <w:semiHidden/>
    <w:qFormat/>
    <w:uiPriority w:val="99"/>
  </w:style>
  <w:style w:type="character" w:customStyle="1" w:styleId="18">
    <w:name w:val="批注主题 字符"/>
    <w:basedOn w:val="17"/>
    <w:link w:val="8"/>
    <w:autoRedefine/>
    <w:semiHidden/>
    <w:qFormat/>
    <w:uiPriority w:val="99"/>
    <w:rPr>
      <w:b/>
      <w:bCs/>
    </w:rPr>
  </w:style>
  <w:style w:type="character" w:customStyle="1" w:styleId="19">
    <w:name w:val="批注框文本 字符"/>
    <w:basedOn w:val="10"/>
    <w:link w:val="5"/>
    <w:autoRedefine/>
    <w:semiHidden/>
    <w:qFormat/>
    <w:uiPriority w:val="99"/>
    <w:rPr>
      <w:sz w:val="18"/>
      <w:szCs w:val="18"/>
    </w:rPr>
  </w:style>
  <w:style w:type="paragraph" w:customStyle="1" w:styleId="20">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7</Pages>
  <Words>6649</Words>
  <Characters>7136</Characters>
  <Lines>20</Lines>
  <Paragraphs>5</Paragraphs>
  <TotalTime>0</TotalTime>
  <ScaleCrop>false</ScaleCrop>
  <LinksUpToDate>false</LinksUpToDate>
  <CharactersWithSpaces>7152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2024-04-02T07:56:00Z</dcterms:created>
  <dc:creator>Windows 用户</dc:creator>
  <cp:lastModifiedBy>qujiafeng</cp:lastModifiedBy>
  <dcterms:modified xsi:type="dcterms:W3CDTF">2025-03-27T07:20:37Z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5BA4D0E65F324D6CAF1CDD63B8D3D2DE_12</vt:lpwstr>
  </property>
  <property fmtid="{D5CDD505-2E9C-101B-9397-08002B2CF9AE}" pid="4" name="KSOTemplateDocerSaveRecord">
    <vt:lpwstr>eyJoZGlkIjoiMmFhN2YyNGE3MGRmODA3YWUxMTEzMzYyNzE2N2EyZGMiLCJ1c2VySWQiOiIxNDIzNDMyNjI3In0=</vt:lpwstr>
  </property>
</Properties>
</file>