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BFFE"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一、项目名称</w:t>
      </w:r>
    </w:p>
    <w:p w14:paraId="61279DE4"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上海交通大学医学院附属新华医院听力计和声阻抗仪采购项目</w:t>
      </w:r>
    </w:p>
    <w:p w14:paraId="142A8376"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二、项目参数</w:t>
      </w:r>
    </w:p>
    <w:p w14:paraId="036F6DF1"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（一）最高限价：人民币34万元</w:t>
      </w:r>
    </w:p>
    <w:p w14:paraId="6D7EC467"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（二）资格条件</w:t>
      </w:r>
    </w:p>
    <w:p w14:paraId="3746326E"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1B0986D9"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（2）在参加采购活动前三年内，在经营活动中没有重大违法记录；</w:t>
      </w:r>
    </w:p>
    <w:p w14:paraId="5786E0FD"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）未被列入“信用中国”网站(www.creditchina.gov.cn)失信被执行人名单、重大税收违法案件当事人名单的供应商；</w:t>
      </w:r>
    </w:p>
    <w:p w14:paraId="6C721F8D"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4）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713155A9"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（5）供应商为代理商的，应提供有效的生产厂家授权书或合法获得该产品的其他证明。</w:t>
      </w:r>
    </w:p>
    <w:p w14:paraId="0030602C"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（6）本项目不接受联合体响应。</w:t>
      </w:r>
    </w:p>
    <w:p w14:paraId="2B733DB8"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（三）主要功能及技术参数：</w:t>
      </w:r>
    </w:p>
    <w:p w14:paraId="12E640BF"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一、主要功能及工作原理</w:t>
      </w:r>
    </w:p>
    <w:p w14:paraId="264E8D52" w14:textId="77777777" w:rsidR="00513237"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用于评估个体的听力水平及中耳的健康状况，检测听力损失的程度和类型、检测中耳积液、鼓膜穿孔等问题。</w:t>
      </w:r>
    </w:p>
    <w:p w14:paraId="2E904387"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二、应用场景</w:t>
      </w:r>
    </w:p>
    <w:p w14:paraId="0183380E"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常规听力检查、听力损失评估、耳部疾病诊断、听力学研究、老年性耳聋评估等</w:t>
      </w:r>
    </w:p>
    <w:p w14:paraId="79EAAEED"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三、技术参数</w:t>
      </w:r>
    </w:p>
    <w:p w14:paraId="39240FB3" w14:textId="31DEDCCC" w:rsidR="008A1B6D" w:rsidRPr="008A1B6D" w:rsidRDefault="008A1B6D">
      <w:pPr>
        <w:spacing w:line="360" w:lineRule="auto"/>
        <w:rPr>
          <w:rFonts w:ascii="宋体" w:eastAsia="宋体" w:hAnsi="宋体" w:hint="eastAsia"/>
          <w:b/>
          <w:bCs/>
          <w:sz w:val="24"/>
          <w:szCs w:val="24"/>
        </w:rPr>
      </w:pPr>
      <w:r w:rsidRPr="008A1B6D">
        <w:rPr>
          <w:rFonts w:ascii="宋体" w:eastAsia="宋体" w:hAnsi="宋体" w:hint="eastAsia"/>
          <w:b/>
          <w:bCs/>
          <w:sz w:val="24"/>
          <w:szCs w:val="24"/>
        </w:rPr>
        <w:t>听力计和声阻抗  1套</w:t>
      </w:r>
    </w:p>
    <w:p w14:paraId="57D10CCA" w14:textId="77777777" w:rsidR="00513237"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声导抗</w:t>
      </w:r>
    </w:p>
    <w:p w14:paraId="09E47DED" w14:textId="0D60B974"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探测音频率：</w:t>
      </w:r>
      <w:r w:rsidR="00907BE4" w:rsidRPr="00907BE4">
        <w:rPr>
          <w:rFonts w:ascii="宋体" w:eastAsia="宋体" w:hAnsi="宋体"/>
          <w:sz w:val="24"/>
          <w:szCs w:val="24"/>
          <w:lang w:val="en"/>
        </w:rPr>
        <w:t>≥</w:t>
      </w:r>
      <w:r>
        <w:rPr>
          <w:rFonts w:ascii="宋体" w:eastAsia="宋体" w:hAnsi="宋体" w:hint="eastAsia"/>
          <w:sz w:val="24"/>
          <w:szCs w:val="24"/>
        </w:rPr>
        <w:t>226Hz</w:t>
      </w:r>
    </w:p>
    <w:p w14:paraId="1DBF9DBB" w14:textId="109FB4D9"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lastRenderedPageBreak/>
        <w:t>探测音强度：</w:t>
      </w:r>
      <w:r w:rsidR="00907BE4" w:rsidRPr="00907BE4">
        <w:rPr>
          <w:rFonts w:ascii="宋体" w:eastAsia="宋体" w:hAnsi="宋体"/>
          <w:sz w:val="24"/>
          <w:szCs w:val="24"/>
          <w:lang w:val="en"/>
        </w:rPr>
        <w:t>≥</w:t>
      </w:r>
      <w:r>
        <w:rPr>
          <w:rFonts w:ascii="宋体" w:eastAsia="宋体" w:hAnsi="宋体" w:hint="eastAsia"/>
          <w:sz w:val="24"/>
          <w:szCs w:val="24"/>
        </w:rPr>
        <w:t xml:space="preserve">85dB SPL </w:t>
      </w:r>
    </w:p>
    <w:p w14:paraId="5B12BDFD"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探头指示灯：不同颜色显示出不同的探头状态</w:t>
      </w:r>
    </w:p>
    <w:p w14:paraId="790F6F72"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压力控制：自动</w:t>
      </w:r>
    </w:p>
    <w:p w14:paraId="60334EC4"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压力范围：-600daPa 到 +400daPa</w:t>
      </w:r>
    </w:p>
    <w:p w14:paraId="2B6193D7"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声顺值范围：0.1-8ml</w:t>
      </w:r>
    </w:p>
    <w:p w14:paraId="59716264"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耳容积范围：0.1-8ml</w:t>
      </w:r>
    </w:p>
    <w:p w14:paraId="6DD87483" w14:textId="77777777" w:rsidR="00513237"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声反射</w:t>
      </w:r>
    </w:p>
    <w:p w14:paraId="23FAABCB"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同侧刺激频率：500至4000Hz</w:t>
      </w:r>
    </w:p>
    <w:p w14:paraId="629D5B4B"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对侧刺激频率：250至8000Hz</w:t>
      </w:r>
    </w:p>
    <w:p w14:paraId="49C43033" w14:textId="095E1E3D"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刺激声强度：</w:t>
      </w:r>
      <w:r w:rsidR="006C324B">
        <w:rPr>
          <w:rFonts w:ascii="宋体" w:eastAsia="宋体" w:hAnsi="宋体" w:hint="eastAsia"/>
          <w:sz w:val="24"/>
          <w:szCs w:val="24"/>
        </w:rPr>
        <w:t>≥</w:t>
      </w:r>
      <w:r>
        <w:rPr>
          <w:rFonts w:ascii="宋体" w:eastAsia="宋体" w:hAnsi="宋体" w:hint="eastAsia"/>
          <w:sz w:val="24"/>
          <w:szCs w:val="24"/>
        </w:rPr>
        <w:t>120dB HL</w:t>
      </w:r>
    </w:p>
    <w:p w14:paraId="0679FA35"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测试方法：自动或手动</w:t>
      </w:r>
    </w:p>
    <w:p w14:paraId="10808964" w14:textId="4BEE9C1C"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声反射衰减：手动控制，持续时间</w:t>
      </w:r>
      <w:r w:rsidR="006C324B">
        <w:rPr>
          <w:rFonts w:ascii="宋体" w:eastAsia="宋体" w:hAnsi="宋体" w:hint="eastAsia"/>
          <w:sz w:val="24"/>
          <w:szCs w:val="24"/>
        </w:rPr>
        <w:t>≥</w:t>
      </w:r>
      <w:r>
        <w:rPr>
          <w:rFonts w:ascii="宋体" w:eastAsia="宋体" w:hAnsi="宋体" w:hint="eastAsia"/>
          <w:sz w:val="24"/>
          <w:szCs w:val="24"/>
        </w:rPr>
        <w:t>10秒</w:t>
      </w:r>
    </w:p>
    <w:p w14:paraId="2E237568" w14:textId="77777777" w:rsidR="00513237"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咽鼓管功能：未穿孔鼓膜</w:t>
      </w:r>
    </w:p>
    <w:p w14:paraId="215BD37A" w14:textId="77777777" w:rsidR="00513237"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纯音测听</w:t>
      </w:r>
    </w:p>
    <w:p w14:paraId="5ACCA7BD"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测试信号：纯音、</w:t>
      </w:r>
      <w:proofErr w:type="gramStart"/>
      <w:r>
        <w:rPr>
          <w:rFonts w:ascii="宋体" w:eastAsia="宋体" w:hAnsi="宋体" w:hint="eastAsia"/>
          <w:sz w:val="24"/>
          <w:szCs w:val="24"/>
        </w:rPr>
        <w:t>啭</w:t>
      </w:r>
      <w:proofErr w:type="gramEnd"/>
      <w:r>
        <w:rPr>
          <w:rFonts w:ascii="宋体" w:eastAsia="宋体" w:hAnsi="宋体" w:hint="eastAsia"/>
          <w:sz w:val="24"/>
          <w:szCs w:val="24"/>
        </w:rPr>
        <w:t>音等</w:t>
      </w:r>
    </w:p>
    <w:p w14:paraId="784BF53E"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气导频率范围：125至8000Hz</w:t>
      </w:r>
    </w:p>
    <w:p w14:paraId="150C47D5"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气导强度范围：-10至120dB HL</w:t>
      </w:r>
    </w:p>
    <w:p w14:paraId="132C770C"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骨导频率范围：250至8000Hz</w:t>
      </w:r>
    </w:p>
    <w:p w14:paraId="2BDFB178"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骨导强度范围：-10至80dB HL</w:t>
      </w:r>
    </w:p>
    <w:p w14:paraId="3FA82595" w14:textId="3E03D0AF"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步进：</w:t>
      </w:r>
      <w:r w:rsidR="006C324B">
        <w:rPr>
          <w:rFonts w:ascii="宋体" w:eastAsia="宋体" w:hAnsi="宋体" w:hint="eastAsia"/>
          <w:sz w:val="24"/>
          <w:szCs w:val="24"/>
        </w:rPr>
        <w:t>至少包含</w:t>
      </w:r>
      <w:r>
        <w:rPr>
          <w:rFonts w:ascii="宋体" w:eastAsia="宋体" w:hAnsi="宋体" w:hint="eastAsia"/>
          <w:sz w:val="24"/>
          <w:szCs w:val="24"/>
        </w:rPr>
        <w:t xml:space="preserve">1 dB2 dB </w:t>
      </w:r>
      <w:r w:rsidR="006C324B">
        <w:rPr>
          <w:rFonts w:ascii="宋体" w:eastAsia="宋体" w:hAnsi="宋体" w:hint="eastAsia"/>
          <w:sz w:val="24"/>
          <w:szCs w:val="24"/>
        </w:rPr>
        <w:t>、</w:t>
      </w:r>
      <w:r>
        <w:rPr>
          <w:rFonts w:ascii="宋体" w:eastAsia="宋体" w:hAnsi="宋体" w:hint="eastAsia"/>
          <w:sz w:val="24"/>
          <w:szCs w:val="24"/>
        </w:rPr>
        <w:t xml:space="preserve"> 5 dB</w:t>
      </w:r>
      <w:r w:rsidR="006C324B">
        <w:rPr>
          <w:rFonts w:ascii="宋体" w:eastAsia="宋体" w:hAnsi="宋体" w:hint="eastAsia"/>
          <w:sz w:val="24"/>
          <w:szCs w:val="24"/>
        </w:rPr>
        <w:t>可选</w:t>
      </w:r>
    </w:p>
    <w:p w14:paraId="30B68891"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自由声场测试：言语、纯音、</w:t>
      </w:r>
      <w:proofErr w:type="gramStart"/>
      <w:r>
        <w:rPr>
          <w:rFonts w:ascii="宋体" w:eastAsia="宋体" w:hAnsi="宋体" w:hint="eastAsia"/>
          <w:sz w:val="24"/>
          <w:szCs w:val="24"/>
        </w:rPr>
        <w:t>啭</w:t>
      </w:r>
      <w:proofErr w:type="gramEnd"/>
      <w:r>
        <w:rPr>
          <w:rFonts w:ascii="宋体" w:eastAsia="宋体" w:hAnsi="宋体" w:hint="eastAsia"/>
          <w:sz w:val="24"/>
          <w:szCs w:val="24"/>
        </w:rPr>
        <w:t>音</w:t>
      </w:r>
    </w:p>
    <w:p w14:paraId="65A1E86F"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言语测试：言语噪声或白噪声</w:t>
      </w:r>
    </w:p>
    <w:p w14:paraId="0F5EC84A"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ab/>
        <w:t>给声方式：触摸式给声键</w:t>
      </w:r>
    </w:p>
    <w:p w14:paraId="423669D1"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特殊测试：自动听阈测试、双耳交替响度平衡测试、伪聋测试、短增量敏感指数测试、韦伯测试、言语测试；</w:t>
      </w:r>
    </w:p>
    <w:p w14:paraId="3C8653D6" w14:textId="77777777" w:rsidR="00513237"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通用要求</w:t>
      </w:r>
    </w:p>
    <w:p w14:paraId="084B1B94"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ab/>
        <w:t>包含气导、骨导、</w:t>
      </w:r>
      <w:proofErr w:type="gramStart"/>
      <w:r>
        <w:rPr>
          <w:rFonts w:ascii="宋体" w:eastAsia="宋体" w:hAnsi="宋体" w:hint="eastAsia"/>
          <w:sz w:val="24"/>
          <w:szCs w:val="24"/>
        </w:rPr>
        <w:t>鼓室图</w:t>
      </w:r>
      <w:proofErr w:type="gramEnd"/>
      <w:r>
        <w:rPr>
          <w:rFonts w:ascii="宋体" w:eastAsia="宋体" w:hAnsi="宋体" w:hint="eastAsia"/>
          <w:sz w:val="24"/>
          <w:szCs w:val="24"/>
        </w:rPr>
        <w:t>和声反射的听力诊断系统</w:t>
      </w:r>
    </w:p>
    <w:p w14:paraId="446DA048" w14:textId="3369B16D"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ab/>
        <w:t>彩色液晶≥10</w:t>
      </w:r>
      <w:r w:rsidR="00067EC6">
        <w:rPr>
          <w:rFonts w:ascii="宋体" w:eastAsia="宋体" w:hAnsi="宋体" w:hint="eastAsia"/>
          <w:sz w:val="24"/>
          <w:szCs w:val="24"/>
        </w:rPr>
        <w:t>英寸</w:t>
      </w:r>
      <w:r>
        <w:rPr>
          <w:rFonts w:ascii="宋体" w:eastAsia="宋体" w:hAnsi="宋体" w:hint="eastAsia"/>
          <w:sz w:val="24"/>
          <w:szCs w:val="24"/>
        </w:rPr>
        <w:t>显示屏</w:t>
      </w:r>
    </w:p>
    <w:p w14:paraId="3CAAC7BE"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ab/>
        <w:t>USB接口连接打印机直接打印A4纸测试报告</w:t>
      </w:r>
    </w:p>
    <w:p w14:paraId="7EBD98D7"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lastRenderedPageBreak/>
        <w:t>操作语言支持≥10国语言，可选全中文测试界面</w:t>
      </w:r>
    </w:p>
    <w:p w14:paraId="4A9D619F" w14:textId="6CFFB772" w:rsidR="00513237" w:rsidRDefault="00067EC6">
      <w:pPr>
        <w:pStyle w:val="ad"/>
        <w:numPr>
          <w:ilvl w:val="1"/>
          <w:numId w:val="1"/>
        </w:numPr>
        <w:spacing w:line="360" w:lineRule="auto"/>
        <w:ind w:firstLineChars="0"/>
        <w:rPr>
          <w:rFonts w:ascii="宋体" w:eastAsia="宋体" w:hAnsi="宋体" w:hint="eastAsia"/>
          <w:sz w:val="24"/>
          <w:szCs w:val="24"/>
        </w:rPr>
      </w:pPr>
      <w:r w:rsidRPr="00067EC6">
        <w:rPr>
          <w:rFonts w:ascii="宋体" w:eastAsia="宋体" w:hAnsi="宋体"/>
          <w:sz w:val="24"/>
          <w:szCs w:val="24"/>
        </w:rPr>
        <w:t>具备触摸式给声键</w:t>
      </w:r>
    </w:p>
    <w:p w14:paraId="12B6F1CC"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单机可存储≥500个患者信息，测试听力图数量无限制</w:t>
      </w:r>
    </w:p>
    <w:p w14:paraId="325801D9" w14:textId="77777777" w:rsidR="00513237"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重量≤3.0Kg</w:t>
      </w:r>
    </w:p>
    <w:p w14:paraId="47EF6DAF" w14:textId="77777777" w:rsidR="00513237"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配置要求</w:t>
      </w:r>
    </w:p>
    <w:tbl>
      <w:tblPr>
        <w:tblStyle w:val="ab"/>
        <w:tblW w:w="5000" w:type="pct"/>
        <w:jc w:val="center"/>
        <w:tblLook w:val="04A0" w:firstRow="1" w:lastRow="0" w:firstColumn="1" w:lastColumn="0" w:noHBand="0" w:noVBand="1"/>
      </w:tblPr>
      <w:tblGrid>
        <w:gridCol w:w="1344"/>
        <w:gridCol w:w="2932"/>
        <w:gridCol w:w="4020"/>
      </w:tblGrid>
      <w:tr w:rsidR="00513237" w14:paraId="5983839A" w14:textId="77777777">
        <w:trPr>
          <w:jc w:val="center"/>
        </w:trPr>
        <w:tc>
          <w:tcPr>
            <w:tcW w:w="810" w:type="pct"/>
          </w:tcPr>
          <w:p w14:paraId="07C91782" w14:textId="77777777" w:rsidR="00513237" w:rsidRDefault="00000000">
            <w:pPr>
              <w:jc w:val="center"/>
              <w:rPr>
                <w:rFonts w:ascii="宋体" w:eastAsia="宋体" w:hAnsi="宋体" w:hint="eastAsia"/>
              </w:rPr>
            </w:pPr>
            <w:r>
              <w:rPr>
                <w:rFonts w:ascii="宋体" w:eastAsia="宋体" w:hAnsi="宋体" w:hint="eastAsia"/>
              </w:rPr>
              <w:t>序号</w:t>
            </w:r>
          </w:p>
        </w:tc>
        <w:tc>
          <w:tcPr>
            <w:tcW w:w="1767" w:type="pct"/>
          </w:tcPr>
          <w:p w14:paraId="48977E76" w14:textId="77777777" w:rsidR="00513237" w:rsidRDefault="00000000">
            <w:pPr>
              <w:jc w:val="center"/>
              <w:rPr>
                <w:rFonts w:ascii="宋体" w:eastAsia="宋体" w:hAnsi="宋体" w:hint="eastAsia"/>
              </w:rPr>
            </w:pPr>
            <w:r>
              <w:rPr>
                <w:rFonts w:ascii="宋体" w:eastAsia="宋体" w:hAnsi="宋体" w:hint="eastAsia"/>
              </w:rPr>
              <w:t>项目名称</w:t>
            </w:r>
          </w:p>
        </w:tc>
        <w:tc>
          <w:tcPr>
            <w:tcW w:w="2423" w:type="pct"/>
          </w:tcPr>
          <w:p w14:paraId="76DB6375" w14:textId="77777777" w:rsidR="00513237" w:rsidRDefault="00000000">
            <w:pPr>
              <w:jc w:val="center"/>
              <w:rPr>
                <w:rFonts w:hint="eastAsia"/>
              </w:rPr>
            </w:pPr>
            <w:r>
              <w:rPr>
                <w:rFonts w:hint="eastAsia"/>
              </w:rPr>
              <w:t>数量</w:t>
            </w:r>
          </w:p>
        </w:tc>
      </w:tr>
      <w:tr w:rsidR="00513237" w14:paraId="422973DC" w14:textId="77777777">
        <w:trPr>
          <w:jc w:val="center"/>
        </w:trPr>
        <w:tc>
          <w:tcPr>
            <w:tcW w:w="810" w:type="pct"/>
          </w:tcPr>
          <w:p w14:paraId="255C8DC7" w14:textId="77777777" w:rsidR="00513237" w:rsidRDefault="00513237">
            <w:pPr>
              <w:pStyle w:val="ad"/>
              <w:numPr>
                <w:ilvl w:val="1"/>
                <w:numId w:val="1"/>
              </w:numPr>
              <w:spacing w:line="360" w:lineRule="auto"/>
              <w:ind w:firstLineChars="0"/>
              <w:rPr>
                <w:rFonts w:ascii="宋体" w:eastAsia="宋体" w:hAnsi="宋体" w:hint="eastAsia"/>
                <w:sz w:val="24"/>
                <w:szCs w:val="24"/>
              </w:rPr>
            </w:pPr>
          </w:p>
        </w:tc>
        <w:tc>
          <w:tcPr>
            <w:tcW w:w="1767" w:type="pct"/>
            <w:vAlign w:val="center"/>
          </w:tcPr>
          <w:p w14:paraId="6AB7D52C" w14:textId="77777777" w:rsidR="00513237" w:rsidRDefault="00000000">
            <w:pPr>
              <w:widowControl/>
              <w:jc w:val="center"/>
              <w:textAlignment w:val="center"/>
              <w:rPr>
                <w:rFonts w:ascii="宋体" w:eastAsia="宋体" w:hAnsi="宋体" w:hint="eastAsia"/>
              </w:rPr>
            </w:pPr>
            <w:r>
              <w:rPr>
                <w:rFonts w:ascii="宋体" w:eastAsia="宋体" w:hAnsi="宋体" w:hint="eastAsia"/>
                <w:color w:val="000000"/>
                <w:kern w:val="0"/>
                <w:szCs w:val="21"/>
                <w:lang w:bidi="ar"/>
              </w:rPr>
              <w:t>主机</w:t>
            </w:r>
          </w:p>
        </w:tc>
        <w:tc>
          <w:tcPr>
            <w:tcW w:w="2423" w:type="pct"/>
          </w:tcPr>
          <w:p w14:paraId="2979D692" w14:textId="77777777" w:rsidR="00513237" w:rsidRDefault="00000000">
            <w:pPr>
              <w:jc w:val="center"/>
              <w:rPr>
                <w:rFonts w:hint="eastAsia"/>
              </w:rPr>
            </w:pPr>
            <w:r>
              <w:rPr>
                <w:rFonts w:ascii="宋体" w:eastAsia="宋体" w:hAnsi="宋体" w:hint="eastAsia"/>
                <w:color w:val="000000"/>
                <w:kern w:val="0"/>
                <w:szCs w:val="21"/>
                <w:lang w:bidi="ar"/>
              </w:rPr>
              <w:t>1台</w:t>
            </w:r>
          </w:p>
        </w:tc>
      </w:tr>
      <w:tr w:rsidR="00513237" w14:paraId="3C5A27AB" w14:textId="77777777">
        <w:trPr>
          <w:jc w:val="center"/>
        </w:trPr>
        <w:tc>
          <w:tcPr>
            <w:tcW w:w="810" w:type="pct"/>
          </w:tcPr>
          <w:p w14:paraId="4B4E8A13" w14:textId="77777777" w:rsidR="00513237" w:rsidRDefault="00513237">
            <w:pPr>
              <w:pStyle w:val="ad"/>
              <w:numPr>
                <w:ilvl w:val="1"/>
                <w:numId w:val="1"/>
              </w:numPr>
              <w:spacing w:line="360" w:lineRule="auto"/>
              <w:ind w:firstLineChars="0"/>
              <w:rPr>
                <w:rFonts w:ascii="宋体" w:eastAsia="宋体" w:hAnsi="宋体" w:hint="eastAsia"/>
                <w:sz w:val="24"/>
                <w:szCs w:val="24"/>
              </w:rPr>
            </w:pPr>
          </w:p>
        </w:tc>
        <w:tc>
          <w:tcPr>
            <w:tcW w:w="1767" w:type="pct"/>
            <w:vAlign w:val="center"/>
          </w:tcPr>
          <w:p w14:paraId="1F13DBDD" w14:textId="77777777" w:rsidR="00513237" w:rsidRDefault="00000000">
            <w:pPr>
              <w:widowControl/>
              <w:jc w:val="center"/>
              <w:textAlignment w:val="center"/>
              <w:rPr>
                <w:rFonts w:ascii="宋体" w:eastAsia="宋体" w:hAnsi="宋体" w:hint="eastAsia"/>
              </w:rPr>
            </w:pPr>
            <w:r>
              <w:rPr>
                <w:rFonts w:ascii="宋体" w:eastAsia="宋体" w:hAnsi="宋体" w:hint="eastAsia"/>
                <w:color w:val="000000"/>
                <w:kern w:val="0"/>
                <w:szCs w:val="21"/>
                <w:lang w:bidi="ar"/>
              </w:rPr>
              <w:t>气导耳机</w:t>
            </w:r>
          </w:p>
        </w:tc>
        <w:tc>
          <w:tcPr>
            <w:tcW w:w="2423" w:type="pct"/>
          </w:tcPr>
          <w:p w14:paraId="57E66268" w14:textId="77777777" w:rsidR="00513237" w:rsidRDefault="00000000">
            <w:pPr>
              <w:jc w:val="center"/>
              <w:rPr>
                <w:rFonts w:hint="eastAsia"/>
              </w:rPr>
            </w:pPr>
            <w:r>
              <w:rPr>
                <w:rFonts w:ascii="宋体" w:eastAsia="宋体" w:hAnsi="宋体" w:hint="eastAsia"/>
                <w:color w:val="000000"/>
                <w:kern w:val="0"/>
                <w:szCs w:val="21"/>
                <w:lang w:bidi="ar"/>
              </w:rPr>
              <w:t>1副</w:t>
            </w:r>
          </w:p>
        </w:tc>
      </w:tr>
      <w:tr w:rsidR="00513237" w14:paraId="6D067D79" w14:textId="77777777">
        <w:trPr>
          <w:jc w:val="center"/>
        </w:trPr>
        <w:tc>
          <w:tcPr>
            <w:tcW w:w="810" w:type="pct"/>
          </w:tcPr>
          <w:p w14:paraId="69B09692" w14:textId="77777777" w:rsidR="00513237" w:rsidRDefault="00513237">
            <w:pPr>
              <w:pStyle w:val="ad"/>
              <w:numPr>
                <w:ilvl w:val="1"/>
                <w:numId w:val="1"/>
              </w:numPr>
              <w:spacing w:line="360" w:lineRule="auto"/>
              <w:ind w:firstLineChars="0"/>
              <w:rPr>
                <w:rFonts w:ascii="宋体" w:eastAsia="宋体" w:hAnsi="宋体" w:hint="eastAsia"/>
                <w:sz w:val="24"/>
                <w:szCs w:val="24"/>
              </w:rPr>
            </w:pPr>
          </w:p>
        </w:tc>
        <w:tc>
          <w:tcPr>
            <w:tcW w:w="1767" w:type="pct"/>
            <w:vAlign w:val="center"/>
          </w:tcPr>
          <w:p w14:paraId="368D5BDF" w14:textId="77777777" w:rsidR="00513237" w:rsidRDefault="00000000">
            <w:pPr>
              <w:widowControl/>
              <w:jc w:val="center"/>
              <w:textAlignment w:val="center"/>
              <w:rPr>
                <w:rFonts w:ascii="宋体" w:eastAsia="宋体" w:hAnsi="宋体" w:hint="eastAsia"/>
              </w:rPr>
            </w:pPr>
            <w:r>
              <w:rPr>
                <w:rFonts w:ascii="宋体" w:eastAsia="宋体" w:hAnsi="宋体" w:hint="eastAsia"/>
                <w:color w:val="000000"/>
                <w:kern w:val="0"/>
                <w:szCs w:val="21"/>
                <w:lang w:bidi="ar"/>
              </w:rPr>
              <w:t>骨导耳机</w:t>
            </w:r>
          </w:p>
        </w:tc>
        <w:tc>
          <w:tcPr>
            <w:tcW w:w="2423" w:type="pct"/>
          </w:tcPr>
          <w:p w14:paraId="680A4503" w14:textId="77777777" w:rsidR="00513237" w:rsidRDefault="00000000">
            <w:pPr>
              <w:jc w:val="center"/>
              <w:rPr>
                <w:rFonts w:hint="eastAsia"/>
              </w:rPr>
            </w:pPr>
            <w:r>
              <w:rPr>
                <w:rFonts w:ascii="宋体" w:eastAsia="宋体" w:hAnsi="宋体" w:hint="eastAsia"/>
                <w:color w:val="000000"/>
                <w:kern w:val="0"/>
                <w:szCs w:val="21"/>
                <w:lang w:bidi="ar"/>
              </w:rPr>
              <w:t>1副</w:t>
            </w:r>
          </w:p>
        </w:tc>
      </w:tr>
      <w:tr w:rsidR="00513237" w14:paraId="0BDA583E" w14:textId="77777777">
        <w:trPr>
          <w:jc w:val="center"/>
        </w:trPr>
        <w:tc>
          <w:tcPr>
            <w:tcW w:w="810" w:type="pct"/>
          </w:tcPr>
          <w:p w14:paraId="2D086EB0" w14:textId="77777777" w:rsidR="00513237" w:rsidRDefault="00513237">
            <w:pPr>
              <w:pStyle w:val="ad"/>
              <w:numPr>
                <w:ilvl w:val="1"/>
                <w:numId w:val="1"/>
              </w:numPr>
              <w:spacing w:line="360" w:lineRule="auto"/>
              <w:ind w:firstLineChars="0"/>
              <w:rPr>
                <w:rFonts w:ascii="宋体" w:eastAsia="宋体" w:hAnsi="宋体" w:hint="eastAsia"/>
                <w:sz w:val="24"/>
                <w:szCs w:val="24"/>
              </w:rPr>
            </w:pPr>
          </w:p>
        </w:tc>
        <w:tc>
          <w:tcPr>
            <w:tcW w:w="1767" w:type="pct"/>
            <w:vAlign w:val="center"/>
          </w:tcPr>
          <w:p w14:paraId="378B26C9" w14:textId="77777777" w:rsidR="00513237" w:rsidRDefault="00000000">
            <w:pPr>
              <w:widowControl/>
              <w:jc w:val="center"/>
              <w:textAlignment w:val="center"/>
              <w:rPr>
                <w:rFonts w:ascii="宋体" w:eastAsia="宋体" w:hAnsi="宋体" w:hint="eastAsia"/>
              </w:rPr>
            </w:pPr>
            <w:r>
              <w:rPr>
                <w:rFonts w:ascii="宋体" w:eastAsia="宋体" w:hAnsi="宋体" w:hint="eastAsia"/>
                <w:color w:val="000000"/>
                <w:kern w:val="0"/>
                <w:szCs w:val="21"/>
                <w:lang w:bidi="ar"/>
              </w:rPr>
              <w:t>患者应答器</w:t>
            </w:r>
          </w:p>
        </w:tc>
        <w:tc>
          <w:tcPr>
            <w:tcW w:w="2423" w:type="pct"/>
          </w:tcPr>
          <w:p w14:paraId="705BC67B" w14:textId="77777777" w:rsidR="00513237" w:rsidRDefault="00000000">
            <w:pPr>
              <w:jc w:val="center"/>
              <w:rPr>
                <w:rFonts w:hint="eastAsia"/>
              </w:rPr>
            </w:pPr>
            <w:r>
              <w:rPr>
                <w:rFonts w:ascii="宋体" w:eastAsia="宋体" w:hAnsi="宋体" w:hint="eastAsia"/>
                <w:color w:val="000000"/>
                <w:kern w:val="0"/>
                <w:szCs w:val="21"/>
                <w:lang w:bidi="ar"/>
              </w:rPr>
              <w:t>1个</w:t>
            </w:r>
          </w:p>
        </w:tc>
      </w:tr>
      <w:tr w:rsidR="00513237" w14:paraId="6731A058" w14:textId="77777777">
        <w:trPr>
          <w:jc w:val="center"/>
        </w:trPr>
        <w:tc>
          <w:tcPr>
            <w:tcW w:w="810" w:type="pct"/>
          </w:tcPr>
          <w:p w14:paraId="52780A3B" w14:textId="77777777" w:rsidR="00513237" w:rsidRDefault="00513237">
            <w:pPr>
              <w:pStyle w:val="ad"/>
              <w:numPr>
                <w:ilvl w:val="1"/>
                <w:numId w:val="1"/>
              </w:numPr>
              <w:spacing w:line="360" w:lineRule="auto"/>
              <w:ind w:firstLineChars="0"/>
              <w:rPr>
                <w:rFonts w:ascii="宋体" w:eastAsia="宋体" w:hAnsi="宋体" w:hint="eastAsia"/>
                <w:sz w:val="24"/>
                <w:szCs w:val="24"/>
              </w:rPr>
            </w:pPr>
          </w:p>
        </w:tc>
        <w:tc>
          <w:tcPr>
            <w:tcW w:w="1767" w:type="pct"/>
            <w:vAlign w:val="center"/>
          </w:tcPr>
          <w:p w14:paraId="622D4CC1" w14:textId="77777777" w:rsidR="00513237" w:rsidRDefault="00000000">
            <w:pPr>
              <w:widowControl/>
              <w:jc w:val="center"/>
              <w:textAlignment w:val="center"/>
              <w:rPr>
                <w:rFonts w:ascii="宋体" w:eastAsia="宋体" w:hAnsi="宋体" w:hint="eastAsia"/>
              </w:rPr>
            </w:pPr>
            <w:r>
              <w:rPr>
                <w:rFonts w:ascii="宋体" w:eastAsia="宋体" w:hAnsi="宋体" w:hint="eastAsia"/>
                <w:color w:val="000000"/>
                <w:kern w:val="0"/>
                <w:szCs w:val="21"/>
                <w:lang w:bidi="ar"/>
              </w:rPr>
              <w:t>声阻抗探头</w:t>
            </w:r>
          </w:p>
        </w:tc>
        <w:tc>
          <w:tcPr>
            <w:tcW w:w="2423" w:type="pct"/>
          </w:tcPr>
          <w:p w14:paraId="7EE66159" w14:textId="77777777" w:rsidR="00513237" w:rsidRDefault="00000000">
            <w:pPr>
              <w:jc w:val="center"/>
              <w:rPr>
                <w:rFonts w:hint="eastAsia"/>
              </w:rPr>
            </w:pPr>
            <w:r>
              <w:rPr>
                <w:rFonts w:ascii="宋体" w:eastAsia="宋体" w:hAnsi="宋体" w:hint="eastAsia"/>
                <w:color w:val="000000"/>
                <w:kern w:val="0"/>
                <w:szCs w:val="21"/>
                <w:lang w:bidi="ar"/>
              </w:rPr>
              <w:t>1个</w:t>
            </w:r>
          </w:p>
        </w:tc>
      </w:tr>
      <w:tr w:rsidR="00513237" w14:paraId="53D81CCA" w14:textId="77777777">
        <w:trPr>
          <w:jc w:val="center"/>
        </w:trPr>
        <w:tc>
          <w:tcPr>
            <w:tcW w:w="810" w:type="pct"/>
          </w:tcPr>
          <w:p w14:paraId="75E14A79" w14:textId="77777777" w:rsidR="00513237" w:rsidRDefault="00513237">
            <w:pPr>
              <w:pStyle w:val="ad"/>
              <w:numPr>
                <w:ilvl w:val="1"/>
                <w:numId w:val="1"/>
              </w:numPr>
              <w:spacing w:line="360" w:lineRule="auto"/>
              <w:ind w:firstLineChars="0"/>
              <w:rPr>
                <w:rFonts w:ascii="宋体" w:eastAsia="宋体" w:hAnsi="宋体" w:hint="eastAsia"/>
                <w:sz w:val="24"/>
                <w:szCs w:val="24"/>
              </w:rPr>
            </w:pPr>
          </w:p>
        </w:tc>
        <w:tc>
          <w:tcPr>
            <w:tcW w:w="1767" w:type="pct"/>
            <w:vAlign w:val="center"/>
          </w:tcPr>
          <w:p w14:paraId="5EF3037C" w14:textId="77777777" w:rsidR="00513237" w:rsidRDefault="00000000">
            <w:pPr>
              <w:widowControl/>
              <w:jc w:val="center"/>
              <w:textAlignment w:val="center"/>
              <w:rPr>
                <w:rFonts w:ascii="宋体" w:eastAsia="宋体" w:hAnsi="宋体" w:hint="eastAsia"/>
              </w:rPr>
            </w:pPr>
            <w:r>
              <w:rPr>
                <w:rFonts w:ascii="宋体" w:eastAsia="宋体" w:hAnsi="宋体" w:hint="eastAsia"/>
                <w:color w:val="000000"/>
                <w:kern w:val="0"/>
                <w:szCs w:val="21"/>
                <w:lang w:bidi="ar"/>
              </w:rPr>
              <w:t>对侧声反射测试耳机</w:t>
            </w:r>
          </w:p>
        </w:tc>
        <w:tc>
          <w:tcPr>
            <w:tcW w:w="2423" w:type="pct"/>
          </w:tcPr>
          <w:p w14:paraId="2BD98BE2" w14:textId="77777777" w:rsidR="00513237" w:rsidRDefault="00000000">
            <w:pPr>
              <w:jc w:val="center"/>
              <w:rPr>
                <w:rFonts w:hint="eastAsia"/>
              </w:rPr>
            </w:pPr>
            <w:r>
              <w:rPr>
                <w:rFonts w:ascii="宋体" w:eastAsia="宋体" w:hAnsi="宋体" w:hint="eastAsia"/>
                <w:color w:val="000000"/>
                <w:kern w:val="0"/>
                <w:szCs w:val="21"/>
                <w:lang w:bidi="ar"/>
              </w:rPr>
              <w:t>1副</w:t>
            </w:r>
          </w:p>
        </w:tc>
      </w:tr>
      <w:tr w:rsidR="00513237" w14:paraId="774E84AB" w14:textId="77777777">
        <w:trPr>
          <w:jc w:val="center"/>
        </w:trPr>
        <w:tc>
          <w:tcPr>
            <w:tcW w:w="810" w:type="pct"/>
          </w:tcPr>
          <w:p w14:paraId="24D55A5C" w14:textId="77777777" w:rsidR="00513237" w:rsidRDefault="00513237">
            <w:pPr>
              <w:pStyle w:val="ad"/>
              <w:numPr>
                <w:ilvl w:val="1"/>
                <w:numId w:val="1"/>
              </w:numPr>
              <w:spacing w:line="360" w:lineRule="auto"/>
              <w:ind w:firstLineChars="0"/>
              <w:rPr>
                <w:rFonts w:ascii="宋体" w:eastAsia="宋体" w:hAnsi="宋体" w:hint="eastAsia"/>
                <w:sz w:val="24"/>
                <w:szCs w:val="24"/>
              </w:rPr>
            </w:pPr>
          </w:p>
        </w:tc>
        <w:tc>
          <w:tcPr>
            <w:tcW w:w="1767" w:type="pct"/>
            <w:vAlign w:val="center"/>
          </w:tcPr>
          <w:p w14:paraId="27F84142" w14:textId="77777777" w:rsidR="00513237" w:rsidRDefault="00000000">
            <w:pPr>
              <w:widowControl/>
              <w:jc w:val="center"/>
              <w:textAlignment w:val="center"/>
              <w:rPr>
                <w:rFonts w:ascii="宋体" w:eastAsia="宋体" w:hAnsi="宋体" w:hint="eastAsia"/>
              </w:rPr>
            </w:pPr>
            <w:r>
              <w:rPr>
                <w:rFonts w:ascii="宋体" w:eastAsia="宋体" w:hAnsi="宋体" w:hint="eastAsia"/>
                <w:color w:val="000000"/>
                <w:kern w:val="0"/>
                <w:szCs w:val="21"/>
                <w:lang w:bidi="ar"/>
              </w:rPr>
              <w:t>耳塞</w:t>
            </w:r>
          </w:p>
        </w:tc>
        <w:tc>
          <w:tcPr>
            <w:tcW w:w="2423" w:type="pct"/>
          </w:tcPr>
          <w:p w14:paraId="79EC3F8A" w14:textId="77777777" w:rsidR="00513237" w:rsidRDefault="00000000">
            <w:pPr>
              <w:jc w:val="center"/>
              <w:rPr>
                <w:rFonts w:hint="eastAsia"/>
              </w:rPr>
            </w:pPr>
            <w:r>
              <w:rPr>
                <w:rFonts w:ascii="宋体" w:eastAsia="宋体" w:hAnsi="宋体" w:hint="eastAsia"/>
                <w:color w:val="000000"/>
                <w:kern w:val="0"/>
                <w:szCs w:val="21"/>
                <w:lang w:bidi="ar"/>
              </w:rPr>
              <w:t>1包</w:t>
            </w:r>
          </w:p>
        </w:tc>
      </w:tr>
      <w:tr w:rsidR="00513237" w14:paraId="1E636CD9" w14:textId="77777777">
        <w:trPr>
          <w:jc w:val="center"/>
        </w:trPr>
        <w:tc>
          <w:tcPr>
            <w:tcW w:w="810" w:type="pct"/>
          </w:tcPr>
          <w:p w14:paraId="1A4497EC" w14:textId="77777777" w:rsidR="00513237" w:rsidRDefault="00513237">
            <w:pPr>
              <w:pStyle w:val="ad"/>
              <w:numPr>
                <w:ilvl w:val="1"/>
                <w:numId w:val="1"/>
              </w:numPr>
              <w:spacing w:line="360" w:lineRule="auto"/>
              <w:ind w:firstLineChars="0"/>
              <w:rPr>
                <w:rFonts w:ascii="宋体" w:eastAsia="宋体" w:hAnsi="宋体" w:hint="eastAsia"/>
                <w:sz w:val="24"/>
                <w:szCs w:val="24"/>
              </w:rPr>
            </w:pPr>
          </w:p>
        </w:tc>
        <w:tc>
          <w:tcPr>
            <w:tcW w:w="1767" w:type="pct"/>
            <w:vAlign w:val="center"/>
          </w:tcPr>
          <w:p w14:paraId="5484FFB1" w14:textId="77777777" w:rsidR="00513237" w:rsidRDefault="00000000">
            <w:pPr>
              <w:widowControl/>
              <w:jc w:val="center"/>
              <w:textAlignment w:val="center"/>
              <w:rPr>
                <w:rFonts w:ascii="宋体" w:eastAsia="宋体" w:hAnsi="宋体" w:hint="eastAsia"/>
              </w:rPr>
            </w:pPr>
            <w:r>
              <w:rPr>
                <w:rFonts w:ascii="宋体" w:eastAsia="宋体" w:hAnsi="宋体" w:hint="eastAsia"/>
                <w:color w:val="000000"/>
                <w:kern w:val="0"/>
                <w:szCs w:val="21"/>
                <w:lang w:bidi="ar"/>
              </w:rPr>
              <w:t>电源线</w:t>
            </w:r>
          </w:p>
        </w:tc>
        <w:tc>
          <w:tcPr>
            <w:tcW w:w="2423" w:type="pct"/>
          </w:tcPr>
          <w:p w14:paraId="0D5203AB" w14:textId="77777777" w:rsidR="00513237" w:rsidRDefault="00000000">
            <w:pPr>
              <w:jc w:val="center"/>
              <w:rPr>
                <w:rFonts w:hint="eastAsia"/>
              </w:rPr>
            </w:pPr>
            <w:r>
              <w:rPr>
                <w:rFonts w:ascii="宋体" w:eastAsia="宋体" w:hAnsi="宋体" w:hint="eastAsia"/>
                <w:color w:val="000000"/>
                <w:kern w:val="0"/>
                <w:szCs w:val="21"/>
                <w:lang w:bidi="ar"/>
              </w:rPr>
              <w:t>1根</w:t>
            </w:r>
          </w:p>
        </w:tc>
      </w:tr>
      <w:tr w:rsidR="00513237" w14:paraId="2DDB21AE" w14:textId="77777777">
        <w:trPr>
          <w:jc w:val="center"/>
        </w:trPr>
        <w:tc>
          <w:tcPr>
            <w:tcW w:w="810" w:type="pct"/>
          </w:tcPr>
          <w:p w14:paraId="67537D5F" w14:textId="77777777" w:rsidR="00513237" w:rsidRDefault="00513237">
            <w:pPr>
              <w:pStyle w:val="ad"/>
              <w:numPr>
                <w:ilvl w:val="1"/>
                <w:numId w:val="1"/>
              </w:numPr>
              <w:spacing w:line="360" w:lineRule="auto"/>
              <w:ind w:firstLineChars="0"/>
              <w:rPr>
                <w:rFonts w:ascii="宋体" w:eastAsia="宋体" w:hAnsi="宋体" w:hint="eastAsia"/>
                <w:sz w:val="24"/>
                <w:szCs w:val="24"/>
              </w:rPr>
            </w:pPr>
          </w:p>
        </w:tc>
        <w:tc>
          <w:tcPr>
            <w:tcW w:w="1767" w:type="pct"/>
            <w:vAlign w:val="center"/>
          </w:tcPr>
          <w:p w14:paraId="08FD9CBA" w14:textId="77777777" w:rsidR="00513237" w:rsidRDefault="00000000">
            <w:pPr>
              <w:widowControl/>
              <w:jc w:val="center"/>
              <w:textAlignment w:val="center"/>
              <w:rPr>
                <w:rFonts w:ascii="宋体" w:eastAsia="宋体" w:hAnsi="宋体" w:hint="eastAsia"/>
              </w:rPr>
            </w:pPr>
            <w:r>
              <w:rPr>
                <w:rFonts w:ascii="宋体" w:eastAsia="宋体" w:hAnsi="宋体" w:hint="eastAsia"/>
                <w:color w:val="000000"/>
                <w:kern w:val="0"/>
                <w:szCs w:val="21"/>
                <w:lang w:bidi="ar"/>
              </w:rPr>
              <w:t>操作手册</w:t>
            </w:r>
          </w:p>
        </w:tc>
        <w:tc>
          <w:tcPr>
            <w:tcW w:w="2423" w:type="pct"/>
          </w:tcPr>
          <w:p w14:paraId="04723EAD" w14:textId="77777777" w:rsidR="00513237" w:rsidRDefault="00000000">
            <w:pPr>
              <w:jc w:val="center"/>
              <w:rPr>
                <w:rFonts w:hint="eastAsia"/>
              </w:rPr>
            </w:pPr>
            <w:r>
              <w:rPr>
                <w:rFonts w:ascii="宋体" w:eastAsia="宋体" w:hAnsi="宋体" w:hint="eastAsia"/>
                <w:color w:val="000000"/>
                <w:kern w:val="0"/>
                <w:szCs w:val="21"/>
                <w:lang w:bidi="ar"/>
              </w:rPr>
              <w:t>1本</w:t>
            </w:r>
          </w:p>
        </w:tc>
      </w:tr>
    </w:tbl>
    <w:p w14:paraId="6C943412" w14:textId="77777777" w:rsidR="00513237" w:rsidRDefault="00513237">
      <w:pPr>
        <w:spacing w:line="360" w:lineRule="auto"/>
        <w:rPr>
          <w:rFonts w:ascii="宋体" w:eastAsia="宋体" w:hAnsi="宋体" w:hint="eastAsia"/>
          <w:sz w:val="24"/>
          <w:szCs w:val="24"/>
        </w:rPr>
      </w:pPr>
    </w:p>
    <w:p w14:paraId="7896EA2D"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（四）商务要求</w:t>
      </w:r>
    </w:p>
    <w:p w14:paraId="50A2C485"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一、技术服务要求</w:t>
      </w:r>
    </w:p>
    <w:p w14:paraId="0F5A0C0B"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（1）售后服务要求</w:t>
      </w:r>
    </w:p>
    <w:p w14:paraId="0C8CC0CA" w14:textId="77777777" w:rsidR="00513237"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响应时间：2</w:t>
      </w:r>
      <w:r>
        <w:rPr>
          <w:rFonts w:ascii="宋体" w:eastAsia="宋体" w:hAnsi="宋体"/>
          <w:sz w:val="24"/>
          <w:szCs w:val="24"/>
        </w:rPr>
        <w:t>小时</w:t>
      </w:r>
      <w:r>
        <w:rPr>
          <w:rFonts w:ascii="宋体" w:eastAsia="宋体" w:hAnsi="宋体" w:hint="eastAsia"/>
          <w:sz w:val="24"/>
          <w:szCs w:val="24"/>
        </w:rPr>
        <w:t>内</w:t>
      </w:r>
      <w:r>
        <w:rPr>
          <w:rFonts w:ascii="宋体" w:eastAsia="宋体" w:hAnsi="宋体"/>
          <w:sz w:val="24"/>
          <w:szCs w:val="24"/>
        </w:rPr>
        <w:t>响应</w:t>
      </w:r>
      <w:r>
        <w:rPr>
          <w:rFonts w:ascii="宋体" w:eastAsia="宋体" w:hAnsi="宋体" w:hint="eastAsia"/>
          <w:sz w:val="24"/>
          <w:szCs w:val="24"/>
        </w:rPr>
        <w:t>,8小时内到场</w:t>
      </w:r>
    </w:p>
    <w:p w14:paraId="0ECCC11B" w14:textId="77777777" w:rsidR="00513237"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保修年限：原厂质保≥</w:t>
      </w:r>
      <w:r>
        <w:rPr>
          <w:rFonts w:ascii="宋体" w:eastAsia="宋体" w:hAnsi="宋体" w:hint="eastAsia"/>
          <w:kern w:val="0"/>
          <w:sz w:val="24"/>
          <w:szCs w:val="24"/>
        </w:rPr>
        <w:t>3年</w:t>
      </w:r>
    </w:p>
    <w:p w14:paraId="02B19393" w14:textId="77777777" w:rsidR="00513237"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proofErr w:type="gramStart"/>
      <w:r>
        <w:rPr>
          <w:rFonts w:ascii="宋体" w:eastAsia="宋体" w:hAnsi="宋体" w:hint="eastAsia"/>
          <w:sz w:val="24"/>
          <w:szCs w:val="24"/>
        </w:rPr>
        <w:t>维保内容</w:t>
      </w:r>
      <w:proofErr w:type="gramEnd"/>
      <w:r>
        <w:rPr>
          <w:rFonts w:ascii="宋体" w:eastAsia="宋体" w:hAnsi="宋体" w:hint="eastAsia"/>
          <w:sz w:val="24"/>
          <w:szCs w:val="24"/>
        </w:rPr>
        <w:t>与价格：质保期后，维保费用以双方最终认定价格为准，原则上不超过设备总价的5%。以双方最终认定价格为准，且采购人有权更换服务方。</w:t>
      </w:r>
    </w:p>
    <w:p w14:paraId="717715A9" w14:textId="77777777" w:rsidR="00513237"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备品备件供货价格：不得超过市场价格的50%。投标时需填写上述价格，出质保期后，上述产品供货价格以双方最终认定价格为准，且采购人有权更换供货方。</w:t>
      </w:r>
    </w:p>
    <w:p w14:paraId="28B72E34"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（2）伴随服务要求：</w:t>
      </w:r>
    </w:p>
    <w:p w14:paraId="167448E6" w14:textId="77777777" w:rsidR="00513237"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产品附件要求：同配置要求</w:t>
      </w:r>
    </w:p>
    <w:p w14:paraId="061D6864" w14:textId="77777777" w:rsidR="00513237"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产品升级服务要求：终生软件免费升级</w:t>
      </w:r>
    </w:p>
    <w:p w14:paraId="313A66B9" w14:textId="77777777" w:rsidR="00513237"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安装调试：</w:t>
      </w:r>
      <w:bookmarkStart w:id="0" w:name="_Hlk193309384"/>
      <w:r>
        <w:rPr>
          <w:rFonts w:ascii="宋体" w:eastAsia="宋体" w:hAnsi="宋体" w:hint="eastAsia"/>
          <w:sz w:val="24"/>
          <w:szCs w:val="24"/>
        </w:rPr>
        <w:t>由原厂工程师安装调试直至验收合格。</w:t>
      </w:r>
      <w:bookmarkEnd w:id="0"/>
    </w:p>
    <w:p w14:paraId="288388FF" w14:textId="77777777" w:rsidR="00513237"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lastRenderedPageBreak/>
        <w:t>提供技术援助：可提供远程指导，定期维护保养。</w:t>
      </w:r>
    </w:p>
    <w:p w14:paraId="592B648B" w14:textId="77777777" w:rsidR="00513237"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培训：现场培训，供应商应免费提供现场技术培训，应对采购人临床医生及技术人员提供正规的整套设备操作、维护、维修、检测等内容的培训，使采购人全面了解直至完全掌握设备的使用。集中培训：根据设备技术要求，要定期向采购人免费提供临床、维修技术人员培训。</w:t>
      </w:r>
    </w:p>
    <w:p w14:paraId="70BD1464" w14:textId="77777777" w:rsidR="00513237"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sz w:val="24"/>
          <w:szCs w:val="24"/>
        </w:rPr>
        <w:t>验收方案：</w:t>
      </w:r>
      <w:r>
        <w:rPr>
          <w:rFonts w:ascii="宋体" w:eastAsia="宋体" w:hAnsi="宋体" w:hint="eastAsia"/>
          <w:sz w:val="24"/>
          <w:szCs w:val="24"/>
        </w:rPr>
        <w:t>按医院要求完成验收</w:t>
      </w:r>
    </w:p>
    <w:p w14:paraId="20C42FC0" w14:textId="77777777" w:rsidR="00513237" w:rsidRDefault="00000000">
      <w:pPr>
        <w:spacing w:line="360" w:lineRule="auto"/>
        <w:ind w:firstLine="480"/>
        <w:rPr>
          <w:rFonts w:ascii="宋体" w:eastAsia="宋体" w:hAnsi="宋体" w:hint="eastAsia"/>
          <w:bCs/>
          <w:sz w:val="24"/>
          <w:szCs w:val="24"/>
        </w:rPr>
      </w:pPr>
      <w:r>
        <w:rPr>
          <w:rFonts w:ascii="宋体" w:eastAsia="宋体" w:hAnsi="宋体" w:hint="eastAsia"/>
          <w:sz w:val="24"/>
          <w:szCs w:val="24"/>
        </w:rPr>
        <w:t>二、商务条款</w:t>
      </w:r>
    </w:p>
    <w:p w14:paraId="21689020"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交货期：合同生效后30天内。</w:t>
      </w:r>
    </w:p>
    <w:p w14:paraId="436DD804" w14:textId="77777777" w:rsidR="00513237" w:rsidRDefault="00000000">
      <w:pPr>
        <w:spacing w:line="360" w:lineRule="auto"/>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交货地点：中标人应根据招标人要求送到指定地点。</w:t>
      </w:r>
    </w:p>
    <w:p w14:paraId="3C846900" w14:textId="77777777" w:rsidR="00513237" w:rsidRDefault="00000000">
      <w:pPr>
        <w:spacing w:line="360" w:lineRule="auto"/>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付款方式：招标人在设备验收合格后三个月内付清全款。</w:t>
      </w:r>
    </w:p>
    <w:sectPr w:rsidR="005132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19FFD" w14:textId="77777777" w:rsidR="005F54E1" w:rsidRDefault="005F54E1" w:rsidP="008A1B6D">
      <w:pPr>
        <w:rPr>
          <w:rFonts w:hint="eastAsia"/>
        </w:rPr>
      </w:pPr>
      <w:r>
        <w:separator/>
      </w:r>
    </w:p>
  </w:endnote>
  <w:endnote w:type="continuationSeparator" w:id="0">
    <w:p w14:paraId="4D4C0853" w14:textId="77777777" w:rsidR="005F54E1" w:rsidRDefault="005F54E1" w:rsidP="008A1B6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2A12D" w14:textId="77777777" w:rsidR="005F54E1" w:rsidRDefault="005F54E1" w:rsidP="008A1B6D">
      <w:pPr>
        <w:rPr>
          <w:rFonts w:hint="eastAsia"/>
        </w:rPr>
      </w:pPr>
      <w:r>
        <w:separator/>
      </w:r>
    </w:p>
  </w:footnote>
  <w:footnote w:type="continuationSeparator" w:id="0">
    <w:p w14:paraId="4834C037" w14:textId="77777777" w:rsidR="005F54E1" w:rsidRDefault="005F54E1" w:rsidP="008A1B6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CE0EC7"/>
    <w:multiLevelType w:val="multilevel"/>
    <w:tmpl w:val="04CE0EC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74B2B18"/>
    <w:multiLevelType w:val="multilevel"/>
    <w:tmpl w:val="274B2B1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3352201">
    <w:abstractNumId w:val="2"/>
  </w:num>
  <w:num w:numId="2" w16cid:durableId="947080882">
    <w:abstractNumId w:val="1"/>
  </w:num>
  <w:num w:numId="3" w16cid:durableId="115241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6F9"/>
    <w:rsid w:val="00003A55"/>
    <w:rsid w:val="00021490"/>
    <w:rsid w:val="00036107"/>
    <w:rsid w:val="000673B2"/>
    <w:rsid w:val="00067EC6"/>
    <w:rsid w:val="00082B9C"/>
    <w:rsid w:val="0009237C"/>
    <w:rsid w:val="000A6F26"/>
    <w:rsid w:val="000C499F"/>
    <w:rsid w:val="00116D79"/>
    <w:rsid w:val="001307DF"/>
    <w:rsid w:val="00133F22"/>
    <w:rsid w:val="00144F7E"/>
    <w:rsid w:val="00165D36"/>
    <w:rsid w:val="001B566F"/>
    <w:rsid w:val="00235C35"/>
    <w:rsid w:val="002570DB"/>
    <w:rsid w:val="002573B0"/>
    <w:rsid w:val="00276A11"/>
    <w:rsid w:val="002E4A96"/>
    <w:rsid w:val="002E5831"/>
    <w:rsid w:val="002F6B5A"/>
    <w:rsid w:val="00311ABE"/>
    <w:rsid w:val="003526CE"/>
    <w:rsid w:val="0035772A"/>
    <w:rsid w:val="00365B95"/>
    <w:rsid w:val="003A0D11"/>
    <w:rsid w:val="003B1888"/>
    <w:rsid w:val="0042032C"/>
    <w:rsid w:val="004246F9"/>
    <w:rsid w:val="0049331B"/>
    <w:rsid w:val="004C2B43"/>
    <w:rsid w:val="004D15E9"/>
    <w:rsid w:val="004D4FC2"/>
    <w:rsid w:val="00505E82"/>
    <w:rsid w:val="00513237"/>
    <w:rsid w:val="00547D9A"/>
    <w:rsid w:val="00554226"/>
    <w:rsid w:val="005C2A6D"/>
    <w:rsid w:val="005F54E1"/>
    <w:rsid w:val="00637FE4"/>
    <w:rsid w:val="00646471"/>
    <w:rsid w:val="00663410"/>
    <w:rsid w:val="00687298"/>
    <w:rsid w:val="00691030"/>
    <w:rsid w:val="00692F39"/>
    <w:rsid w:val="006C324B"/>
    <w:rsid w:val="006C5CD5"/>
    <w:rsid w:val="006D6D9C"/>
    <w:rsid w:val="006E541A"/>
    <w:rsid w:val="006F5565"/>
    <w:rsid w:val="007048B9"/>
    <w:rsid w:val="00710885"/>
    <w:rsid w:val="007234DE"/>
    <w:rsid w:val="00733554"/>
    <w:rsid w:val="007B3DDA"/>
    <w:rsid w:val="007D1ADD"/>
    <w:rsid w:val="008546B5"/>
    <w:rsid w:val="00892BDB"/>
    <w:rsid w:val="008A1B6D"/>
    <w:rsid w:val="008E4398"/>
    <w:rsid w:val="008F1264"/>
    <w:rsid w:val="00907BE4"/>
    <w:rsid w:val="00917615"/>
    <w:rsid w:val="00931258"/>
    <w:rsid w:val="00935810"/>
    <w:rsid w:val="00960459"/>
    <w:rsid w:val="00A20914"/>
    <w:rsid w:val="00A53576"/>
    <w:rsid w:val="00A56B37"/>
    <w:rsid w:val="00AB18BB"/>
    <w:rsid w:val="00AE57CA"/>
    <w:rsid w:val="00AE77B7"/>
    <w:rsid w:val="00B07177"/>
    <w:rsid w:val="00B60A7A"/>
    <w:rsid w:val="00B70EBD"/>
    <w:rsid w:val="00BE5729"/>
    <w:rsid w:val="00C64E90"/>
    <w:rsid w:val="00C80ECC"/>
    <w:rsid w:val="00C879D8"/>
    <w:rsid w:val="00CD61CD"/>
    <w:rsid w:val="00D53D36"/>
    <w:rsid w:val="00D70970"/>
    <w:rsid w:val="00D874BA"/>
    <w:rsid w:val="00D927F1"/>
    <w:rsid w:val="00DC7F5F"/>
    <w:rsid w:val="00DD0A7A"/>
    <w:rsid w:val="00E55744"/>
    <w:rsid w:val="00E7321E"/>
    <w:rsid w:val="00E73E04"/>
    <w:rsid w:val="00EA563D"/>
    <w:rsid w:val="00ED031C"/>
    <w:rsid w:val="00F179C5"/>
    <w:rsid w:val="00F60CE1"/>
    <w:rsid w:val="00F96D64"/>
    <w:rsid w:val="00FD7744"/>
    <w:rsid w:val="10651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DE80D"/>
  <w15:docId w15:val="{0C96F83F-57F2-46CE-AC44-A49C3B9F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宋体"/>
      <w:kern w:val="2"/>
      <w:sz w:val="21"/>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adjustRightInd w:val="0"/>
      <w:snapToGrid w:val="0"/>
      <w:spacing w:line="360" w:lineRule="auto"/>
      <w:ind w:firstLineChars="200" w:firstLine="480"/>
      <w:jc w:val="left"/>
    </w:pPr>
    <w:rPr>
      <w:rFonts w:ascii="宋体" w:eastAsia="宋体" w:hAnsi="宋体"/>
      <w:bCs/>
      <w:sz w:val="24"/>
      <w:szCs w:val="24"/>
      <w14:ligatures w14:val="none"/>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tabs>
        <w:tab w:val="center" w:pos="4153"/>
        <w:tab w:val="right" w:pos="8306"/>
      </w:tabs>
      <w:snapToGrid w:val="0"/>
      <w:jc w:val="center"/>
    </w:pPr>
    <w:rPr>
      <w:sz w:val="18"/>
      <w:szCs w:val="18"/>
    </w:rPr>
  </w:style>
  <w:style w:type="paragraph" w:styleId="a9">
    <w:name w:val="annotation subject"/>
    <w:basedOn w:val="a3"/>
    <w:next w:val="a3"/>
    <w:link w:val="aa"/>
    <w:uiPriority w:val="99"/>
    <w:pPr>
      <w:adjustRightInd/>
      <w:snapToGrid/>
      <w:spacing w:line="240" w:lineRule="auto"/>
      <w:ind w:firstLineChars="0" w:firstLine="0"/>
    </w:pPr>
    <w:rPr>
      <w:rFonts w:ascii="等线" w:eastAsia="等线" w:hAnsi="等线"/>
      <w:b/>
      <w:sz w:val="21"/>
      <w:szCs w:val="22"/>
      <w14:ligatures w14:val="standardContextual"/>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qFormat/>
    <w:rPr>
      <w:sz w:val="21"/>
      <w:szCs w:val="21"/>
    </w:rPr>
  </w:style>
  <w:style w:type="paragraph" w:styleId="ad">
    <w:name w:val="List Paragraph"/>
    <w:basedOn w:val="a"/>
    <w:uiPriority w:val="34"/>
    <w:qFormat/>
    <w:pPr>
      <w:ind w:firstLineChars="200" w:firstLine="420"/>
    </w:pPr>
  </w:style>
  <w:style w:type="character" w:customStyle="1" w:styleId="a4">
    <w:name w:val="批注文字 字符"/>
    <w:basedOn w:val="a0"/>
    <w:link w:val="a3"/>
    <w:uiPriority w:val="99"/>
    <w:qFormat/>
    <w:rPr>
      <w:rFonts w:ascii="宋体" w:eastAsia="宋体" w:hAnsi="宋体"/>
      <w:bCs/>
      <w:sz w:val="24"/>
      <w:szCs w:val="24"/>
      <w14:ligatures w14:val="none"/>
    </w:rPr>
  </w:style>
  <w:style w:type="paragraph" w:customStyle="1" w:styleId="Revision24c384ca-1fb3-433b-ba37-285881ab58fa">
    <w:name w:val="Revision_24c384ca-1fb3-433b-ba37-285881ab58fa"/>
    <w:uiPriority w:val="99"/>
    <w:rPr>
      <w:rFonts w:ascii="等线" w:eastAsia="等线" w:hAnsi="等线" w:cs="宋体"/>
      <w:kern w:val="2"/>
      <w:sz w:val="21"/>
      <w:szCs w:val="22"/>
      <w14:ligatures w14:val="standardContextual"/>
    </w:rPr>
  </w:style>
  <w:style w:type="character" w:customStyle="1" w:styleId="aa">
    <w:name w:val="批注主题 字符"/>
    <w:basedOn w:val="a4"/>
    <w:link w:val="a9"/>
    <w:uiPriority w:val="99"/>
    <w:rPr>
      <w:rFonts w:ascii="宋体" w:eastAsia="宋体" w:hAnsi="宋体"/>
      <w:b/>
      <w:bCs/>
      <w:sz w:val="24"/>
      <w:szCs w:val="24"/>
      <w14:ligatures w14:val="non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1">
    <w:name w:val="修订1"/>
    <w:hidden/>
    <w:uiPriority w:val="99"/>
    <w:semiHidden/>
    <w:rPr>
      <w:rFonts w:ascii="等线" w:eastAsia="等线" w:hAnsi="等线" w:cs="宋体"/>
      <w:kern w:val="2"/>
      <w:sz w:val="21"/>
      <w:szCs w:val="22"/>
      <w14:ligatures w14:val="standardContextual"/>
    </w:rPr>
  </w:style>
  <w:style w:type="character" w:customStyle="1" w:styleId="font71">
    <w:name w:val="font7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styleId="ae">
    <w:name w:val="Revision"/>
    <w:hidden/>
    <w:uiPriority w:val="99"/>
    <w:unhideWhenUsed/>
    <w:rsid w:val="008A1B6D"/>
    <w:rPr>
      <w:rFonts w:ascii="等线" w:eastAsia="等线" w:hAnsi="等线" w:cs="宋体"/>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527960">
      <w:bodyDiv w:val="1"/>
      <w:marLeft w:val="0"/>
      <w:marRight w:val="0"/>
      <w:marTop w:val="0"/>
      <w:marBottom w:val="0"/>
      <w:divBdr>
        <w:top w:val="none" w:sz="0" w:space="0" w:color="auto"/>
        <w:left w:val="none" w:sz="0" w:space="0" w:color="auto"/>
        <w:bottom w:val="none" w:sz="0" w:space="0" w:color="auto"/>
        <w:right w:val="none" w:sz="0" w:space="0" w:color="auto"/>
      </w:divBdr>
    </w:div>
    <w:div w:id="1637955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8E98A7B2-12C3-4363-B179-27328813F513}">
  <ds:schemaRefs>
    <ds:schemaRef ds:uri="http://schemas.openxmlformats.org/officeDocument/2006/bibliography"/>
  </ds:schemaRefs>
</ds:datastoreItem>
</file>

<file path=customXml/itemProps2.xml><?xml version="1.0" encoding="utf-8"?>
<ds:datastoreItem xmlns:ds="http://schemas.openxmlformats.org/officeDocument/2006/customXml" ds:itemID="{E94A20B6-6E5C-497B-8F64-D70F511A2CB1}">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ruisheng sun</dc:creator>
  <cp:lastModifiedBy>瑢 王</cp:lastModifiedBy>
  <cp:revision>136</cp:revision>
  <dcterms:created xsi:type="dcterms:W3CDTF">2025-03-04T06:38:00Z</dcterms:created>
  <dcterms:modified xsi:type="dcterms:W3CDTF">2025-03-28T01:07:00Z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eyJoZGlkIjoiZjk3MTkxNjExMGNlN2Q2Mjg0YWEzMGY0MDViZTZhZWIiLCJ1c2VySWQiOiI0NzM1NzQ1NjkifQ==</vt:lpwstr>
  </property>
  <property fmtid="{D5CDD505-2E9C-101B-9397-08002B2CF9AE}" pid="3" name="KSOProductBuildVer">
    <vt:lpwstr>2052-12.1.0.20305</vt:lpwstr>
  </property>
  <property fmtid="{D5CDD505-2E9C-101B-9397-08002B2CF9AE}" pid="4" name="ICV">
    <vt:lpwstr>B1F7CA619E5446BD817C355059FC2270_13</vt:lpwstr>
  </property>
</Properties>
</file>