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54B38" w14:textId="77777777" w:rsidR="001D1C86" w:rsidRPr="001D1C86" w:rsidRDefault="001D1C86" w:rsidP="001D1C86">
      <w:pPr>
        <w:adjustRightInd w:val="0"/>
        <w:snapToGrid w:val="0"/>
        <w:spacing w:line="360" w:lineRule="auto"/>
        <w:rPr>
          <w:rFonts w:ascii="宋体" w:eastAsia="宋体" w:hAnsi="宋体" w:hint="eastAsia"/>
          <w:b/>
          <w:sz w:val="24"/>
          <w:szCs w:val="24"/>
        </w:rPr>
      </w:pPr>
      <w:r w:rsidRPr="001D1C86">
        <w:rPr>
          <w:rFonts w:ascii="宋体" w:eastAsia="宋体" w:hAnsi="宋体" w:hint="eastAsia"/>
          <w:b/>
          <w:sz w:val="24"/>
          <w:szCs w:val="24"/>
        </w:rPr>
        <w:t>一、项目名称</w:t>
      </w:r>
    </w:p>
    <w:p w14:paraId="46E37C35" w14:textId="7F6636BC" w:rsidR="00E347A7" w:rsidRDefault="001B478F" w:rsidP="001D1C86">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2025-2026年度网络及核心交换设备运维驻场技术支持服务项目</w:t>
      </w:r>
    </w:p>
    <w:p w14:paraId="2020E76E" w14:textId="77777777" w:rsidR="001D1C86" w:rsidRPr="001D1C86" w:rsidRDefault="001D1C86" w:rsidP="001D1C86">
      <w:pPr>
        <w:adjustRightInd w:val="0"/>
        <w:snapToGrid w:val="0"/>
        <w:spacing w:line="360" w:lineRule="auto"/>
        <w:rPr>
          <w:rFonts w:ascii="宋体" w:eastAsia="宋体" w:hAnsi="宋体" w:hint="eastAsia"/>
          <w:b/>
          <w:sz w:val="24"/>
          <w:szCs w:val="24"/>
        </w:rPr>
      </w:pPr>
      <w:r w:rsidRPr="001D1C86">
        <w:rPr>
          <w:rFonts w:ascii="宋体" w:eastAsia="宋体" w:hAnsi="宋体" w:hint="eastAsia"/>
          <w:b/>
          <w:sz w:val="24"/>
          <w:szCs w:val="24"/>
        </w:rPr>
        <w:t>二、项目参数:</w:t>
      </w:r>
    </w:p>
    <w:p w14:paraId="295B2933" w14:textId="77777777" w:rsidR="001D1C86" w:rsidRDefault="00B43BBE" w:rsidP="001D1C86">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w:t>
      </w:r>
      <w:r w:rsidR="00220551">
        <w:rPr>
          <w:rFonts w:ascii="宋体" w:eastAsia="宋体" w:hAnsi="宋体" w:hint="eastAsia"/>
          <w:b/>
          <w:sz w:val="24"/>
          <w:szCs w:val="24"/>
        </w:rPr>
        <w:t>项目内容及要求</w:t>
      </w:r>
    </w:p>
    <w:p w14:paraId="5CA20A66" w14:textId="38116B5E" w:rsidR="001B478F" w:rsidRPr="001B478F" w:rsidRDefault="001B478F" w:rsidP="001B478F">
      <w:pPr>
        <w:autoSpaceDE w:val="0"/>
        <w:autoSpaceDN w:val="0"/>
        <w:adjustRightInd w:val="0"/>
        <w:spacing w:after="200" w:line="360" w:lineRule="auto"/>
        <w:rPr>
          <w:rFonts w:ascii="宋体" w:eastAsia="宋体" w:hAnsi="宋体" w:cs="宋体" w:hint="eastAsia"/>
          <w:b/>
          <w:sz w:val="24"/>
          <w:szCs w:val="24"/>
          <w:lang w:val="zh-CN"/>
        </w:rPr>
      </w:pPr>
      <w:r w:rsidRPr="001B478F">
        <w:rPr>
          <w:rFonts w:ascii="宋体" w:eastAsia="宋体" w:hAnsi="宋体" w:cs="宋体" w:hint="eastAsia"/>
          <w:b/>
          <w:sz w:val="24"/>
          <w:szCs w:val="24"/>
          <w:lang w:val="zh-CN"/>
        </w:rPr>
        <w:t>一、项目建设需求</w:t>
      </w:r>
    </w:p>
    <w:p w14:paraId="4F75C199" w14:textId="77777777" w:rsidR="001B478F" w:rsidRPr="001B478F" w:rsidRDefault="001B478F" w:rsidP="001B478F">
      <w:pPr>
        <w:autoSpaceDE w:val="0"/>
        <w:autoSpaceDN w:val="0"/>
        <w:adjustRightInd w:val="0"/>
        <w:spacing w:after="200" w:line="360" w:lineRule="auto"/>
        <w:ind w:firstLineChars="200" w:firstLine="480"/>
        <w:rPr>
          <w:rFonts w:ascii="宋体" w:eastAsia="宋体" w:hAnsi="宋体" w:hint="eastAsia"/>
          <w:sz w:val="24"/>
          <w:szCs w:val="24"/>
        </w:rPr>
      </w:pPr>
      <w:r w:rsidRPr="001B478F">
        <w:rPr>
          <w:rFonts w:ascii="宋体" w:eastAsia="宋体" w:hAnsi="宋体" w:hint="eastAsia"/>
          <w:sz w:val="24"/>
          <w:szCs w:val="24"/>
        </w:rPr>
        <w:t>上海交通大学医学院附属新华医院杨浦院区以及奉贤院区网络架构以核心交换机为中心，实现各楼宇和服务器之间的信息交互，确保信息化业务流通。目前，现有的核心交换部分设备已经过保，急需采购一年的维保服务，以保障网络的稳定性与安全性。与此同时，为了应对网络系统中出现的各类问题，新华医院决定通过服务外包的方式，对内外网的日常运行和维护工作进行管理，以确保网络的安全稳定运行，并能及时有效解决各类网络及业务系统的问题。</w:t>
      </w:r>
    </w:p>
    <w:p w14:paraId="7390DC8D" w14:textId="77777777" w:rsidR="001B478F" w:rsidRPr="001B478F" w:rsidRDefault="001B478F" w:rsidP="001B478F">
      <w:pPr>
        <w:autoSpaceDE w:val="0"/>
        <w:autoSpaceDN w:val="0"/>
        <w:adjustRightInd w:val="0"/>
        <w:spacing w:after="200" w:line="360" w:lineRule="auto"/>
        <w:rPr>
          <w:rFonts w:ascii="宋体" w:eastAsia="宋体" w:hAnsi="宋体" w:cs="宋体" w:hint="eastAsia"/>
          <w:b/>
          <w:sz w:val="24"/>
          <w:szCs w:val="24"/>
          <w:lang w:val="zh-CN"/>
        </w:rPr>
      </w:pPr>
      <w:r w:rsidRPr="001B478F">
        <w:rPr>
          <w:rFonts w:ascii="宋体" w:eastAsia="宋体" w:hAnsi="宋体" w:cs="宋体" w:hint="eastAsia"/>
          <w:b/>
          <w:sz w:val="24"/>
          <w:szCs w:val="24"/>
          <w:lang w:val="zh-CN"/>
        </w:rPr>
        <w:t>二、采购清单</w:t>
      </w:r>
    </w:p>
    <w:p w14:paraId="176A027D"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1）核心交换设备续保清单</w:t>
      </w:r>
    </w:p>
    <w:tbl>
      <w:tblPr>
        <w:tblW w:w="5000" w:type="pct"/>
        <w:tblLook w:val="04A0" w:firstRow="1" w:lastRow="0" w:firstColumn="1" w:lastColumn="0" w:noHBand="0" w:noVBand="1"/>
      </w:tblPr>
      <w:tblGrid>
        <w:gridCol w:w="724"/>
        <w:gridCol w:w="2580"/>
        <w:gridCol w:w="2120"/>
        <w:gridCol w:w="912"/>
        <w:gridCol w:w="794"/>
        <w:gridCol w:w="1392"/>
      </w:tblGrid>
      <w:tr w:rsidR="001B478F" w:rsidRPr="001B478F" w14:paraId="576C0BBA" w14:textId="77777777" w:rsidTr="00341051">
        <w:trPr>
          <w:trHeight w:val="293"/>
        </w:trPr>
        <w:tc>
          <w:tcPr>
            <w:tcW w:w="424" w:type="pct"/>
            <w:tcBorders>
              <w:top w:val="single" w:sz="4" w:space="0" w:color="auto"/>
              <w:left w:val="single" w:sz="4" w:space="0" w:color="auto"/>
              <w:bottom w:val="single" w:sz="4" w:space="0" w:color="auto"/>
              <w:right w:val="single" w:sz="4" w:space="0" w:color="auto"/>
            </w:tcBorders>
            <w:vAlign w:val="center"/>
          </w:tcPr>
          <w:p w14:paraId="58EE333A" w14:textId="77777777" w:rsidR="001B478F" w:rsidRPr="001B478F" w:rsidRDefault="001B478F" w:rsidP="00341051">
            <w:pPr>
              <w:spacing w:line="360" w:lineRule="auto"/>
              <w:jc w:val="center"/>
              <w:rPr>
                <w:rFonts w:ascii="宋体" w:eastAsia="宋体" w:hAnsi="宋体"/>
                <w:sz w:val="24"/>
                <w:szCs w:val="24"/>
              </w:rPr>
            </w:pPr>
            <w:r w:rsidRPr="001B478F">
              <w:rPr>
                <w:rFonts w:ascii="宋体" w:eastAsia="宋体" w:hAnsi="宋体" w:hint="eastAsia"/>
                <w:sz w:val="24"/>
                <w:szCs w:val="24"/>
              </w:rPr>
              <w:t>序号</w:t>
            </w:r>
          </w:p>
        </w:tc>
        <w:tc>
          <w:tcPr>
            <w:tcW w:w="1513" w:type="pct"/>
            <w:tcBorders>
              <w:top w:val="single" w:sz="4" w:space="0" w:color="auto"/>
              <w:left w:val="nil"/>
              <w:bottom w:val="single" w:sz="4" w:space="0" w:color="auto"/>
              <w:right w:val="single" w:sz="4" w:space="0" w:color="auto"/>
            </w:tcBorders>
            <w:vAlign w:val="center"/>
          </w:tcPr>
          <w:p w14:paraId="45300C4A"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名称</w:t>
            </w:r>
          </w:p>
        </w:tc>
        <w:tc>
          <w:tcPr>
            <w:tcW w:w="1244" w:type="pct"/>
            <w:tcBorders>
              <w:top w:val="single" w:sz="4" w:space="0" w:color="auto"/>
              <w:left w:val="nil"/>
              <w:bottom w:val="single" w:sz="4" w:space="0" w:color="auto"/>
              <w:right w:val="single" w:sz="4" w:space="0" w:color="auto"/>
            </w:tcBorders>
            <w:vAlign w:val="center"/>
          </w:tcPr>
          <w:p w14:paraId="5F545304"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型号</w:t>
            </w:r>
          </w:p>
        </w:tc>
        <w:tc>
          <w:tcPr>
            <w:tcW w:w="535" w:type="pct"/>
            <w:tcBorders>
              <w:top w:val="single" w:sz="4" w:space="0" w:color="auto"/>
              <w:left w:val="nil"/>
              <w:bottom w:val="single" w:sz="4" w:space="0" w:color="auto"/>
              <w:right w:val="single" w:sz="4" w:space="0" w:color="auto"/>
            </w:tcBorders>
            <w:vAlign w:val="center"/>
          </w:tcPr>
          <w:p w14:paraId="41019C04"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数量</w:t>
            </w:r>
          </w:p>
        </w:tc>
        <w:tc>
          <w:tcPr>
            <w:tcW w:w="466" w:type="pct"/>
            <w:tcBorders>
              <w:top w:val="single" w:sz="4" w:space="0" w:color="auto"/>
              <w:left w:val="nil"/>
              <w:bottom w:val="single" w:sz="4" w:space="0" w:color="auto"/>
              <w:right w:val="single" w:sz="4" w:space="0" w:color="auto"/>
            </w:tcBorders>
            <w:vAlign w:val="center"/>
          </w:tcPr>
          <w:p w14:paraId="75CB1DF1"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维保年限</w:t>
            </w:r>
          </w:p>
        </w:tc>
        <w:tc>
          <w:tcPr>
            <w:tcW w:w="817" w:type="pct"/>
            <w:tcBorders>
              <w:top w:val="single" w:sz="4" w:space="0" w:color="auto"/>
              <w:left w:val="nil"/>
              <w:bottom w:val="single" w:sz="4" w:space="0" w:color="auto"/>
              <w:right w:val="single" w:sz="4" w:space="0" w:color="auto"/>
            </w:tcBorders>
            <w:vAlign w:val="center"/>
          </w:tcPr>
          <w:p w14:paraId="0C489440"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品牌</w:t>
            </w:r>
          </w:p>
        </w:tc>
      </w:tr>
      <w:tr w:rsidR="001B478F" w:rsidRPr="001B478F" w14:paraId="4AE5C3BD" w14:textId="77777777" w:rsidTr="00341051">
        <w:trPr>
          <w:trHeight w:val="293"/>
        </w:trPr>
        <w:tc>
          <w:tcPr>
            <w:tcW w:w="424" w:type="pct"/>
            <w:tcBorders>
              <w:top w:val="nil"/>
              <w:left w:val="single" w:sz="4" w:space="0" w:color="auto"/>
              <w:bottom w:val="single" w:sz="4" w:space="0" w:color="auto"/>
              <w:right w:val="single" w:sz="4" w:space="0" w:color="auto"/>
            </w:tcBorders>
            <w:vAlign w:val="center"/>
          </w:tcPr>
          <w:p w14:paraId="670ACC6A"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513" w:type="pct"/>
            <w:tcBorders>
              <w:top w:val="nil"/>
              <w:left w:val="nil"/>
              <w:bottom w:val="single" w:sz="4" w:space="0" w:color="auto"/>
              <w:right w:val="single" w:sz="4" w:space="0" w:color="auto"/>
            </w:tcBorders>
            <w:vAlign w:val="center"/>
          </w:tcPr>
          <w:p w14:paraId="2450E34A"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核心交换机</w:t>
            </w:r>
          </w:p>
        </w:tc>
        <w:tc>
          <w:tcPr>
            <w:tcW w:w="1244" w:type="pct"/>
            <w:tcBorders>
              <w:top w:val="nil"/>
              <w:left w:val="nil"/>
              <w:bottom w:val="single" w:sz="4" w:space="0" w:color="auto"/>
              <w:right w:val="single" w:sz="4" w:space="0" w:color="auto"/>
            </w:tcBorders>
            <w:vAlign w:val="center"/>
          </w:tcPr>
          <w:p w14:paraId="4E2C4D1F"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Cisco C6800</w:t>
            </w:r>
          </w:p>
        </w:tc>
        <w:tc>
          <w:tcPr>
            <w:tcW w:w="535" w:type="pct"/>
            <w:tcBorders>
              <w:top w:val="nil"/>
              <w:left w:val="nil"/>
              <w:bottom w:val="single" w:sz="4" w:space="0" w:color="auto"/>
              <w:right w:val="single" w:sz="4" w:space="0" w:color="auto"/>
            </w:tcBorders>
            <w:vAlign w:val="center"/>
          </w:tcPr>
          <w:p w14:paraId="149783CB"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2</w:t>
            </w:r>
          </w:p>
        </w:tc>
        <w:tc>
          <w:tcPr>
            <w:tcW w:w="466" w:type="pct"/>
            <w:tcBorders>
              <w:top w:val="nil"/>
              <w:left w:val="nil"/>
              <w:bottom w:val="single" w:sz="4" w:space="0" w:color="auto"/>
              <w:right w:val="single" w:sz="4" w:space="0" w:color="auto"/>
            </w:tcBorders>
            <w:vAlign w:val="center"/>
          </w:tcPr>
          <w:p w14:paraId="13A7BAF2"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817" w:type="pct"/>
            <w:tcBorders>
              <w:top w:val="nil"/>
              <w:left w:val="nil"/>
              <w:bottom w:val="single" w:sz="4" w:space="0" w:color="auto"/>
              <w:right w:val="single" w:sz="4" w:space="0" w:color="auto"/>
            </w:tcBorders>
            <w:vAlign w:val="center"/>
          </w:tcPr>
          <w:p w14:paraId="24BB923C"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思科</w:t>
            </w:r>
          </w:p>
        </w:tc>
      </w:tr>
      <w:tr w:rsidR="001B478F" w:rsidRPr="001B478F" w14:paraId="6BC02732" w14:textId="77777777" w:rsidTr="00341051">
        <w:trPr>
          <w:trHeight w:val="586"/>
        </w:trPr>
        <w:tc>
          <w:tcPr>
            <w:tcW w:w="424" w:type="pct"/>
            <w:tcBorders>
              <w:top w:val="nil"/>
              <w:left w:val="single" w:sz="4" w:space="0" w:color="auto"/>
              <w:bottom w:val="single" w:sz="4" w:space="0" w:color="auto"/>
              <w:right w:val="single" w:sz="4" w:space="0" w:color="auto"/>
            </w:tcBorders>
            <w:vAlign w:val="center"/>
          </w:tcPr>
          <w:p w14:paraId="6B930F7C"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2</w:t>
            </w:r>
          </w:p>
        </w:tc>
        <w:tc>
          <w:tcPr>
            <w:tcW w:w="1513" w:type="pct"/>
            <w:tcBorders>
              <w:top w:val="nil"/>
              <w:left w:val="nil"/>
              <w:bottom w:val="single" w:sz="4" w:space="0" w:color="auto"/>
              <w:right w:val="single" w:sz="4" w:space="0" w:color="auto"/>
            </w:tcBorders>
            <w:vAlign w:val="center"/>
          </w:tcPr>
          <w:p w14:paraId="03C6027C"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服务器汇聚交换机</w:t>
            </w:r>
          </w:p>
        </w:tc>
        <w:tc>
          <w:tcPr>
            <w:tcW w:w="1244" w:type="pct"/>
            <w:tcBorders>
              <w:top w:val="nil"/>
              <w:left w:val="nil"/>
              <w:bottom w:val="single" w:sz="4" w:space="0" w:color="auto"/>
              <w:right w:val="single" w:sz="4" w:space="0" w:color="auto"/>
            </w:tcBorders>
            <w:vAlign w:val="center"/>
          </w:tcPr>
          <w:p w14:paraId="5E59FB07"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ciscoNexus7000</w:t>
            </w:r>
          </w:p>
        </w:tc>
        <w:tc>
          <w:tcPr>
            <w:tcW w:w="535" w:type="pct"/>
            <w:tcBorders>
              <w:top w:val="nil"/>
              <w:left w:val="nil"/>
              <w:bottom w:val="single" w:sz="4" w:space="0" w:color="auto"/>
              <w:right w:val="single" w:sz="4" w:space="0" w:color="auto"/>
            </w:tcBorders>
            <w:vAlign w:val="center"/>
          </w:tcPr>
          <w:p w14:paraId="3D002D49"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2</w:t>
            </w:r>
          </w:p>
        </w:tc>
        <w:tc>
          <w:tcPr>
            <w:tcW w:w="466" w:type="pct"/>
            <w:tcBorders>
              <w:top w:val="nil"/>
              <w:left w:val="nil"/>
              <w:bottom w:val="single" w:sz="4" w:space="0" w:color="auto"/>
              <w:right w:val="single" w:sz="4" w:space="0" w:color="auto"/>
            </w:tcBorders>
            <w:vAlign w:val="center"/>
          </w:tcPr>
          <w:p w14:paraId="4AD61905"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817" w:type="pct"/>
            <w:tcBorders>
              <w:top w:val="nil"/>
              <w:left w:val="nil"/>
              <w:bottom w:val="single" w:sz="4" w:space="0" w:color="auto"/>
              <w:right w:val="single" w:sz="4" w:space="0" w:color="auto"/>
            </w:tcBorders>
            <w:vAlign w:val="center"/>
          </w:tcPr>
          <w:p w14:paraId="128AA3F2"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思科</w:t>
            </w:r>
          </w:p>
        </w:tc>
      </w:tr>
      <w:tr w:rsidR="001B478F" w:rsidRPr="001B478F" w14:paraId="1FF084CE" w14:textId="77777777" w:rsidTr="00341051">
        <w:trPr>
          <w:trHeight w:val="586"/>
        </w:trPr>
        <w:tc>
          <w:tcPr>
            <w:tcW w:w="424" w:type="pct"/>
            <w:tcBorders>
              <w:top w:val="nil"/>
              <w:left w:val="single" w:sz="4" w:space="0" w:color="auto"/>
              <w:bottom w:val="single" w:sz="4" w:space="0" w:color="auto"/>
              <w:right w:val="single" w:sz="4" w:space="0" w:color="auto"/>
            </w:tcBorders>
            <w:vAlign w:val="center"/>
          </w:tcPr>
          <w:p w14:paraId="45AC906A"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3</w:t>
            </w:r>
          </w:p>
        </w:tc>
        <w:tc>
          <w:tcPr>
            <w:tcW w:w="1513" w:type="pct"/>
            <w:tcBorders>
              <w:top w:val="nil"/>
              <w:left w:val="nil"/>
              <w:bottom w:val="single" w:sz="4" w:space="0" w:color="auto"/>
              <w:right w:val="single" w:sz="4" w:space="0" w:color="auto"/>
            </w:tcBorders>
            <w:vAlign w:val="center"/>
          </w:tcPr>
          <w:p w14:paraId="082D180A"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楼宇汇聚交换机1</w:t>
            </w:r>
          </w:p>
        </w:tc>
        <w:tc>
          <w:tcPr>
            <w:tcW w:w="1244" w:type="pct"/>
            <w:tcBorders>
              <w:top w:val="nil"/>
              <w:left w:val="nil"/>
              <w:bottom w:val="single" w:sz="4" w:space="0" w:color="auto"/>
              <w:right w:val="single" w:sz="4" w:space="0" w:color="auto"/>
            </w:tcBorders>
            <w:vAlign w:val="center"/>
          </w:tcPr>
          <w:p w14:paraId="44FFEFD4"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cisco WS-C4500</w:t>
            </w:r>
          </w:p>
        </w:tc>
        <w:tc>
          <w:tcPr>
            <w:tcW w:w="535" w:type="pct"/>
            <w:tcBorders>
              <w:top w:val="nil"/>
              <w:left w:val="nil"/>
              <w:bottom w:val="single" w:sz="4" w:space="0" w:color="auto"/>
              <w:right w:val="single" w:sz="4" w:space="0" w:color="auto"/>
            </w:tcBorders>
            <w:vAlign w:val="center"/>
          </w:tcPr>
          <w:p w14:paraId="29A07AB3"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2</w:t>
            </w:r>
          </w:p>
        </w:tc>
        <w:tc>
          <w:tcPr>
            <w:tcW w:w="466" w:type="pct"/>
            <w:tcBorders>
              <w:top w:val="nil"/>
              <w:left w:val="nil"/>
              <w:bottom w:val="single" w:sz="4" w:space="0" w:color="auto"/>
              <w:right w:val="single" w:sz="4" w:space="0" w:color="auto"/>
            </w:tcBorders>
            <w:vAlign w:val="center"/>
          </w:tcPr>
          <w:p w14:paraId="0C8FE0F9"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817" w:type="pct"/>
            <w:tcBorders>
              <w:top w:val="nil"/>
              <w:left w:val="nil"/>
              <w:bottom w:val="single" w:sz="4" w:space="0" w:color="auto"/>
              <w:right w:val="single" w:sz="4" w:space="0" w:color="auto"/>
            </w:tcBorders>
            <w:vAlign w:val="center"/>
          </w:tcPr>
          <w:p w14:paraId="06B66FED"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思科</w:t>
            </w:r>
          </w:p>
        </w:tc>
      </w:tr>
      <w:tr w:rsidR="001B478F" w:rsidRPr="001B478F" w14:paraId="50C4B92B" w14:textId="77777777" w:rsidTr="00341051">
        <w:trPr>
          <w:trHeight w:val="586"/>
        </w:trPr>
        <w:tc>
          <w:tcPr>
            <w:tcW w:w="424" w:type="pct"/>
            <w:tcBorders>
              <w:top w:val="nil"/>
              <w:left w:val="single" w:sz="4" w:space="0" w:color="auto"/>
              <w:bottom w:val="single" w:sz="4" w:space="0" w:color="auto"/>
              <w:right w:val="single" w:sz="4" w:space="0" w:color="auto"/>
            </w:tcBorders>
            <w:vAlign w:val="center"/>
          </w:tcPr>
          <w:p w14:paraId="6923A508"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4</w:t>
            </w:r>
          </w:p>
        </w:tc>
        <w:tc>
          <w:tcPr>
            <w:tcW w:w="1513" w:type="pct"/>
            <w:tcBorders>
              <w:top w:val="nil"/>
              <w:left w:val="nil"/>
              <w:bottom w:val="single" w:sz="4" w:space="0" w:color="auto"/>
              <w:right w:val="single" w:sz="4" w:space="0" w:color="auto"/>
            </w:tcBorders>
            <w:vAlign w:val="center"/>
          </w:tcPr>
          <w:p w14:paraId="177F07B7"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楼宇汇聚交换机2</w:t>
            </w:r>
          </w:p>
        </w:tc>
        <w:tc>
          <w:tcPr>
            <w:tcW w:w="1244" w:type="pct"/>
            <w:tcBorders>
              <w:top w:val="nil"/>
              <w:left w:val="nil"/>
              <w:bottom w:val="single" w:sz="4" w:space="0" w:color="auto"/>
              <w:right w:val="single" w:sz="4" w:space="0" w:color="auto"/>
            </w:tcBorders>
            <w:vAlign w:val="center"/>
          </w:tcPr>
          <w:p w14:paraId="7F57A8DB"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cisco WS-C6000</w:t>
            </w:r>
          </w:p>
        </w:tc>
        <w:tc>
          <w:tcPr>
            <w:tcW w:w="535" w:type="pct"/>
            <w:tcBorders>
              <w:top w:val="nil"/>
              <w:left w:val="nil"/>
              <w:bottom w:val="single" w:sz="4" w:space="0" w:color="auto"/>
              <w:right w:val="single" w:sz="4" w:space="0" w:color="auto"/>
            </w:tcBorders>
            <w:vAlign w:val="center"/>
          </w:tcPr>
          <w:p w14:paraId="60F5CE4C"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6</w:t>
            </w:r>
          </w:p>
        </w:tc>
        <w:tc>
          <w:tcPr>
            <w:tcW w:w="466" w:type="pct"/>
            <w:tcBorders>
              <w:top w:val="nil"/>
              <w:left w:val="nil"/>
              <w:bottom w:val="single" w:sz="4" w:space="0" w:color="auto"/>
              <w:right w:val="single" w:sz="4" w:space="0" w:color="auto"/>
            </w:tcBorders>
            <w:vAlign w:val="center"/>
          </w:tcPr>
          <w:p w14:paraId="50F81373"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817" w:type="pct"/>
            <w:tcBorders>
              <w:top w:val="nil"/>
              <w:left w:val="nil"/>
              <w:bottom w:val="single" w:sz="4" w:space="0" w:color="auto"/>
              <w:right w:val="single" w:sz="4" w:space="0" w:color="auto"/>
            </w:tcBorders>
            <w:vAlign w:val="center"/>
          </w:tcPr>
          <w:p w14:paraId="580EF473"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思科</w:t>
            </w:r>
          </w:p>
        </w:tc>
      </w:tr>
      <w:tr w:rsidR="001B478F" w:rsidRPr="001B478F" w14:paraId="7EDC261F" w14:textId="77777777" w:rsidTr="00341051">
        <w:trPr>
          <w:trHeight w:val="586"/>
        </w:trPr>
        <w:tc>
          <w:tcPr>
            <w:tcW w:w="424" w:type="pct"/>
            <w:tcBorders>
              <w:top w:val="nil"/>
              <w:left w:val="single" w:sz="4" w:space="0" w:color="auto"/>
              <w:bottom w:val="single" w:sz="4" w:space="0" w:color="auto"/>
              <w:right w:val="single" w:sz="4" w:space="0" w:color="auto"/>
            </w:tcBorders>
            <w:vAlign w:val="center"/>
          </w:tcPr>
          <w:p w14:paraId="260074D9"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5</w:t>
            </w:r>
          </w:p>
        </w:tc>
        <w:tc>
          <w:tcPr>
            <w:tcW w:w="1513" w:type="pct"/>
            <w:tcBorders>
              <w:top w:val="nil"/>
              <w:left w:val="nil"/>
              <w:bottom w:val="single" w:sz="4" w:space="0" w:color="auto"/>
              <w:right w:val="single" w:sz="4" w:space="0" w:color="auto"/>
            </w:tcBorders>
            <w:vAlign w:val="center"/>
          </w:tcPr>
          <w:p w14:paraId="7A8F7495"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楼宇汇聚交换机3</w:t>
            </w:r>
          </w:p>
        </w:tc>
        <w:tc>
          <w:tcPr>
            <w:tcW w:w="1244" w:type="pct"/>
            <w:tcBorders>
              <w:top w:val="nil"/>
              <w:left w:val="nil"/>
              <w:bottom w:val="single" w:sz="4" w:space="0" w:color="auto"/>
              <w:right w:val="single" w:sz="4" w:space="0" w:color="auto"/>
            </w:tcBorders>
            <w:vAlign w:val="center"/>
          </w:tcPr>
          <w:p w14:paraId="6C786A78"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HUAWEI S5700</w:t>
            </w:r>
          </w:p>
        </w:tc>
        <w:tc>
          <w:tcPr>
            <w:tcW w:w="535" w:type="pct"/>
            <w:tcBorders>
              <w:top w:val="nil"/>
              <w:left w:val="nil"/>
              <w:bottom w:val="single" w:sz="4" w:space="0" w:color="auto"/>
              <w:right w:val="single" w:sz="4" w:space="0" w:color="auto"/>
            </w:tcBorders>
            <w:vAlign w:val="center"/>
          </w:tcPr>
          <w:p w14:paraId="62995EA0"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6</w:t>
            </w:r>
          </w:p>
        </w:tc>
        <w:tc>
          <w:tcPr>
            <w:tcW w:w="466" w:type="pct"/>
            <w:tcBorders>
              <w:top w:val="nil"/>
              <w:left w:val="nil"/>
              <w:bottom w:val="single" w:sz="4" w:space="0" w:color="auto"/>
              <w:right w:val="single" w:sz="4" w:space="0" w:color="auto"/>
            </w:tcBorders>
            <w:vAlign w:val="center"/>
          </w:tcPr>
          <w:p w14:paraId="30D002A8"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817" w:type="pct"/>
            <w:tcBorders>
              <w:top w:val="nil"/>
              <w:left w:val="nil"/>
              <w:bottom w:val="single" w:sz="4" w:space="0" w:color="auto"/>
              <w:right w:val="single" w:sz="4" w:space="0" w:color="auto"/>
            </w:tcBorders>
            <w:vAlign w:val="center"/>
          </w:tcPr>
          <w:p w14:paraId="3702BB67"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华为</w:t>
            </w:r>
          </w:p>
        </w:tc>
      </w:tr>
      <w:tr w:rsidR="001B478F" w:rsidRPr="001B478F" w14:paraId="758BB16D" w14:textId="77777777" w:rsidTr="00341051">
        <w:trPr>
          <w:trHeight w:val="586"/>
        </w:trPr>
        <w:tc>
          <w:tcPr>
            <w:tcW w:w="424" w:type="pct"/>
            <w:tcBorders>
              <w:top w:val="nil"/>
              <w:left w:val="single" w:sz="4" w:space="0" w:color="auto"/>
              <w:bottom w:val="single" w:sz="4" w:space="0" w:color="auto"/>
              <w:right w:val="single" w:sz="4" w:space="0" w:color="auto"/>
            </w:tcBorders>
            <w:vAlign w:val="center"/>
          </w:tcPr>
          <w:p w14:paraId="5EAF6CF2"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6</w:t>
            </w:r>
          </w:p>
        </w:tc>
        <w:tc>
          <w:tcPr>
            <w:tcW w:w="1513" w:type="pct"/>
            <w:tcBorders>
              <w:top w:val="nil"/>
              <w:left w:val="nil"/>
              <w:bottom w:val="single" w:sz="4" w:space="0" w:color="auto"/>
              <w:right w:val="single" w:sz="4" w:space="0" w:color="auto"/>
            </w:tcBorders>
            <w:vAlign w:val="center"/>
          </w:tcPr>
          <w:p w14:paraId="0AF35928"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楼宇汇聚交换机4</w:t>
            </w:r>
          </w:p>
        </w:tc>
        <w:tc>
          <w:tcPr>
            <w:tcW w:w="1244" w:type="pct"/>
            <w:tcBorders>
              <w:top w:val="nil"/>
              <w:left w:val="nil"/>
              <w:bottom w:val="single" w:sz="4" w:space="0" w:color="auto"/>
              <w:right w:val="single" w:sz="4" w:space="0" w:color="auto"/>
            </w:tcBorders>
            <w:vAlign w:val="center"/>
          </w:tcPr>
          <w:p w14:paraId="34B013D2"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HUAWEI S7000</w:t>
            </w:r>
          </w:p>
        </w:tc>
        <w:tc>
          <w:tcPr>
            <w:tcW w:w="535" w:type="pct"/>
            <w:tcBorders>
              <w:top w:val="nil"/>
              <w:left w:val="nil"/>
              <w:bottom w:val="single" w:sz="4" w:space="0" w:color="auto"/>
              <w:right w:val="single" w:sz="4" w:space="0" w:color="auto"/>
            </w:tcBorders>
            <w:vAlign w:val="center"/>
          </w:tcPr>
          <w:p w14:paraId="61F53348"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2</w:t>
            </w:r>
          </w:p>
        </w:tc>
        <w:tc>
          <w:tcPr>
            <w:tcW w:w="466" w:type="pct"/>
            <w:tcBorders>
              <w:top w:val="nil"/>
              <w:left w:val="nil"/>
              <w:bottom w:val="single" w:sz="4" w:space="0" w:color="auto"/>
              <w:right w:val="single" w:sz="4" w:space="0" w:color="auto"/>
            </w:tcBorders>
            <w:vAlign w:val="center"/>
          </w:tcPr>
          <w:p w14:paraId="16BD42C0"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817" w:type="pct"/>
            <w:tcBorders>
              <w:top w:val="nil"/>
              <w:left w:val="nil"/>
              <w:bottom w:val="single" w:sz="4" w:space="0" w:color="auto"/>
              <w:right w:val="single" w:sz="4" w:space="0" w:color="auto"/>
            </w:tcBorders>
            <w:vAlign w:val="center"/>
          </w:tcPr>
          <w:p w14:paraId="75B6814F"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华为</w:t>
            </w:r>
          </w:p>
        </w:tc>
      </w:tr>
      <w:tr w:rsidR="001B478F" w:rsidRPr="001B478F" w14:paraId="1EF4B12F" w14:textId="77777777" w:rsidTr="00341051">
        <w:trPr>
          <w:trHeight w:val="586"/>
        </w:trPr>
        <w:tc>
          <w:tcPr>
            <w:tcW w:w="424" w:type="pct"/>
            <w:tcBorders>
              <w:top w:val="nil"/>
              <w:left w:val="single" w:sz="4" w:space="0" w:color="auto"/>
              <w:bottom w:val="single" w:sz="4" w:space="0" w:color="auto"/>
              <w:right w:val="single" w:sz="4" w:space="0" w:color="auto"/>
            </w:tcBorders>
            <w:vAlign w:val="center"/>
          </w:tcPr>
          <w:p w14:paraId="0B229B03"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7</w:t>
            </w:r>
          </w:p>
        </w:tc>
        <w:tc>
          <w:tcPr>
            <w:tcW w:w="1513" w:type="pct"/>
            <w:tcBorders>
              <w:top w:val="nil"/>
              <w:left w:val="nil"/>
              <w:bottom w:val="single" w:sz="4" w:space="0" w:color="auto"/>
              <w:right w:val="single" w:sz="4" w:space="0" w:color="auto"/>
            </w:tcBorders>
            <w:vAlign w:val="center"/>
          </w:tcPr>
          <w:p w14:paraId="49A171AB"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楼宇汇聚交换机5</w:t>
            </w:r>
          </w:p>
        </w:tc>
        <w:tc>
          <w:tcPr>
            <w:tcW w:w="1244" w:type="pct"/>
            <w:tcBorders>
              <w:top w:val="nil"/>
              <w:left w:val="nil"/>
              <w:bottom w:val="single" w:sz="4" w:space="0" w:color="auto"/>
              <w:right w:val="single" w:sz="4" w:space="0" w:color="auto"/>
            </w:tcBorders>
            <w:vAlign w:val="center"/>
          </w:tcPr>
          <w:p w14:paraId="51929412"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HUAWEI S6000</w:t>
            </w:r>
          </w:p>
        </w:tc>
        <w:tc>
          <w:tcPr>
            <w:tcW w:w="535" w:type="pct"/>
            <w:tcBorders>
              <w:top w:val="nil"/>
              <w:left w:val="nil"/>
              <w:bottom w:val="single" w:sz="4" w:space="0" w:color="auto"/>
              <w:right w:val="single" w:sz="4" w:space="0" w:color="auto"/>
            </w:tcBorders>
            <w:vAlign w:val="center"/>
          </w:tcPr>
          <w:p w14:paraId="7F476667"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6</w:t>
            </w:r>
          </w:p>
        </w:tc>
        <w:tc>
          <w:tcPr>
            <w:tcW w:w="466" w:type="pct"/>
            <w:tcBorders>
              <w:top w:val="nil"/>
              <w:left w:val="nil"/>
              <w:bottom w:val="single" w:sz="4" w:space="0" w:color="auto"/>
              <w:right w:val="single" w:sz="4" w:space="0" w:color="auto"/>
            </w:tcBorders>
            <w:vAlign w:val="center"/>
          </w:tcPr>
          <w:p w14:paraId="713084E3"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817" w:type="pct"/>
            <w:tcBorders>
              <w:top w:val="nil"/>
              <w:left w:val="nil"/>
              <w:bottom w:val="single" w:sz="4" w:space="0" w:color="auto"/>
              <w:right w:val="single" w:sz="4" w:space="0" w:color="auto"/>
            </w:tcBorders>
            <w:vAlign w:val="center"/>
          </w:tcPr>
          <w:p w14:paraId="6D66E1E3"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华为</w:t>
            </w:r>
          </w:p>
        </w:tc>
      </w:tr>
    </w:tbl>
    <w:p w14:paraId="2C3E2B52"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sz w:val="24"/>
          <w:szCs w:val="24"/>
        </w:rPr>
        <w:t>2</w:t>
      </w:r>
      <w:r w:rsidRPr="001B478F">
        <w:rPr>
          <w:rFonts w:ascii="宋体" w:eastAsia="宋体" w:hAnsi="宋体" w:hint="eastAsia"/>
          <w:sz w:val="24"/>
          <w:szCs w:val="24"/>
        </w:rPr>
        <w:t>）网络运维服务包含的主要设备清单（不仅限）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94"/>
        <w:gridCol w:w="2184"/>
        <w:gridCol w:w="792"/>
        <w:gridCol w:w="767"/>
        <w:gridCol w:w="1355"/>
      </w:tblGrid>
      <w:tr w:rsidR="001B478F" w:rsidRPr="001B478F" w14:paraId="4E0E0A71" w14:textId="77777777" w:rsidTr="00341051">
        <w:trPr>
          <w:trHeight w:val="312"/>
          <w:jc w:val="center"/>
        </w:trPr>
        <w:tc>
          <w:tcPr>
            <w:tcW w:w="704" w:type="dxa"/>
            <w:vAlign w:val="center"/>
          </w:tcPr>
          <w:p w14:paraId="6810BB0F" w14:textId="77777777" w:rsidR="001B478F" w:rsidRPr="001B478F" w:rsidRDefault="001B478F" w:rsidP="00341051">
            <w:pPr>
              <w:spacing w:line="360" w:lineRule="auto"/>
              <w:jc w:val="center"/>
              <w:rPr>
                <w:rFonts w:ascii="宋体" w:eastAsia="宋体" w:hAnsi="宋体"/>
                <w:sz w:val="24"/>
                <w:szCs w:val="24"/>
              </w:rPr>
            </w:pPr>
            <w:r w:rsidRPr="001B478F">
              <w:rPr>
                <w:rFonts w:ascii="宋体" w:eastAsia="宋体" w:hAnsi="宋体" w:hint="eastAsia"/>
                <w:sz w:val="24"/>
                <w:szCs w:val="24"/>
              </w:rPr>
              <w:t>序号</w:t>
            </w:r>
          </w:p>
        </w:tc>
        <w:tc>
          <w:tcPr>
            <w:tcW w:w="2494" w:type="dxa"/>
            <w:shd w:val="clear" w:color="auto" w:fill="auto"/>
            <w:noWrap/>
            <w:vAlign w:val="center"/>
          </w:tcPr>
          <w:p w14:paraId="64E51938"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区域</w:t>
            </w:r>
          </w:p>
        </w:tc>
        <w:tc>
          <w:tcPr>
            <w:tcW w:w="2184" w:type="dxa"/>
            <w:shd w:val="clear" w:color="auto" w:fill="auto"/>
            <w:noWrap/>
            <w:vAlign w:val="center"/>
          </w:tcPr>
          <w:p w14:paraId="44057354"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设备名称</w:t>
            </w:r>
          </w:p>
        </w:tc>
        <w:tc>
          <w:tcPr>
            <w:tcW w:w="792" w:type="dxa"/>
            <w:shd w:val="clear" w:color="auto" w:fill="auto"/>
            <w:noWrap/>
            <w:vAlign w:val="center"/>
          </w:tcPr>
          <w:p w14:paraId="20262C44"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数量</w:t>
            </w:r>
          </w:p>
        </w:tc>
        <w:tc>
          <w:tcPr>
            <w:tcW w:w="767" w:type="dxa"/>
            <w:shd w:val="clear" w:color="auto" w:fill="auto"/>
            <w:noWrap/>
            <w:vAlign w:val="center"/>
          </w:tcPr>
          <w:p w14:paraId="737D02DE"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运维服务年限</w:t>
            </w:r>
          </w:p>
        </w:tc>
        <w:tc>
          <w:tcPr>
            <w:tcW w:w="1355" w:type="dxa"/>
            <w:vAlign w:val="center"/>
          </w:tcPr>
          <w:p w14:paraId="1DE3FA82"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品牌</w:t>
            </w:r>
          </w:p>
        </w:tc>
      </w:tr>
      <w:tr w:rsidR="001B478F" w:rsidRPr="001B478F" w14:paraId="5422A278" w14:textId="77777777" w:rsidTr="00341051">
        <w:trPr>
          <w:trHeight w:val="312"/>
          <w:jc w:val="center"/>
        </w:trPr>
        <w:tc>
          <w:tcPr>
            <w:tcW w:w="704" w:type="dxa"/>
            <w:vAlign w:val="center"/>
          </w:tcPr>
          <w:p w14:paraId="0BB37A41"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lastRenderedPageBreak/>
              <w:t>1</w:t>
            </w:r>
          </w:p>
        </w:tc>
        <w:tc>
          <w:tcPr>
            <w:tcW w:w="2494" w:type="dxa"/>
            <w:shd w:val="clear" w:color="auto" w:fill="auto"/>
            <w:noWrap/>
            <w:vAlign w:val="center"/>
          </w:tcPr>
          <w:p w14:paraId="7F65C3FC"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外网区域</w:t>
            </w:r>
          </w:p>
        </w:tc>
        <w:tc>
          <w:tcPr>
            <w:tcW w:w="2184" w:type="dxa"/>
            <w:shd w:val="clear" w:color="auto" w:fill="auto"/>
            <w:noWrap/>
            <w:vAlign w:val="center"/>
          </w:tcPr>
          <w:p w14:paraId="7E1C9979"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深信服外网NIPS</w:t>
            </w:r>
          </w:p>
        </w:tc>
        <w:tc>
          <w:tcPr>
            <w:tcW w:w="792" w:type="dxa"/>
            <w:shd w:val="clear" w:color="auto" w:fill="auto"/>
            <w:noWrap/>
            <w:vAlign w:val="center"/>
          </w:tcPr>
          <w:p w14:paraId="2A38ABC6"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2</w:t>
            </w:r>
          </w:p>
        </w:tc>
        <w:tc>
          <w:tcPr>
            <w:tcW w:w="767" w:type="dxa"/>
            <w:shd w:val="clear" w:color="auto" w:fill="auto"/>
            <w:noWrap/>
            <w:vAlign w:val="center"/>
          </w:tcPr>
          <w:p w14:paraId="5B22854C"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5660A18E"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w:t>
            </w:r>
          </w:p>
        </w:tc>
      </w:tr>
      <w:tr w:rsidR="001B478F" w:rsidRPr="001B478F" w14:paraId="70794931" w14:textId="77777777" w:rsidTr="00341051">
        <w:trPr>
          <w:trHeight w:val="312"/>
          <w:jc w:val="center"/>
        </w:trPr>
        <w:tc>
          <w:tcPr>
            <w:tcW w:w="704" w:type="dxa"/>
            <w:vAlign w:val="center"/>
          </w:tcPr>
          <w:p w14:paraId="4FBFC649"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2</w:t>
            </w:r>
          </w:p>
        </w:tc>
        <w:tc>
          <w:tcPr>
            <w:tcW w:w="2494" w:type="dxa"/>
            <w:shd w:val="clear" w:color="auto" w:fill="auto"/>
            <w:noWrap/>
            <w:vAlign w:val="center"/>
          </w:tcPr>
          <w:p w14:paraId="0B26BF8E"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外网区域</w:t>
            </w:r>
          </w:p>
        </w:tc>
        <w:tc>
          <w:tcPr>
            <w:tcW w:w="2184" w:type="dxa"/>
            <w:shd w:val="clear" w:color="auto" w:fill="auto"/>
            <w:noWrap/>
            <w:vAlign w:val="center"/>
          </w:tcPr>
          <w:p w14:paraId="688F66AD"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深信服AC新 上网行为管理</w:t>
            </w:r>
          </w:p>
        </w:tc>
        <w:tc>
          <w:tcPr>
            <w:tcW w:w="792" w:type="dxa"/>
            <w:shd w:val="clear" w:color="auto" w:fill="auto"/>
            <w:noWrap/>
            <w:vAlign w:val="center"/>
          </w:tcPr>
          <w:p w14:paraId="6062EE9C"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767" w:type="dxa"/>
            <w:shd w:val="clear" w:color="auto" w:fill="auto"/>
            <w:noWrap/>
            <w:vAlign w:val="center"/>
          </w:tcPr>
          <w:p w14:paraId="4E68C8DD"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24EE993C"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w:t>
            </w:r>
          </w:p>
        </w:tc>
      </w:tr>
      <w:tr w:rsidR="001B478F" w:rsidRPr="001B478F" w14:paraId="17FCFD6D" w14:textId="77777777" w:rsidTr="00341051">
        <w:trPr>
          <w:trHeight w:val="312"/>
          <w:jc w:val="center"/>
        </w:trPr>
        <w:tc>
          <w:tcPr>
            <w:tcW w:w="704" w:type="dxa"/>
            <w:vAlign w:val="center"/>
          </w:tcPr>
          <w:p w14:paraId="77F9D80E"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3</w:t>
            </w:r>
          </w:p>
        </w:tc>
        <w:tc>
          <w:tcPr>
            <w:tcW w:w="2494" w:type="dxa"/>
            <w:shd w:val="clear" w:color="auto" w:fill="auto"/>
            <w:noWrap/>
            <w:vAlign w:val="center"/>
          </w:tcPr>
          <w:p w14:paraId="46E289A5"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外网区域</w:t>
            </w:r>
          </w:p>
        </w:tc>
        <w:tc>
          <w:tcPr>
            <w:tcW w:w="2184" w:type="dxa"/>
            <w:shd w:val="clear" w:color="auto" w:fill="auto"/>
            <w:noWrap/>
            <w:vAlign w:val="center"/>
          </w:tcPr>
          <w:p w14:paraId="7BC762D1"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深信服潜伏威胁探针(STA)</w:t>
            </w:r>
          </w:p>
        </w:tc>
        <w:tc>
          <w:tcPr>
            <w:tcW w:w="792" w:type="dxa"/>
            <w:shd w:val="clear" w:color="auto" w:fill="auto"/>
            <w:noWrap/>
            <w:vAlign w:val="center"/>
          </w:tcPr>
          <w:p w14:paraId="2B26F100"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767" w:type="dxa"/>
            <w:shd w:val="clear" w:color="auto" w:fill="auto"/>
            <w:noWrap/>
            <w:vAlign w:val="center"/>
          </w:tcPr>
          <w:p w14:paraId="0FF85742"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453832AD"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w:t>
            </w:r>
          </w:p>
        </w:tc>
      </w:tr>
      <w:tr w:rsidR="001B478F" w:rsidRPr="001B478F" w14:paraId="405F10C5" w14:textId="77777777" w:rsidTr="00341051">
        <w:trPr>
          <w:trHeight w:val="312"/>
          <w:jc w:val="center"/>
        </w:trPr>
        <w:tc>
          <w:tcPr>
            <w:tcW w:w="704" w:type="dxa"/>
            <w:vAlign w:val="center"/>
          </w:tcPr>
          <w:p w14:paraId="5F930B9F"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4</w:t>
            </w:r>
          </w:p>
        </w:tc>
        <w:tc>
          <w:tcPr>
            <w:tcW w:w="2494" w:type="dxa"/>
            <w:shd w:val="clear" w:color="auto" w:fill="auto"/>
            <w:noWrap/>
            <w:vAlign w:val="center"/>
          </w:tcPr>
          <w:p w14:paraId="2731C87A"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DMZ区域</w:t>
            </w:r>
          </w:p>
        </w:tc>
        <w:tc>
          <w:tcPr>
            <w:tcW w:w="2184" w:type="dxa"/>
            <w:shd w:val="clear" w:color="auto" w:fill="auto"/>
            <w:noWrap/>
            <w:vAlign w:val="center"/>
          </w:tcPr>
          <w:p w14:paraId="3BE4B182"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深信服防毒墙-A</w:t>
            </w:r>
          </w:p>
        </w:tc>
        <w:tc>
          <w:tcPr>
            <w:tcW w:w="792" w:type="dxa"/>
            <w:shd w:val="clear" w:color="auto" w:fill="auto"/>
            <w:noWrap/>
            <w:vAlign w:val="center"/>
          </w:tcPr>
          <w:p w14:paraId="4F7AA31D"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2</w:t>
            </w:r>
          </w:p>
        </w:tc>
        <w:tc>
          <w:tcPr>
            <w:tcW w:w="767" w:type="dxa"/>
            <w:shd w:val="clear" w:color="auto" w:fill="auto"/>
            <w:noWrap/>
            <w:vAlign w:val="center"/>
          </w:tcPr>
          <w:p w14:paraId="2ED0760A"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0E4D23B2"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w:t>
            </w:r>
          </w:p>
        </w:tc>
      </w:tr>
      <w:tr w:rsidR="001B478F" w:rsidRPr="001B478F" w14:paraId="66F91519" w14:textId="77777777" w:rsidTr="00341051">
        <w:trPr>
          <w:trHeight w:val="312"/>
          <w:jc w:val="center"/>
        </w:trPr>
        <w:tc>
          <w:tcPr>
            <w:tcW w:w="704" w:type="dxa"/>
            <w:vAlign w:val="center"/>
          </w:tcPr>
          <w:p w14:paraId="1A133CBF"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5</w:t>
            </w:r>
          </w:p>
        </w:tc>
        <w:tc>
          <w:tcPr>
            <w:tcW w:w="2494" w:type="dxa"/>
            <w:shd w:val="clear" w:color="auto" w:fill="auto"/>
            <w:noWrap/>
            <w:vAlign w:val="center"/>
          </w:tcPr>
          <w:p w14:paraId="6F0E236E"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DMZ区域</w:t>
            </w:r>
          </w:p>
        </w:tc>
        <w:tc>
          <w:tcPr>
            <w:tcW w:w="2184" w:type="dxa"/>
            <w:shd w:val="clear" w:color="auto" w:fill="auto"/>
            <w:noWrap/>
            <w:vAlign w:val="center"/>
          </w:tcPr>
          <w:p w14:paraId="0C722E12"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深信服WAF-A</w:t>
            </w:r>
          </w:p>
        </w:tc>
        <w:tc>
          <w:tcPr>
            <w:tcW w:w="792" w:type="dxa"/>
            <w:shd w:val="clear" w:color="auto" w:fill="auto"/>
            <w:noWrap/>
            <w:vAlign w:val="center"/>
          </w:tcPr>
          <w:p w14:paraId="135E2CCD"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2</w:t>
            </w:r>
          </w:p>
        </w:tc>
        <w:tc>
          <w:tcPr>
            <w:tcW w:w="767" w:type="dxa"/>
            <w:shd w:val="clear" w:color="auto" w:fill="auto"/>
            <w:noWrap/>
            <w:vAlign w:val="center"/>
          </w:tcPr>
          <w:p w14:paraId="1EE97A29"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7E002785"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w:t>
            </w:r>
          </w:p>
        </w:tc>
      </w:tr>
      <w:tr w:rsidR="001B478F" w:rsidRPr="001B478F" w14:paraId="57F0F885" w14:textId="77777777" w:rsidTr="00341051">
        <w:trPr>
          <w:trHeight w:val="312"/>
          <w:jc w:val="center"/>
        </w:trPr>
        <w:tc>
          <w:tcPr>
            <w:tcW w:w="704" w:type="dxa"/>
            <w:vAlign w:val="center"/>
          </w:tcPr>
          <w:p w14:paraId="7CAB3C9D"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6</w:t>
            </w:r>
          </w:p>
        </w:tc>
        <w:tc>
          <w:tcPr>
            <w:tcW w:w="2494" w:type="dxa"/>
            <w:shd w:val="clear" w:color="auto" w:fill="auto"/>
            <w:noWrap/>
            <w:vAlign w:val="center"/>
          </w:tcPr>
          <w:p w14:paraId="50415FC0"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DMZ区域</w:t>
            </w:r>
          </w:p>
        </w:tc>
        <w:tc>
          <w:tcPr>
            <w:tcW w:w="2184" w:type="dxa"/>
            <w:shd w:val="clear" w:color="auto" w:fill="auto"/>
            <w:noWrap/>
            <w:vAlign w:val="center"/>
          </w:tcPr>
          <w:p w14:paraId="77032762"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深信服VPN（儿研所专用）</w:t>
            </w:r>
          </w:p>
        </w:tc>
        <w:tc>
          <w:tcPr>
            <w:tcW w:w="792" w:type="dxa"/>
            <w:shd w:val="clear" w:color="auto" w:fill="auto"/>
            <w:noWrap/>
            <w:vAlign w:val="center"/>
          </w:tcPr>
          <w:p w14:paraId="4F0AC440"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767" w:type="dxa"/>
            <w:shd w:val="clear" w:color="auto" w:fill="auto"/>
            <w:noWrap/>
            <w:vAlign w:val="center"/>
          </w:tcPr>
          <w:p w14:paraId="6B17A995"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05D1AD46"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w:t>
            </w:r>
          </w:p>
        </w:tc>
      </w:tr>
      <w:tr w:rsidR="001B478F" w:rsidRPr="001B478F" w14:paraId="088FDF48" w14:textId="77777777" w:rsidTr="00341051">
        <w:trPr>
          <w:trHeight w:val="312"/>
          <w:jc w:val="center"/>
        </w:trPr>
        <w:tc>
          <w:tcPr>
            <w:tcW w:w="704" w:type="dxa"/>
            <w:vAlign w:val="center"/>
          </w:tcPr>
          <w:p w14:paraId="527AF8F5"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7</w:t>
            </w:r>
          </w:p>
        </w:tc>
        <w:tc>
          <w:tcPr>
            <w:tcW w:w="2494" w:type="dxa"/>
            <w:shd w:val="clear" w:color="auto" w:fill="auto"/>
            <w:noWrap/>
            <w:vAlign w:val="center"/>
          </w:tcPr>
          <w:p w14:paraId="52ADA565"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DMZ区域</w:t>
            </w:r>
          </w:p>
        </w:tc>
        <w:tc>
          <w:tcPr>
            <w:tcW w:w="2184" w:type="dxa"/>
            <w:shd w:val="clear" w:color="auto" w:fill="auto"/>
            <w:noWrap/>
            <w:vAlign w:val="center"/>
          </w:tcPr>
          <w:p w14:paraId="6AAEFE16"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深信服堡垒机</w:t>
            </w:r>
          </w:p>
        </w:tc>
        <w:tc>
          <w:tcPr>
            <w:tcW w:w="792" w:type="dxa"/>
            <w:shd w:val="clear" w:color="auto" w:fill="auto"/>
            <w:noWrap/>
            <w:vAlign w:val="center"/>
          </w:tcPr>
          <w:p w14:paraId="56568F7F"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767" w:type="dxa"/>
            <w:shd w:val="clear" w:color="auto" w:fill="auto"/>
            <w:noWrap/>
            <w:vAlign w:val="center"/>
          </w:tcPr>
          <w:p w14:paraId="51CBDE7E"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15235C12"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w:t>
            </w:r>
          </w:p>
        </w:tc>
      </w:tr>
      <w:tr w:rsidR="001B478F" w:rsidRPr="001B478F" w14:paraId="7B62331F" w14:textId="77777777" w:rsidTr="00341051">
        <w:trPr>
          <w:trHeight w:val="312"/>
          <w:jc w:val="center"/>
        </w:trPr>
        <w:tc>
          <w:tcPr>
            <w:tcW w:w="704" w:type="dxa"/>
            <w:vAlign w:val="center"/>
          </w:tcPr>
          <w:p w14:paraId="12757E3D"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8</w:t>
            </w:r>
          </w:p>
        </w:tc>
        <w:tc>
          <w:tcPr>
            <w:tcW w:w="2494" w:type="dxa"/>
            <w:shd w:val="clear" w:color="auto" w:fill="auto"/>
            <w:noWrap/>
            <w:vAlign w:val="center"/>
          </w:tcPr>
          <w:p w14:paraId="40789CAA"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内网区域</w:t>
            </w:r>
          </w:p>
        </w:tc>
        <w:tc>
          <w:tcPr>
            <w:tcW w:w="2184" w:type="dxa"/>
            <w:shd w:val="clear" w:color="auto" w:fill="auto"/>
            <w:noWrap/>
            <w:vAlign w:val="center"/>
          </w:tcPr>
          <w:p w14:paraId="6E1EE991"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零信任控制中心ZTA-C</w:t>
            </w:r>
          </w:p>
        </w:tc>
        <w:tc>
          <w:tcPr>
            <w:tcW w:w="792" w:type="dxa"/>
            <w:shd w:val="clear" w:color="auto" w:fill="auto"/>
            <w:noWrap/>
            <w:vAlign w:val="center"/>
          </w:tcPr>
          <w:p w14:paraId="32F34847"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767" w:type="dxa"/>
            <w:shd w:val="clear" w:color="auto" w:fill="auto"/>
            <w:noWrap/>
            <w:vAlign w:val="center"/>
          </w:tcPr>
          <w:p w14:paraId="3A289526"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41EEA5FA"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w:t>
            </w:r>
          </w:p>
        </w:tc>
      </w:tr>
      <w:tr w:rsidR="001B478F" w:rsidRPr="001B478F" w14:paraId="4AC9EB7D" w14:textId="77777777" w:rsidTr="00341051">
        <w:trPr>
          <w:trHeight w:val="312"/>
          <w:jc w:val="center"/>
        </w:trPr>
        <w:tc>
          <w:tcPr>
            <w:tcW w:w="704" w:type="dxa"/>
            <w:vAlign w:val="center"/>
          </w:tcPr>
          <w:p w14:paraId="01501B29"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9</w:t>
            </w:r>
          </w:p>
        </w:tc>
        <w:tc>
          <w:tcPr>
            <w:tcW w:w="2494" w:type="dxa"/>
            <w:shd w:val="clear" w:color="auto" w:fill="auto"/>
            <w:noWrap/>
            <w:vAlign w:val="center"/>
          </w:tcPr>
          <w:p w14:paraId="792EA0C6"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内网区域</w:t>
            </w:r>
          </w:p>
        </w:tc>
        <w:tc>
          <w:tcPr>
            <w:tcW w:w="2184" w:type="dxa"/>
            <w:shd w:val="clear" w:color="auto" w:fill="auto"/>
            <w:vAlign w:val="center"/>
          </w:tcPr>
          <w:p w14:paraId="0CDAC492"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深信服零信任安全代理网关ZTA-SDP</w:t>
            </w:r>
          </w:p>
        </w:tc>
        <w:tc>
          <w:tcPr>
            <w:tcW w:w="792" w:type="dxa"/>
            <w:shd w:val="clear" w:color="auto" w:fill="auto"/>
            <w:noWrap/>
            <w:vAlign w:val="center"/>
          </w:tcPr>
          <w:p w14:paraId="3FB3BEA0"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767" w:type="dxa"/>
            <w:shd w:val="clear" w:color="auto" w:fill="auto"/>
            <w:noWrap/>
            <w:vAlign w:val="center"/>
          </w:tcPr>
          <w:p w14:paraId="6DA4D2B2"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6733D6F2"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w:t>
            </w:r>
          </w:p>
        </w:tc>
      </w:tr>
      <w:tr w:rsidR="001B478F" w:rsidRPr="001B478F" w14:paraId="23AB9D17" w14:textId="77777777" w:rsidTr="00341051">
        <w:trPr>
          <w:trHeight w:val="312"/>
          <w:jc w:val="center"/>
        </w:trPr>
        <w:tc>
          <w:tcPr>
            <w:tcW w:w="704" w:type="dxa"/>
            <w:vAlign w:val="center"/>
          </w:tcPr>
          <w:p w14:paraId="3F5BF1A1"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r w:rsidRPr="001B478F">
              <w:rPr>
                <w:rFonts w:ascii="宋体" w:eastAsia="宋体" w:hAnsi="宋体"/>
                <w:sz w:val="24"/>
                <w:szCs w:val="24"/>
              </w:rPr>
              <w:t>0</w:t>
            </w:r>
          </w:p>
        </w:tc>
        <w:tc>
          <w:tcPr>
            <w:tcW w:w="2494" w:type="dxa"/>
            <w:shd w:val="clear" w:color="auto" w:fill="auto"/>
            <w:noWrap/>
            <w:vAlign w:val="center"/>
          </w:tcPr>
          <w:p w14:paraId="45517173"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内网区域</w:t>
            </w:r>
          </w:p>
        </w:tc>
        <w:tc>
          <w:tcPr>
            <w:tcW w:w="2184" w:type="dxa"/>
            <w:shd w:val="clear" w:color="auto" w:fill="auto"/>
            <w:noWrap/>
            <w:vAlign w:val="center"/>
          </w:tcPr>
          <w:p w14:paraId="607A18F3"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深信服VPN</w:t>
            </w:r>
          </w:p>
        </w:tc>
        <w:tc>
          <w:tcPr>
            <w:tcW w:w="792" w:type="dxa"/>
            <w:shd w:val="clear" w:color="auto" w:fill="auto"/>
            <w:noWrap/>
            <w:vAlign w:val="center"/>
          </w:tcPr>
          <w:p w14:paraId="471C09C1"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767" w:type="dxa"/>
            <w:shd w:val="clear" w:color="auto" w:fill="auto"/>
            <w:noWrap/>
            <w:vAlign w:val="center"/>
          </w:tcPr>
          <w:p w14:paraId="19AF0509"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6A60EE87"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w:t>
            </w:r>
          </w:p>
        </w:tc>
      </w:tr>
      <w:tr w:rsidR="001B478F" w:rsidRPr="001B478F" w14:paraId="19BF7443" w14:textId="77777777" w:rsidTr="00341051">
        <w:trPr>
          <w:trHeight w:val="312"/>
          <w:jc w:val="center"/>
        </w:trPr>
        <w:tc>
          <w:tcPr>
            <w:tcW w:w="704" w:type="dxa"/>
            <w:vAlign w:val="center"/>
          </w:tcPr>
          <w:p w14:paraId="09B6525A"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r w:rsidRPr="001B478F">
              <w:rPr>
                <w:rFonts w:ascii="宋体" w:eastAsia="宋体" w:hAnsi="宋体"/>
                <w:sz w:val="24"/>
                <w:szCs w:val="24"/>
              </w:rPr>
              <w:t>1</w:t>
            </w:r>
          </w:p>
        </w:tc>
        <w:tc>
          <w:tcPr>
            <w:tcW w:w="2494" w:type="dxa"/>
            <w:shd w:val="clear" w:color="auto" w:fill="auto"/>
            <w:noWrap/>
            <w:vAlign w:val="center"/>
          </w:tcPr>
          <w:p w14:paraId="3281F5C0"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内网区域</w:t>
            </w:r>
          </w:p>
        </w:tc>
        <w:tc>
          <w:tcPr>
            <w:tcW w:w="2184" w:type="dxa"/>
            <w:shd w:val="clear" w:color="auto" w:fill="auto"/>
            <w:noWrap/>
            <w:vAlign w:val="center"/>
          </w:tcPr>
          <w:p w14:paraId="3EBDA349"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深信服沙箱</w:t>
            </w:r>
          </w:p>
        </w:tc>
        <w:tc>
          <w:tcPr>
            <w:tcW w:w="792" w:type="dxa"/>
            <w:shd w:val="clear" w:color="auto" w:fill="auto"/>
            <w:noWrap/>
            <w:vAlign w:val="center"/>
          </w:tcPr>
          <w:p w14:paraId="0C2E0DE0"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767" w:type="dxa"/>
            <w:shd w:val="clear" w:color="auto" w:fill="auto"/>
            <w:noWrap/>
            <w:vAlign w:val="center"/>
          </w:tcPr>
          <w:p w14:paraId="5DD7027F"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1C879DDA"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w:t>
            </w:r>
          </w:p>
        </w:tc>
      </w:tr>
      <w:tr w:rsidR="001B478F" w:rsidRPr="001B478F" w14:paraId="2BF0FD57" w14:textId="77777777" w:rsidTr="00341051">
        <w:trPr>
          <w:trHeight w:val="312"/>
          <w:jc w:val="center"/>
        </w:trPr>
        <w:tc>
          <w:tcPr>
            <w:tcW w:w="704" w:type="dxa"/>
            <w:vAlign w:val="center"/>
          </w:tcPr>
          <w:p w14:paraId="60DBED6E"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r w:rsidRPr="001B478F">
              <w:rPr>
                <w:rFonts w:ascii="宋体" w:eastAsia="宋体" w:hAnsi="宋体"/>
                <w:sz w:val="24"/>
                <w:szCs w:val="24"/>
              </w:rPr>
              <w:t>2</w:t>
            </w:r>
          </w:p>
        </w:tc>
        <w:tc>
          <w:tcPr>
            <w:tcW w:w="2494" w:type="dxa"/>
            <w:shd w:val="clear" w:color="auto" w:fill="auto"/>
            <w:noWrap/>
            <w:vAlign w:val="center"/>
          </w:tcPr>
          <w:p w14:paraId="70306C8D"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内网区域</w:t>
            </w:r>
          </w:p>
        </w:tc>
        <w:tc>
          <w:tcPr>
            <w:tcW w:w="2184" w:type="dxa"/>
            <w:shd w:val="clear" w:color="auto" w:fill="auto"/>
            <w:noWrap/>
            <w:vAlign w:val="center"/>
          </w:tcPr>
          <w:p w14:paraId="0CC14407"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泄密审计系统</w:t>
            </w:r>
          </w:p>
        </w:tc>
        <w:tc>
          <w:tcPr>
            <w:tcW w:w="792" w:type="dxa"/>
            <w:shd w:val="clear" w:color="auto" w:fill="auto"/>
            <w:noWrap/>
            <w:vAlign w:val="center"/>
          </w:tcPr>
          <w:p w14:paraId="6D5B7C1C"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767" w:type="dxa"/>
            <w:shd w:val="clear" w:color="auto" w:fill="auto"/>
            <w:noWrap/>
            <w:vAlign w:val="center"/>
          </w:tcPr>
          <w:p w14:paraId="69B52785"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65BA0224"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深信服</w:t>
            </w:r>
          </w:p>
        </w:tc>
      </w:tr>
      <w:tr w:rsidR="001B478F" w:rsidRPr="001B478F" w14:paraId="39EE485A" w14:textId="77777777" w:rsidTr="00341051">
        <w:trPr>
          <w:trHeight w:val="312"/>
          <w:jc w:val="center"/>
        </w:trPr>
        <w:tc>
          <w:tcPr>
            <w:tcW w:w="704" w:type="dxa"/>
            <w:vAlign w:val="center"/>
          </w:tcPr>
          <w:p w14:paraId="5733B969"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r w:rsidRPr="001B478F">
              <w:rPr>
                <w:rFonts w:ascii="宋体" w:eastAsia="宋体" w:hAnsi="宋体"/>
                <w:sz w:val="24"/>
                <w:szCs w:val="24"/>
              </w:rPr>
              <w:t>3</w:t>
            </w:r>
          </w:p>
        </w:tc>
        <w:tc>
          <w:tcPr>
            <w:tcW w:w="2494" w:type="dxa"/>
            <w:shd w:val="clear" w:color="auto" w:fill="auto"/>
            <w:noWrap/>
            <w:vAlign w:val="center"/>
          </w:tcPr>
          <w:p w14:paraId="765CE3EF"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内网区域</w:t>
            </w:r>
          </w:p>
        </w:tc>
        <w:tc>
          <w:tcPr>
            <w:tcW w:w="2184" w:type="dxa"/>
            <w:shd w:val="clear" w:color="auto" w:fill="auto"/>
            <w:noWrap/>
            <w:vAlign w:val="center"/>
          </w:tcPr>
          <w:p w14:paraId="64A12C27"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安全数据摆渡系统</w:t>
            </w:r>
          </w:p>
        </w:tc>
        <w:tc>
          <w:tcPr>
            <w:tcW w:w="792" w:type="dxa"/>
            <w:shd w:val="clear" w:color="auto" w:fill="auto"/>
            <w:noWrap/>
            <w:vAlign w:val="center"/>
          </w:tcPr>
          <w:p w14:paraId="1627B667"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767" w:type="dxa"/>
            <w:shd w:val="clear" w:color="auto" w:fill="auto"/>
            <w:noWrap/>
            <w:vAlign w:val="center"/>
          </w:tcPr>
          <w:p w14:paraId="0C8D45EB"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22BFFA33"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联软</w:t>
            </w:r>
          </w:p>
        </w:tc>
      </w:tr>
      <w:tr w:rsidR="001B478F" w:rsidRPr="001B478F" w14:paraId="744F3A6F" w14:textId="77777777" w:rsidTr="00341051">
        <w:trPr>
          <w:trHeight w:val="312"/>
          <w:jc w:val="center"/>
        </w:trPr>
        <w:tc>
          <w:tcPr>
            <w:tcW w:w="704" w:type="dxa"/>
            <w:vAlign w:val="center"/>
          </w:tcPr>
          <w:p w14:paraId="055A65A9"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14</w:t>
            </w:r>
          </w:p>
        </w:tc>
        <w:tc>
          <w:tcPr>
            <w:tcW w:w="2494" w:type="dxa"/>
            <w:shd w:val="clear" w:color="auto" w:fill="auto"/>
            <w:noWrap/>
            <w:vAlign w:val="center"/>
          </w:tcPr>
          <w:p w14:paraId="77FACA60"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内网区域</w:t>
            </w:r>
          </w:p>
        </w:tc>
        <w:tc>
          <w:tcPr>
            <w:tcW w:w="2184" w:type="dxa"/>
            <w:shd w:val="clear" w:color="auto" w:fill="auto"/>
            <w:noWrap/>
            <w:vAlign w:val="center"/>
          </w:tcPr>
          <w:p w14:paraId="6B32B7BD"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极地堡垒机</w:t>
            </w:r>
          </w:p>
        </w:tc>
        <w:tc>
          <w:tcPr>
            <w:tcW w:w="792" w:type="dxa"/>
            <w:shd w:val="clear" w:color="auto" w:fill="auto"/>
            <w:noWrap/>
            <w:vAlign w:val="center"/>
          </w:tcPr>
          <w:p w14:paraId="13BFB909"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2</w:t>
            </w:r>
          </w:p>
        </w:tc>
        <w:tc>
          <w:tcPr>
            <w:tcW w:w="767" w:type="dxa"/>
            <w:shd w:val="clear" w:color="auto" w:fill="auto"/>
            <w:noWrap/>
            <w:vAlign w:val="center"/>
          </w:tcPr>
          <w:p w14:paraId="3D2A4CFC"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1AD83AAA"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极地</w:t>
            </w:r>
          </w:p>
        </w:tc>
      </w:tr>
      <w:tr w:rsidR="001B478F" w:rsidRPr="001B478F" w14:paraId="666DCC77" w14:textId="77777777" w:rsidTr="00341051">
        <w:trPr>
          <w:trHeight w:val="312"/>
          <w:jc w:val="center"/>
        </w:trPr>
        <w:tc>
          <w:tcPr>
            <w:tcW w:w="704" w:type="dxa"/>
            <w:shd w:val="clear" w:color="000000" w:fill="FFFFFF"/>
            <w:vAlign w:val="center"/>
          </w:tcPr>
          <w:p w14:paraId="1E81BABF"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15</w:t>
            </w:r>
          </w:p>
        </w:tc>
        <w:tc>
          <w:tcPr>
            <w:tcW w:w="2494" w:type="dxa"/>
            <w:shd w:val="clear" w:color="000000" w:fill="FFFFFF"/>
            <w:noWrap/>
            <w:vAlign w:val="center"/>
          </w:tcPr>
          <w:p w14:paraId="71E60621"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DMZ区域</w:t>
            </w:r>
          </w:p>
        </w:tc>
        <w:tc>
          <w:tcPr>
            <w:tcW w:w="2184" w:type="dxa"/>
            <w:shd w:val="clear" w:color="000000" w:fill="FFFFFF"/>
            <w:noWrap/>
            <w:vAlign w:val="center"/>
          </w:tcPr>
          <w:p w14:paraId="20860A8A"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天融信出口防火墙-A</w:t>
            </w:r>
          </w:p>
        </w:tc>
        <w:tc>
          <w:tcPr>
            <w:tcW w:w="792" w:type="dxa"/>
            <w:shd w:val="clear" w:color="000000" w:fill="FFFFFF"/>
            <w:noWrap/>
            <w:vAlign w:val="center"/>
          </w:tcPr>
          <w:p w14:paraId="514F0EFF"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2</w:t>
            </w:r>
          </w:p>
        </w:tc>
        <w:tc>
          <w:tcPr>
            <w:tcW w:w="767" w:type="dxa"/>
            <w:shd w:val="clear" w:color="000000" w:fill="FFFFFF"/>
            <w:noWrap/>
            <w:vAlign w:val="center"/>
          </w:tcPr>
          <w:p w14:paraId="60FF35AF"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shd w:val="clear" w:color="000000" w:fill="FFFFFF"/>
            <w:vAlign w:val="center"/>
          </w:tcPr>
          <w:p w14:paraId="39BB6DBD"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天融信</w:t>
            </w:r>
          </w:p>
        </w:tc>
      </w:tr>
      <w:tr w:rsidR="001B478F" w:rsidRPr="001B478F" w14:paraId="2595B2C2" w14:textId="77777777" w:rsidTr="00341051">
        <w:trPr>
          <w:trHeight w:val="312"/>
          <w:jc w:val="center"/>
        </w:trPr>
        <w:tc>
          <w:tcPr>
            <w:tcW w:w="704" w:type="dxa"/>
            <w:vAlign w:val="center"/>
          </w:tcPr>
          <w:p w14:paraId="1D49E526"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16</w:t>
            </w:r>
          </w:p>
        </w:tc>
        <w:tc>
          <w:tcPr>
            <w:tcW w:w="2494" w:type="dxa"/>
            <w:shd w:val="clear" w:color="auto" w:fill="auto"/>
            <w:noWrap/>
            <w:vAlign w:val="center"/>
          </w:tcPr>
          <w:p w14:paraId="36E89635"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DMZ区域</w:t>
            </w:r>
          </w:p>
        </w:tc>
        <w:tc>
          <w:tcPr>
            <w:tcW w:w="2184" w:type="dxa"/>
            <w:shd w:val="clear" w:color="auto" w:fill="auto"/>
            <w:noWrap/>
            <w:vAlign w:val="center"/>
          </w:tcPr>
          <w:p w14:paraId="13D739F6"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H3C DDOS</w:t>
            </w:r>
          </w:p>
        </w:tc>
        <w:tc>
          <w:tcPr>
            <w:tcW w:w="792" w:type="dxa"/>
            <w:shd w:val="clear" w:color="auto" w:fill="auto"/>
            <w:noWrap/>
            <w:vAlign w:val="center"/>
          </w:tcPr>
          <w:p w14:paraId="42D74984"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2</w:t>
            </w:r>
          </w:p>
        </w:tc>
        <w:tc>
          <w:tcPr>
            <w:tcW w:w="767" w:type="dxa"/>
            <w:shd w:val="clear" w:color="auto" w:fill="auto"/>
            <w:noWrap/>
            <w:vAlign w:val="center"/>
          </w:tcPr>
          <w:p w14:paraId="582C1ACD"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2F0D201D"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新华三</w:t>
            </w:r>
          </w:p>
        </w:tc>
      </w:tr>
      <w:tr w:rsidR="001B478F" w:rsidRPr="001B478F" w14:paraId="4460D589" w14:textId="77777777" w:rsidTr="00341051">
        <w:trPr>
          <w:trHeight w:val="312"/>
          <w:jc w:val="center"/>
        </w:trPr>
        <w:tc>
          <w:tcPr>
            <w:tcW w:w="704" w:type="dxa"/>
            <w:vAlign w:val="center"/>
          </w:tcPr>
          <w:p w14:paraId="7AF7751E"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17</w:t>
            </w:r>
          </w:p>
        </w:tc>
        <w:tc>
          <w:tcPr>
            <w:tcW w:w="2494" w:type="dxa"/>
            <w:shd w:val="clear" w:color="auto" w:fill="auto"/>
            <w:noWrap/>
            <w:vAlign w:val="center"/>
          </w:tcPr>
          <w:p w14:paraId="02550C65"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交换机</w:t>
            </w:r>
          </w:p>
        </w:tc>
        <w:tc>
          <w:tcPr>
            <w:tcW w:w="2184" w:type="dxa"/>
            <w:shd w:val="clear" w:color="auto" w:fill="auto"/>
            <w:noWrap/>
            <w:vAlign w:val="center"/>
          </w:tcPr>
          <w:p w14:paraId="13C921FC"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接入级交换机</w:t>
            </w:r>
          </w:p>
        </w:tc>
        <w:tc>
          <w:tcPr>
            <w:tcW w:w="792" w:type="dxa"/>
            <w:shd w:val="clear" w:color="auto" w:fill="auto"/>
            <w:noWrap/>
            <w:vAlign w:val="center"/>
          </w:tcPr>
          <w:p w14:paraId="2629893B"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sz w:val="24"/>
                <w:szCs w:val="24"/>
              </w:rPr>
              <w:t>8</w:t>
            </w:r>
            <w:r w:rsidRPr="001B478F">
              <w:rPr>
                <w:rFonts w:ascii="宋体" w:eastAsia="宋体" w:hAnsi="宋体" w:hint="eastAsia"/>
                <w:sz w:val="24"/>
                <w:szCs w:val="24"/>
              </w:rPr>
              <w:t>00</w:t>
            </w:r>
          </w:p>
        </w:tc>
        <w:tc>
          <w:tcPr>
            <w:tcW w:w="767" w:type="dxa"/>
            <w:shd w:val="clear" w:color="auto" w:fill="auto"/>
            <w:noWrap/>
            <w:vAlign w:val="center"/>
          </w:tcPr>
          <w:p w14:paraId="22826E42"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00CC9AF2"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华为/思科/新华三</w:t>
            </w:r>
          </w:p>
        </w:tc>
      </w:tr>
      <w:tr w:rsidR="001B478F" w:rsidRPr="001B478F" w14:paraId="450438F4" w14:textId="77777777" w:rsidTr="00341051">
        <w:trPr>
          <w:trHeight w:val="312"/>
          <w:jc w:val="center"/>
        </w:trPr>
        <w:tc>
          <w:tcPr>
            <w:tcW w:w="704" w:type="dxa"/>
            <w:vAlign w:val="center"/>
          </w:tcPr>
          <w:p w14:paraId="51ECB546"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18</w:t>
            </w:r>
          </w:p>
        </w:tc>
        <w:tc>
          <w:tcPr>
            <w:tcW w:w="2494" w:type="dxa"/>
            <w:shd w:val="clear" w:color="auto" w:fill="auto"/>
            <w:noWrap/>
            <w:vAlign w:val="center"/>
          </w:tcPr>
          <w:p w14:paraId="00F30ED5"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无线控制器</w:t>
            </w:r>
          </w:p>
        </w:tc>
        <w:tc>
          <w:tcPr>
            <w:tcW w:w="2184" w:type="dxa"/>
            <w:shd w:val="clear" w:color="auto" w:fill="auto"/>
            <w:noWrap/>
            <w:vAlign w:val="center"/>
          </w:tcPr>
          <w:p w14:paraId="078CB109"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AC</w:t>
            </w:r>
          </w:p>
        </w:tc>
        <w:tc>
          <w:tcPr>
            <w:tcW w:w="792" w:type="dxa"/>
            <w:shd w:val="clear" w:color="auto" w:fill="auto"/>
            <w:noWrap/>
            <w:vAlign w:val="center"/>
          </w:tcPr>
          <w:p w14:paraId="3B706DD4"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4套</w:t>
            </w:r>
          </w:p>
        </w:tc>
        <w:tc>
          <w:tcPr>
            <w:tcW w:w="767" w:type="dxa"/>
            <w:shd w:val="clear" w:color="auto" w:fill="auto"/>
            <w:noWrap/>
            <w:vAlign w:val="center"/>
          </w:tcPr>
          <w:p w14:paraId="63322EE6"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173E1DA6"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华为/aruba</w:t>
            </w:r>
          </w:p>
        </w:tc>
      </w:tr>
      <w:tr w:rsidR="001B478F" w:rsidRPr="001B478F" w14:paraId="732E3CF9" w14:textId="77777777" w:rsidTr="00341051">
        <w:trPr>
          <w:trHeight w:val="312"/>
          <w:jc w:val="center"/>
        </w:trPr>
        <w:tc>
          <w:tcPr>
            <w:tcW w:w="704" w:type="dxa"/>
            <w:vAlign w:val="center"/>
          </w:tcPr>
          <w:p w14:paraId="4E09C5B3"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19</w:t>
            </w:r>
          </w:p>
        </w:tc>
        <w:tc>
          <w:tcPr>
            <w:tcW w:w="2494" w:type="dxa"/>
            <w:shd w:val="clear" w:color="auto" w:fill="auto"/>
            <w:noWrap/>
            <w:vAlign w:val="center"/>
          </w:tcPr>
          <w:p w14:paraId="67F254CB"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无线AP（华为）</w:t>
            </w:r>
          </w:p>
        </w:tc>
        <w:tc>
          <w:tcPr>
            <w:tcW w:w="2184" w:type="dxa"/>
            <w:shd w:val="clear" w:color="auto" w:fill="auto"/>
            <w:noWrap/>
            <w:vAlign w:val="center"/>
          </w:tcPr>
          <w:p w14:paraId="56ABD7BF"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华为 AP</w:t>
            </w:r>
          </w:p>
        </w:tc>
        <w:tc>
          <w:tcPr>
            <w:tcW w:w="792" w:type="dxa"/>
            <w:shd w:val="clear" w:color="auto" w:fill="auto"/>
            <w:noWrap/>
            <w:vAlign w:val="center"/>
          </w:tcPr>
          <w:p w14:paraId="198098B9"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sz w:val="24"/>
                <w:szCs w:val="24"/>
              </w:rPr>
              <w:t>1</w:t>
            </w:r>
            <w:r w:rsidRPr="001B478F">
              <w:rPr>
                <w:rFonts w:ascii="宋体" w:eastAsia="宋体" w:hAnsi="宋体" w:hint="eastAsia"/>
                <w:sz w:val="24"/>
                <w:szCs w:val="24"/>
              </w:rPr>
              <w:t>800</w:t>
            </w:r>
          </w:p>
        </w:tc>
        <w:tc>
          <w:tcPr>
            <w:tcW w:w="767" w:type="dxa"/>
            <w:shd w:val="clear" w:color="auto" w:fill="auto"/>
            <w:noWrap/>
            <w:vAlign w:val="center"/>
          </w:tcPr>
          <w:p w14:paraId="756FBEFB"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5AFE91DA"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华为</w:t>
            </w:r>
          </w:p>
        </w:tc>
      </w:tr>
      <w:tr w:rsidR="001B478F" w:rsidRPr="001B478F" w14:paraId="529BADEB" w14:textId="77777777" w:rsidTr="00341051">
        <w:trPr>
          <w:trHeight w:val="312"/>
          <w:jc w:val="center"/>
        </w:trPr>
        <w:tc>
          <w:tcPr>
            <w:tcW w:w="704" w:type="dxa"/>
            <w:vAlign w:val="center"/>
          </w:tcPr>
          <w:p w14:paraId="4FE6020F"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20</w:t>
            </w:r>
          </w:p>
        </w:tc>
        <w:tc>
          <w:tcPr>
            <w:tcW w:w="2494" w:type="dxa"/>
            <w:shd w:val="clear" w:color="auto" w:fill="auto"/>
            <w:noWrap/>
            <w:vAlign w:val="center"/>
          </w:tcPr>
          <w:p w14:paraId="45E9DEFA"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华为核心交换机（奉贤院区）</w:t>
            </w:r>
          </w:p>
        </w:tc>
        <w:tc>
          <w:tcPr>
            <w:tcW w:w="2184" w:type="dxa"/>
            <w:shd w:val="clear" w:color="auto" w:fill="auto"/>
            <w:noWrap/>
            <w:vAlign w:val="center"/>
          </w:tcPr>
          <w:p w14:paraId="381BFB61"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核心交换机</w:t>
            </w:r>
          </w:p>
        </w:tc>
        <w:tc>
          <w:tcPr>
            <w:tcW w:w="792" w:type="dxa"/>
            <w:shd w:val="clear" w:color="auto" w:fill="auto"/>
            <w:noWrap/>
            <w:vAlign w:val="center"/>
          </w:tcPr>
          <w:p w14:paraId="24879AEC"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4</w:t>
            </w:r>
          </w:p>
        </w:tc>
        <w:tc>
          <w:tcPr>
            <w:tcW w:w="767" w:type="dxa"/>
            <w:shd w:val="clear" w:color="auto" w:fill="auto"/>
            <w:noWrap/>
            <w:vAlign w:val="center"/>
          </w:tcPr>
          <w:p w14:paraId="014F0BAE"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507FD1AD"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华为</w:t>
            </w:r>
          </w:p>
        </w:tc>
      </w:tr>
      <w:tr w:rsidR="001B478F" w:rsidRPr="001B478F" w14:paraId="30DECF24" w14:textId="77777777" w:rsidTr="00341051">
        <w:trPr>
          <w:trHeight w:val="312"/>
          <w:jc w:val="center"/>
        </w:trPr>
        <w:tc>
          <w:tcPr>
            <w:tcW w:w="704" w:type="dxa"/>
            <w:vAlign w:val="center"/>
          </w:tcPr>
          <w:p w14:paraId="396BEE08"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lastRenderedPageBreak/>
              <w:t>21</w:t>
            </w:r>
          </w:p>
        </w:tc>
        <w:tc>
          <w:tcPr>
            <w:tcW w:w="2494" w:type="dxa"/>
            <w:shd w:val="clear" w:color="auto" w:fill="auto"/>
            <w:noWrap/>
            <w:vAlign w:val="center"/>
          </w:tcPr>
          <w:p w14:paraId="7C9784B1"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华为汇聚交换机（奉贤院区）</w:t>
            </w:r>
          </w:p>
        </w:tc>
        <w:tc>
          <w:tcPr>
            <w:tcW w:w="2184" w:type="dxa"/>
            <w:shd w:val="clear" w:color="auto" w:fill="auto"/>
            <w:noWrap/>
            <w:vAlign w:val="center"/>
          </w:tcPr>
          <w:p w14:paraId="5BCA67B2"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汇聚交换机</w:t>
            </w:r>
          </w:p>
        </w:tc>
        <w:tc>
          <w:tcPr>
            <w:tcW w:w="792" w:type="dxa"/>
            <w:shd w:val="clear" w:color="auto" w:fill="auto"/>
            <w:noWrap/>
            <w:vAlign w:val="center"/>
          </w:tcPr>
          <w:p w14:paraId="7EF8F8FE"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r w:rsidRPr="001B478F">
              <w:rPr>
                <w:rFonts w:ascii="宋体" w:eastAsia="宋体" w:hAnsi="宋体"/>
                <w:sz w:val="24"/>
                <w:szCs w:val="24"/>
              </w:rPr>
              <w:t>2</w:t>
            </w:r>
          </w:p>
        </w:tc>
        <w:tc>
          <w:tcPr>
            <w:tcW w:w="767" w:type="dxa"/>
            <w:shd w:val="clear" w:color="auto" w:fill="auto"/>
            <w:noWrap/>
            <w:vAlign w:val="center"/>
          </w:tcPr>
          <w:p w14:paraId="3075269B"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1956C561"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华为</w:t>
            </w:r>
          </w:p>
        </w:tc>
      </w:tr>
      <w:tr w:rsidR="001B478F" w:rsidRPr="001B478F" w14:paraId="5DA8AC28" w14:textId="77777777" w:rsidTr="00341051">
        <w:trPr>
          <w:trHeight w:val="312"/>
          <w:jc w:val="center"/>
        </w:trPr>
        <w:tc>
          <w:tcPr>
            <w:tcW w:w="704" w:type="dxa"/>
            <w:vAlign w:val="center"/>
          </w:tcPr>
          <w:p w14:paraId="6EBD54B1"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22</w:t>
            </w:r>
          </w:p>
        </w:tc>
        <w:tc>
          <w:tcPr>
            <w:tcW w:w="2494" w:type="dxa"/>
            <w:shd w:val="clear" w:color="auto" w:fill="auto"/>
            <w:noWrap/>
            <w:vAlign w:val="center"/>
          </w:tcPr>
          <w:p w14:paraId="7067087A"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华为数据中心交换机（奉贤院区）</w:t>
            </w:r>
          </w:p>
        </w:tc>
        <w:tc>
          <w:tcPr>
            <w:tcW w:w="2184" w:type="dxa"/>
            <w:shd w:val="clear" w:color="auto" w:fill="auto"/>
            <w:noWrap/>
            <w:vAlign w:val="center"/>
          </w:tcPr>
          <w:p w14:paraId="3BBD2C07"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数据中心交换机</w:t>
            </w:r>
          </w:p>
        </w:tc>
        <w:tc>
          <w:tcPr>
            <w:tcW w:w="792" w:type="dxa"/>
            <w:shd w:val="clear" w:color="auto" w:fill="auto"/>
            <w:noWrap/>
            <w:vAlign w:val="center"/>
          </w:tcPr>
          <w:p w14:paraId="634EDE2F"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2</w:t>
            </w:r>
          </w:p>
        </w:tc>
        <w:tc>
          <w:tcPr>
            <w:tcW w:w="767" w:type="dxa"/>
            <w:shd w:val="clear" w:color="auto" w:fill="auto"/>
            <w:noWrap/>
            <w:vAlign w:val="center"/>
          </w:tcPr>
          <w:p w14:paraId="63AEA284"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1</w:t>
            </w:r>
          </w:p>
        </w:tc>
        <w:tc>
          <w:tcPr>
            <w:tcW w:w="1355" w:type="dxa"/>
            <w:vAlign w:val="center"/>
          </w:tcPr>
          <w:p w14:paraId="3D9D7BF1" w14:textId="77777777" w:rsidR="001B478F" w:rsidRPr="001B478F" w:rsidRDefault="001B478F" w:rsidP="00341051">
            <w:pPr>
              <w:wordWrap w:val="0"/>
              <w:spacing w:line="360" w:lineRule="auto"/>
              <w:jc w:val="center"/>
              <w:rPr>
                <w:rFonts w:ascii="宋体" w:eastAsia="宋体" w:hAnsi="宋体"/>
                <w:sz w:val="24"/>
                <w:szCs w:val="24"/>
              </w:rPr>
            </w:pPr>
            <w:r w:rsidRPr="001B478F">
              <w:rPr>
                <w:rFonts w:ascii="宋体" w:eastAsia="宋体" w:hAnsi="宋体" w:hint="eastAsia"/>
                <w:sz w:val="24"/>
                <w:szCs w:val="24"/>
              </w:rPr>
              <w:t>华为</w:t>
            </w:r>
          </w:p>
        </w:tc>
      </w:tr>
    </w:tbl>
    <w:p w14:paraId="2AE1720B" w14:textId="77777777" w:rsidR="001B478F" w:rsidRPr="001B478F" w:rsidRDefault="001B478F" w:rsidP="001B478F">
      <w:pPr>
        <w:wordWrap w:val="0"/>
        <w:spacing w:line="360" w:lineRule="auto"/>
        <w:rPr>
          <w:rFonts w:ascii="宋体" w:eastAsia="宋体" w:hAnsi="宋体"/>
          <w:sz w:val="24"/>
          <w:szCs w:val="24"/>
        </w:rPr>
      </w:pPr>
    </w:p>
    <w:p w14:paraId="25E0DEF9" w14:textId="77777777" w:rsidR="001B478F" w:rsidRPr="001B478F" w:rsidRDefault="001B478F" w:rsidP="001B478F">
      <w:pPr>
        <w:autoSpaceDE w:val="0"/>
        <w:autoSpaceDN w:val="0"/>
        <w:adjustRightInd w:val="0"/>
        <w:spacing w:after="200" w:line="360" w:lineRule="auto"/>
        <w:rPr>
          <w:rFonts w:ascii="宋体" w:eastAsia="宋体" w:hAnsi="宋体" w:cs="宋体" w:hint="eastAsia"/>
          <w:b/>
          <w:sz w:val="24"/>
          <w:szCs w:val="24"/>
          <w:lang w:val="zh-CN"/>
        </w:rPr>
      </w:pPr>
      <w:r w:rsidRPr="001B478F">
        <w:rPr>
          <w:rFonts w:ascii="宋体" w:eastAsia="宋体" w:hAnsi="宋体" w:cs="宋体" w:hint="eastAsia"/>
          <w:b/>
          <w:sz w:val="24"/>
          <w:szCs w:val="24"/>
          <w:lang w:val="zh-CN"/>
        </w:rPr>
        <w:t>三、服务要求</w:t>
      </w:r>
    </w:p>
    <w:p w14:paraId="3ED6BB2B"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noProof/>
          <w:sz w:val="24"/>
          <w:szCs w:val="24"/>
        </w:rPr>
        <w:drawing>
          <wp:inline distT="0" distB="0" distL="0" distR="0" wp14:anchorId="071D9A7D" wp14:editId="15BC660F">
            <wp:extent cx="635" cy="635"/>
            <wp:effectExtent l="0" t="0" r="0" b="0"/>
            <wp:docPr id="2" name="上海观安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上海观安信息"/>
                    <pic:cNvPicPr>
                      <a:picLocks noChangeAspect="1"/>
                    </pic:cNvPicPr>
                  </pic:nvPicPr>
                  <pic:blipFill>
                    <a:blip r:embed="rId7"/>
                    <a:stretch>
                      <a:fillRect/>
                    </a:stretch>
                  </pic:blipFill>
                  <pic:spPr>
                    <a:xfrm>
                      <a:off x="0" y="0"/>
                      <a:ext cx="635" cy="635"/>
                    </a:xfrm>
                    <a:prstGeom prst="rect">
                      <a:avLst/>
                    </a:prstGeom>
                  </pic:spPr>
                </pic:pic>
              </a:graphicData>
            </a:graphic>
          </wp:inline>
        </w:drawing>
      </w:r>
      <w:r w:rsidRPr="001B478F">
        <w:rPr>
          <w:rFonts w:ascii="宋体" w:eastAsia="宋体" w:hAnsi="宋体" w:hint="eastAsia"/>
          <w:sz w:val="24"/>
          <w:szCs w:val="24"/>
        </w:rPr>
        <w:t>1</w:t>
      </w:r>
      <w:r w:rsidRPr="001B478F">
        <w:rPr>
          <w:rFonts w:ascii="宋体" w:eastAsia="宋体" w:hAnsi="宋体"/>
          <w:sz w:val="24"/>
          <w:szCs w:val="24"/>
        </w:rPr>
        <w:t>.</w:t>
      </w:r>
      <w:r w:rsidRPr="001B478F">
        <w:rPr>
          <w:rFonts w:ascii="宋体" w:eastAsia="宋体" w:hAnsi="宋体" w:hint="eastAsia"/>
          <w:sz w:val="24"/>
          <w:szCs w:val="24"/>
        </w:rPr>
        <w:t>服务管理体系深化建设</w:t>
      </w:r>
    </w:p>
    <w:p w14:paraId="4ED729C0"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结合用户现状和需求，在原有的服务体系上深化，形成一套符合当前新华医院杨浦院区以及奉贤新院信息化高质量发展要求的可管理、可考核，可追溯的服务管理体系，包括服务程序、服务流程、服务规范和服务手册等。</w:t>
      </w:r>
    </w:p>
    <w:p w14:paraId="2F698F61"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2</w:t>
      </w:r>
      <w:r w:rsidRPr="001B478F">
        <w:rPr>
          <w:rFonts w:ascii="宋体" w:eastAsia="宋体" w:hAnsi="宋体"/>
          <w:sz w:val="24"/>
          <w:szCs w:val="24"/>
        </w:rPr>
        <w:t>.</w:t>
      </w:r>
      <w:r w:rsidRPr="001B478F">
        <w:rPr>
          <w:rFonts w:ascii="宋体" w:eastAsia="宋体" w:hAnsi="宋体" w:hint="eastAsia"/>
          <w:sz w:val="24"/>
          <w:szCs w:val="24"/>
        </w:rPr>
        <w:t>网络运行维护服务</w:t>
      </w:r>
    </w:p>
    <w:p w14:paraId="7FAE53E7"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服务内容包含但不限于（服务对象包含杨浦院区及奉贤院区）：</w:t>
      </w:r>
    </w:p>
    <w:p w14:paraId="5DD5B2B0"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1）网络设备监控及排障,设备硬件状态检查,日志查看分析</w:t>
      </w:r>
    </w:p>
    <w:p w14:paraId="6A34E7D2"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sz w:val="24"/>
          <w:szCs w:val="24"/>
        </w:rPr>
        <w:t>2</w:t>
      </w:r>
      <w:r w:rsidRPr="001B478F">
        <w:rPr>
          <w:rFonts w:ascii="宋体" w:eastAsia="宋体" w:hAnsi="宋体" w:hint="eastAsia"/>
          <w:sz w:val="24"/>
          <w:szCs w:val="24"/>
        </w:rPr>
        <w:t>）网络设备操作管理规范与维护手册</w:t>
      </w:r>
    </w:p>
    <w:p w14:paraId="0AAE53FC"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sz w:val="24"/>
          <w:szCs w:val="24"/>
        </w:rPr>
        <w:t>3</w:t>
      </w:r>
      <w:r w:rsidRPr="001B478F">
        <w:rPr>
          <w:rFonts w:ascii="宋体" w:eastAsia="宋体" w:hAnsi="宋体" w:hint="eastAsia"/>
          <w:sz w:val="24"/>
          <w:szCs w:val="24"/>
        </w:rPr>
        <w:t>）交换机配置（VLAN增加及调整、路由调整、配置）</w:t>
      </w:r>
    </w:p>
    <w:p w14:paraId="5CD8A537"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sz w:val="24"/>
          <w:szCs w:val="24"/>
        </w:rPr>
        <w:t>4</w:t>
      </w:r>
      <w:r w:rsidRPr="001B478F">
        <w:rPr>
          <w:rFonts w:ascii="宋体" w:eastAsia="宋体" w:hAnsi="宋体" w:hint="eastAsia"/>
          <w:sz w:val="24"/>
          <w:szCs w:val="24"/>
        </w:rPr>
        <w:t>）策略配置及配置优化,新增业务策略开通</w:t>
      </w:r>
    </w:p>
    <w:p w14:paraId="7E47116F"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sz w:val="24"/>
          <w:szCs w:val="24"/>
        </w:rPr>
        <w:t>5</w:t>
      </w:r>
      <w:r w:rsidRPr="001B478F">
        <w:rPr>
          <w:rFonts w:ascii="宋体" w:eastAsia="宋体" w:hAnsi="宋体" w:hint="eastAsia"/>
          <w:sz w:val="24"/>
          <w:szCs w:val="24"/>
        </w:rPr>
        <w:t>）网络交换设备升级与更换（IOS介质由厂商提供）</w:t>
      </w:r>
    </w:p>
    <w:p w14:paraId="0774C318"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6）网络设备事件管理服务,网络设备资产管理服务</w:t>
      </w:r>
    </w:p>
    <w:p w14:paraId="256D1543"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sz w:val="24"/>
          <w:szCs w:val="24"/>
        </w:rPr>
        <w:t>7</w:t>
      </w:r>
      <w:r w:rsidRPr="001B478F">
        <w:rPr>
          <w:rFonts w:ascii="宋体" w:eastAsia="宋体" w:hAnsi="宋体" w:hint="eastAsia"/>
          <w:sz w:val="24"/>
          <w:szCs w:val="24"/>
        </w:rPr>
        <w:t>）对网络设备进行预防性巡检，要求检测系统性能及运行状况，查验网络设备的日志文件，监控网络流量。及时发现系统的各种报警信息，并做出相应的处理和记录，如网络流量异常，要及时做出分析，提出解决方案；每次预防性检查要有详细的记录，并向用户提交检测报告（每月一次）</w:t>
      </w:r>
    </w:p>
    <w:p w14:paraId="64D55EE3"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8）全院室内外信息光缆的连通性排查：对全院室内外的信息光缆进行连通性排查，确保</w:t>
      </w:r>
      <w:r w:rsidRPr="001B478F">
        <w:rPr>
          <w:rFonts w:ascii="宋体" w:eastAsia="宋体" w:hAnsi="宋体" w:cstheme="minorHAnsi"/>
          <w:sz w:val="24"/>
          <w:szCs w:val="24"/>
        </w:rPr>
        <w:t>网络连接畅通</w:t>
      </w:r>
    </w:p>
    <w:p w14:paraId="68A62977"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sz w:val="24"/>
          <w:szCs w:val="24"/>
        </w:rPr>
        <w:t>9</w:t>
      </w:r>
      <w:r w:rsidRPr="001B478F">
        <w:rPr>
          <w:rFonts w:ascii="宋体" w:eastAsia="宋体" w:hAnsi="宋体" w:hint="eastAsia"/>
          <w:sz w:val="24"/>
          <w:szCs w:val="24"/>
        </w:rPr>
        <w:t>）装修搬迁中的网络安装、上架、新增、调试、入网、腾挪调试：在装修和搬迁过程中，负责网络设备的安装、上架、新增、调试、入网以及腾挪调试工作</w:t>
      </w:r>
    </w:p>
    <w:p w14:paraId="4991B5DD"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sz w:val="24"/>
          <w:szCs w:val="24"/>
        </w:rPr>
        <w:t>10</w:t>
      </w:r>
      <w:r w:rsidRPr="001B478F">
        <w:rPr>
          <w:rFonts w:ascii="宋体" w:eastAsia="宋体" w:hAnsi="宋体" w:hint="eastAsia"/>
          <w:sz w:val="24"/>
          <w:szCs w:val="24"/>
        </w:rPr>
        <w:t>）全院交换机的管理与更换：负责全院交换机（杨浦院区不少于</w:t>
      </w:r>
      <w:r w:rsidRPr="001B478F">
        <w:rPr>
          <w:rFonts w:ascii="宋体" w:eastAsia="宋体" w:hAnsi="宋体"/>
          <w:sz w:val="24"/>
          <w:szCs w:val="24"/>
        </w:rPr>
        <w:t>6</w:t>
      </w:r>
      <w:r w:rsidRPr="001B478F">
        <w:rPr>
          <w:rFonts w:ascii="宋体" w:eastAsia="宋体" w:hAnsi="宋体" w:hint="eastAsia"/>
          <w:sz w:val="24"/>
          <w:szCs w:val="24"/>
        </w:rPr>
        <w:t xml:space="preserve">00台，奉贤院区不少于 </w:t>
      </w:r>
      <w:r w:rsidRPr="001B478F">
        <w:rPr>
          <w:rFonts w:ascii="宋体" w:eastAsia="宋体" w:hAnsi="宋体"/>
          <w:sz w:val="24"/>
          <w:szCs w:val="24"/>
        </w:rPr>
        <w:t>200</w:t>
      </w:r>
      <w:r w:rsidRPr="001B478F">
        <w:rPr>
          <w:rFonts w:ascii="宋体" w:eastAsia="宋体" w:hAnsi="宋体" w:hint="eastAsia"/>
          <w:sz w:val="24"/>
          <w:szCs w:val="24"/>
        </w:rPr>
        <w:t xml:space="preserve"> 台）的管理工作，包括日常维护、故障处理和升级替换；全院无线 AP的管理与更换：负责全院无线 AP（杨浦院区不少于</w:t>
      </w:r>
      <w:r w:rsidRPr="001B478F">
        <w:rPr>
          <w:rFonts w:ascii="宋体" w:eastAsia="宋体" w:hAnsi="宋体"/>
          <w:sz w:val="24"/>
          <w:szCs w:val="24"/>
        </w:rPr>
        <w:t>14</w:t>
      </w:r>
      <w:r w:rsidRPr="001B478F">
        <w:rPr>
          <w:rFonts w:ascii="宋体" w:eastAsia="宋体" w:hAnsi="宋体" w:hint="eastAsia"/>
          <w:sz w:val="24"/>
          <w:szCs w:val="24"/>
        </w:rPr>
        <w:t>00台，奉贤院区</w:t>
      </w:r>
      <w:r w:rsidRPr="001B478F">
        <w:rPr>
          <w:rFonts w:ascii="宋体" w:eastAsia="宋体" w:hAnsi="宋体" w:hint="eastAsia"/>
          <w:sz w:val="24"/>
          <w:szCs w:val="24"/>
        </w:rPr>
        <w:lastRenderedPageBreak/>
        <w:t xml:space="preserve">不少于 </w:t>
      </w:r>
      <w:r w:rsidRPr="001B478F">
        <w:rPr>
          <w:rFonts w:ascii="宋体" w:eastAsia="宋体" w:hAnsi="宋体"/>
          <w:sz w:val="24"/>
          <w:szCs w:val="24"/>
        </w:rPr>
        <w:t>1000</w:t>
      </w:r>
      <w:r w:rsidRPr="001B478F">
        <w:rPr>
          <w:rFonts w:ascii="宋体" w:eastAsia="宋体" w:hAnsi="宋体" w:hint="eastAsia"/>
          <w:sz w:val="24"/>
          <w:szCs w:val="24"/>
        </w:rPr>
        <w:t xml:space="preserve"> 台）的管理工作，包括日常维护、故障处理和升级替换</w:t>
      </w:r>
    </w:p>
    <w:p w14:paraId="75FAADE2"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sz w:val="24"/>
          <w:szCs w:val="24"/>
        </w:rPr>
        <w:t>11</w:t>
      </w:r>
      <w:r w:rsidRPr="001B478F">
        <w:rPr>
          <w:rFonts w:ascii="宋体" w:eastAsia="宋体" w:hAnsi="宋体" w:hint="eastAsia"/>
          <w:sz w:val="24"/>
          <w:szCs w:val="24"/>
        </w:rPr>
        <w:t>）▲全院弱电间安全管理和故障处理：负责对全院弱电间（杨浦院区不少于</w:t>
      </w:r>
      <w:r w:rsidRPr="001B478F">
        <w:rPr>
          <w:rFonts w:ascii="宋体" w:eastAsia="宋体" w:hAnsi="宋体"/>
          <w:sz w:val="24"/>
          <w:szCs w:val="24"/>
        </w:rPr>
        <w:t>107间</w:t>
      </w:r>
      <w:r w:rsidRPr="001B478F">
        <w:rPr>
          <w:rFonts w:ascii="宋体" w:eastAsia="宋体" w:hAnsi="宋体" w:hint="eastAsia"/>
          <w:sz w:val="24"/>
          <w:szCs w:val="24"/>
        </w:rPr>
        <w:t xml:space="preserve">，奉贤院区不少于 </w:t>
      </w:r>
      <w:r w:rsidRPr="001B478F">
        <w:rPr>
          <w:rFonts w:ascii="宋体" w:eastAsia="宋体" w:hAnsi="宋体"/>
          <w:sz w:val="24"/>
          <w:szCs w:val="24"/>
        </w:rPr>
        <w:t>62</w:t>
      </w:r>
      <w:r w:rsidRPr="001B478F">
        <w:rPr>
          <w:rFonts w:ascii="宋体" w:eastAsia="宋体" w:hAnsi="宋体" w:hint="eastAsia"/>
          <w:sz w:val="24"/>
          <w:szCs w:val="24"/>
        </w:rPr>
        <w:t>间</w:t>
      </w:r>
      <w:r w:rsidRPr="001B478F">
        <w:rPr>
          <w:rFonts w:ascii="宋体" w:eastAsia="宋体" w:hAnsi="宋体"/>
          <w:sz w:val="24"/>
          <w:szCs w:val="24"/>
        </w:rPr>
        <w:t>）的安全管理，包括定期检查、维护和处理弱电设备的故障</w:t>
      </w:r>
      <w:r w:rsidRPr="001B478F">
        <w:rPr>
          <w:rFonts w:ascii="宋体" w:eastAsia="宋体" w:hAnsi="宋体" w:hint="eastAsia"/>
          <w:b/>
          <w:bCs/>
          <w:sz w:val="24"/>
          <w:szCs w:val="24"/>
        </w:rPr>
        <w:t>（</w:t>
      </w:r>
      <w:r w:rsidRPr="001B478F">
        <w:rPr>
          <w:rFonts w:ascii="宋体" w:eastAsia="宋体" w:hAnsi="宋体" w:hint="eastAsia"/>
          <w:b/>
          <w:bCs/>
          <w:kern w:val="44"/>
          <w:sz w:val="24"/>
          <w:szCs w:val="24"/>
        </w:rPr>
        <w:t>提供承诺函</w:t>
      </w:r>
      <w:r w:rsidRPr="001B478F">
        <w:rPr>
          <w:rFonts w:ascii="宋体" w:eastAsia="宋体" w:hAnsi="宋体" w:hint="eastAsia"/>
          <w:b/>
          <w:bCs/>
          <w:sz w:val="24"/>
          <w:szCs w:val="24"/>
        </w:rPr>
        <w:t>）</w:t>
      </w:r>
    </w:p>
    <w:p w14:paraId="2CEDA5B2"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sz w:val="24"/>
          <w:szCs w:val="24"/>
        </w:rPr>
        <w:t>12</w:t>
      </w:r>
      <w:r w:rsidRPr="001B478F">
        <w:rPr>
          <w:rFonts w:ascii="宋体" w:eastAsia="宋体" w:hAnsi="宋体" w:hint="eastAsia"/>
          <w:sz w:val="24"/>
          <w:szCs w:val="24"/>
        </w:rPr>
        <w:t>）▲临青路科研区、浦东仁和大厦教学区的网络支持与保障：提供临青路科研园和仁和大厦的网络支持和保障，确保其网络设备的正常运行和安全性</w:t>
      </w:r>
      <w:r w:rsidRPr="001B478F">
        <w:rPr>
          <w:rFonts w:ascii="宋体" w:eastAsia="宋体" w:hAnsi="宋体" w:hint="eastAsia"/>
          <w:b/>
          <w:bCs/>
          <w:sz w:val="24"/>
          <w:szCs w:val="24"/>
        </w:rPr>
        <w:t>（</w:t>
      </w:r>
      <w:r w:rsidRPr="001B478F">
        <w:rPr>
          <w:rFonts w:ascii="宋体" w:eastAsia="宋体" w:hAnsi="宋体" w:hint="eastAsia"/>
          <w:b/>
          <w:bCs/>
          <w:kern w:val="44"/>
          <w:sz w:val="24"/>
          <w:szCs w:val="24"/>
        </w:rPr>
        <w:t>提供承诺函</w:t>
      </w:r>
      <w:r w:rsidRPr="001B478F">
        <w:rPr>
          <w:rFonts w:ascii="宋体" w:eastAsia="宋体" w:hAnsi="宋体" w:hint="eastAsia"/>
          <w:b/>
          <w:bCs/>
          <w:sz w:val="24"/>
          <w:szCs w:val="24"/>
        </w:rPr>
        <w:t>）</w:t>
      </w:r>
    </w:p>
    <w:p w14:paraId="33FA7B67"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sz w:val="24"/>
          <w:szCs w:val="24"/>
        </w:rPr>
        <w:t>13</w:t>
      </w:r>
      <w:r w:rsidRPr="001B478F">
        <w:rPr>
          <w:rFonts w:ascii="宋体" w:eastAsia="宋体" w:hAnsi="宋体" w:hint="eastAsia"/>
          <w:sz w:val="24"/>
          <w:szCs w:val="24"/>
        </w:rPr>
        <w:t>）根据系统拓扑结构图及系统现状对系统的高可用性做出分析并提供应急处理方案，帮助用户制定周密的应急方案及恢复计划</w:t>
      </w:r>
    </w:p>
    <w:p w14:paraId="2B5CDAD0"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sz w:val="24"/>
          <w:szCs w:val="24"/>
        </w:rPr>
        <w:t>14</w:t>
      </w:r>
      <w:r w:rsidRPr="001B478F">
        <w:rPr>
          <w:rFonts w:ascii="宋体" w:eastAsia="宋体" w:hAnsi="宋体" w:hint="eastAsia"/>
          <w:sz w:val="24"/>
          <w:szCs w:val="24"/>
        </w:rPr>
        <w:t>）服务方应在用户应用环境变化或网络架构调整时提供现场支持，协助制定和执行解决方案，并提供技术支持。同时，在系统故障发生时，需要快速响应、分析问题，并协助更换故障设备和部件，立即解决故障</w:t>
      </w:r>
    </w:p>
    <w:p w14:paraId="2443207A"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1</w:t>
      </w:r>
      <w:r w:rsidRPr="001B478F">
        <w:rPr>
          <w:rFonts w:ascii="宋体" w:eastAsia="宋体" w:hAnsi="宋体"/>
          <w:sz w:val="24"/>
          <w:szCs w:val="24"/>
        </w:rPr>
        <w:t>5</w:t>
      </w:r>
      <w:r w:rsidRPr="001B478F">
        <w:rPr>
          <w:rFonts w:ascii="宋体" w:eastAsia="宋体" w:hAnsi="宋体" w:hint="eastAsia"/>
          <w:sz w:val="24"/>
          <w:szCs w:val="24"/>
        </w:rPr>
        <w:t>）服务方需做好设备的软硬件维护及日常参数的配置修改，并随时准备好突发故障的排除，协助用户做好楼层交换机及信息点的管理工作，配合用户相关的客户端网络维护工作</w:t>
      </w:r>
    </w:p>
    <w:p w14:paraId="3E41A3AA"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1</w:t>
      </w:r>
      <w:r w:rsidRPr="001B478F">
        <w:rPr>
          <w:rFonts w:ascii="宋体" w:eastAsia="宋体" w:hAnsi="宋体"/>
          <w:sz w:val="24"/>
          <w:szCs w:val="24"/>
        </w:rPr>
        <w:t>6</w:t>
      </w:r>
      <w:r w:rsidRPr="001B478F">
        <w:rPr>
          <w:rFonts w:ascii="宋体" w:eastAsia="宋体" w:hAnsi="宋体" w:hint="eastAsia"/>
          <w:sz w:val="24"/>
          <w:szCs w:val="24"/>
        </w:rPr>
        <w:t>）服务方须在保障确保用户业务工作正常开展的情况下，提出并实施提高网络性能，保障网络安全的优化方案</w:t>
      </w:r>
    </w:p>
    <w:p w14:paraId="77308533"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sz w:val="24"/>
          <w:szCs w:val="24"/>
        </w:rPr>
        <w:t>17</w:t>
      </w:r>
      <w:r w:rsidRPr="001B478F">
        <w:rPr>
          <w:rFonts w:ascii="宋体" w:eastAsia="宋体" w:hAnsi="宋体" w:hint="eastAsia"/>
          <w:sz w:val="24"/>
          <w:szCs w:val="24"/>
        </w:rPr>
        <w:t>）</w:t>
      </w:r>
      <w:r w:rsidRPr="001B478F">
        <w:rPr>
          <w:rFonts w:ascii="宋体" w:eastAsia="宋体" w:hAnsi="宋体"/>
          <w:sz w:val="24"/>
          <w:szCs w:val="24"/>
        </w:rPr>
        <w:t>定期对网络设备与系统进行预防性维护，包括检查设备、系统状态、硬盘状态、设备清洁、系统备份，以及与客户工程师的技术交流</w:t>
      </w:r>
    </w:p>
    <w:p w14:paraId="1B72EA91"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sz w:val="24"/>
          <w:szCs w:val="24"/>
        </w:rPr>
        <w:t>18</w:t>
      </w:r>
      <w:r w:rsidRPr="001B478F">
        <w:rPr>
          <w:rFonts w:ascii="宋体" w:eastAsia="宋体" w:hAnsi="宋体" w:hint="eastAsia"/>
          <w:sz w:val="24"/>
          <w:szCs w:val="24"/>
        </w:rPr>
        <w:t>）</w:t>
      </w:r>
      <w:r w:rsidRPr="001B478F">
        <w:rPr>
          <w:rFonts w:ascii="宋体" w:eastAsia="宋体" w:hAnsi="宋体"/>
          <w:sz w:val="24"/>
          <w:szCs w:val="24"/>
        </w:rPr>
        <w:t>提供热线和远程支持服务及故障诊断和维修服务</w:t>
      </w:r>
    </w:p>
    <w:p w14:paraId="229D8C07"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1</w:t>
      </w:r>
      <w:r w:rsidRPr="001B478F">
        <w:rPr>
          <w:rFonts w:ascii="宋体" w:eastAsia="宋体" w:hAnsi="宋体"/>
          <w:sz w:val="24"/>
          <w:szCs w:val="24"/>
        </w:rPr>
        <w:t>9</w:t>
      </w:r>
      <w:r w:rsidRPr="001B478F">
        <w:rPr>
          <w:rFonts w:ascii="宋体" w:eastAsia="宋体" w:hAnsi="宋体" w:hint="eastAsia"/>
          <w:sz w:val="24"/>
          <w:szCs w:val="24"/>
        </w:rPr>
        <w:t>）</w:t>
      </w:r>
      <w:r w:rsidRPr="001B478F">
        <w:rPr>
          <w:rFonts w:ascii="宋体" w:eastAsia="宋体" w:hAnsi="宋体"/>
          <w:sz w:val="24"/>
          <w:szCs w:val="24"/>
        </w:rPr>
        <w:t>维保清单为硬件技术支持与保障，若硬件故障需要投标方提供硬件维修或零部件</w:t>
      </w:r>
      <w:r w:rsidRPr="001B478F">
        <w:rPr>
          <w:rFonts w:ascii="宋体" w:eastAsia="宋体" w:hAnsi="宋体" w:hint="eastAsia"/>
          <w:sz w:val="24"/>
          <w:szCs w:val="24"/>
        </w:rPr>
        <w:t>更换</w:t>
      </w:r>
      <w:r w:rsidRPr="001B478F">
        <w:rPr>
          <w:rFonts w:ascii="宋体" w:eastAsia="宋体" w:hAnsi="宋体"/>
          <w:sz w:val="24"/>
          <w:szCs w:val="24"/>
        </w:rPr>
        <w:t>服务</w:t>
      </w:r>
    </w:p>
    <w:p w14:paraId="1111A9BC"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sz w:val="24"/>
          <w:szCs w:val="24"/>
        </w:rPr>
        <w:t>20</w:t>
      </w:r>
      <w:r w:rsidRPr="001B478F">
        <w:rPr>
          <w:rFonts w:ascii="宋体" w:eastAsia="宋体" w:hAnsi="宋体" w:hint="eastAsia"/>
          <w:sz w:val="24"/>
          <w:szCs w:val="24"/>
        </w:rPr>
        <w:t>）</w:t>
      </w:r>
      <w:r w:rsidRPr="001B478F">
        <w:rPr>
          <w:rFonts w:ascii="宋体" w:eastAsia="宋体" w:hAnsi="宋体"/>
          <w:sz w:val="24"/>
          <w:szCs w:val="24"/>
        </w:rPr>
        <w:t>定期为</w:t>
      </w:r>
      <w:r w:rsidRPr="001B478F">
        <w:rPr>
          <w:rFonts w:ascii="宋体" w:eastAsia="宋体" w:hAnsi="宋体" w:hint="eastAsia"/>
          <w:sz w:val="24"/>
          <w:szCs w:val="24"/>
        </w:rPr>
        <w:t>招标</w:t>
      </w:r>
      <w:r w:rsidRPr="001B478F">
        <w:rPr>
          <w:rFonts w:ascii="宋体" w:eastAsia="宋体" w:hAnsi="宋体"/>
          <w:sz w:val="24"/>
          <w:szCs w:val="24"/>
        </w:rPr>
        <w:t>方提供系统升级、优化和改造等服务。结合客户的实际情况，为</w:t>
      </w:r>
      <w:r w:rsidRPr="001B478F">
        <w:rPr>
          <w:rFonts w:ascii="宋体" w:eastAsia="宋体" w:hAnsi="宋体" w:hint="eastAsia"/>
          <w:sz w:val="24"/>
          <w:szCs w:val="24"/>
        </w:rPr>
        <w:t>招标</w:t>
      </w:r>
      <w:r w:rsidRPr="001B478F">
        <w:rPr>
          <w:rFonts w:ascii="宋体" w:eastAsia="宋体" w:hAnsi="宋体"/>
          <w:sz w:val="24"/>
          <w:szCs w:val="24"/>
        </w:rPr>
        <w:t>方详细制订切实可行的技术方案与替换方案以及制定合理的费用计划，并提供现场的实施工作，保证设备更换后的正常运转</w:t>
      </w:r>
    </w:p>
    <w:p w14:paraId="6DA945D2"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3</w:t>
      </w:r>
      <w:r w:rsidRPr="001B478F">
        <w:rPr>
          <w:rFonts w:ascii="宋体" w:eastAsia="宋体" w:hAnsi="宋体"/>
          <w:sz w:val="24"/>
          <w:szCs w:val="24"/>
        </w:rPr>
        <w:t>.</w:t>
      </w:r>
      <w:r w:rsidRPr="001B478F">
        <w:rPr>
          <w:rFonts w:ascii="宋体" w:eastAsia="宋体" w:hAnsi="宋体" w:hint="eastAsia"/>
          <w:sz w:val="24"/>
          <w:szCs w:val="24"/>
        </w:rPr>
        <w:t>应急响应服务</w:t>
      </w:r>
    </w:p>
    <w:p w14:paraId="11E86FCB"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基于新华医院的信息系统运行状况，服务方须针对本项目涉及的清单设备提供应急保障服务，并制定具体的设备保障方案。当设备或者网络发生故障时，服务方须提供相应的快速恢复性服务，以保证医院医疗业务的正常开展。服务方须提出</w:t>
      </w:r>
      <w:r w:rsidRPr="001B478F">
        <w:rPr>
          <w:rFonts w:ascii="宋体" w:eastAsia="宋体" w:hAnsi="宋体" w:hint="eastAsia"/>
          <w:sz w:val="24"/>
          <w:szCs w:val="24"/>
        </w:rPr>
        <w:lastRenderedPageBreak/>
        <w:t>针对突发事件采取的响应方式，包含技术支持方式、资源投入方式、人员保障方式、时效保证等，形成相应的应急处置预案，并保证信息系统设施设备的正常运行。</w:t>
      </w:r>
    </w:p>
    <w:p w14:paraId="1D1584CE"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4</w:t>
      </w:r>
      <w:r w:rsidRPr="001B478F">
        <w:rPr>
          <w:rFonts w:ascii="宋体" w:eastAsia="宋体" w:hAnsi="宋体"/>
          <w:sz w:val="24"/>
          <w:szCs w:val="24"/>
        </w:rPr>
        <w:t>.</w:t>
      </w:r>
      <w:r w:rsidRPr="001B478F">
        <w:rPr>
          <w:rFonts w:ascii="宋体" w:eastAsia="宋体" w:hAnsi="宋体" w:hint="eastAsia"/>
          <w:sz w:val="24"/>
          <w:szCs w:val="24"/>
        </w:rPr>
        <w:t>培训服务</w:t>
      </w:r>
    </w:p>
    <w:p w14:paraId="5D94A64E"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针对用户单位技术部门，提供以下内容的培训（具体培训时间由双方协商确定）：</w:t>
      </w:r>
    </w:p>
    <w:p w14:paraId="2ABCE584"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（1）网络架构培训</w:t>
      </w:r>
    </w:p>
    <w:p w14:paraId="2BBDB100"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（2）网络基本故障检测及处理</w:t>
      </w:r>
    </w:p>
    <w:p w14:paraId="273C21BF"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（3）网络监控与分析培训</w:t>
      </w:r>
    </w:p>
    <w:p w14:paraId="48E76092"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5</w:t>
      </w:r>
      <w:r w:rsidRPr="001B478F">
        <w:rPr>
          <w:rFonts w:ascii="宋体" w:eastAsia="宋体" w:hAnsi="宋体"/>
          <w:sz w:val="24"/>
          <w:szCs w:val="24"/>
        </w:rPr>
        <w:t>.</w:t>
      </w:r>
      <w:r w:rsidRPr="001B478F">
        <w:rPr>
          <w:rFonts w:ascii="宋体" w:eastAsia="宋体" w:hAnsi="宋体" w:hint="eastAsia"/>
          <w:sz w:val="24"/>
          <w:szCs w:val="24"/>
        </w:rPr>
        <w:t>人员配置基本要求</w:t>
      </w:r>
    </w:p>
    <w:p w14:paraId="6F70A61D"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一线：提供至少3名工程师驻场技术支持（工作日</w:t>
      </w:r>
      <w:r w:rsidRPr="001B478F">
        <w:rPr>
          <w:rFonts w:ascii="宋体" w:eastAsia="宋体" w:hAnsi="宋体"/>
          <w:sz w:val="24"/>
          <w:szCs w:val="24"/>
        </w:rPr>
        <w:t>08:00-17:30），重大活动和节假日须按照医院统一工作时间调整。工程师需在合同生效后立即到岗。</w:t>
      </w:r>
      <w:r w:rsidRPr="001B478F">
        <w:rPr>
          <w:rFonts w:ascii="宋体" w:eastAsia="宋体" w:hAnsi="宋体" w:hint="eastAsia"/>
          <w:sz w:val="24"/>
          <w:szCs w:val="24"/>
        </w:rPr>
        <w:t>主要负责包括但不限于网络设备的日常维护、紧急故障处理、技术支持、设备更新和升级</w:t>
      </w:r>
      <w:r w:rsidRPr="001B478F">
        <w:rPr>
          <w:rFonts w:ascii="宋体" w:eastAsia="宋体" w:hAnsi="宋体"/>
          <w:sz w:val="24"/>
          <w:szCs w:val="24"/>
        </w:rPr>
        <w:t xml:space="preserve"> (</w:t>
      </w:r>
      <w:r w:rsidRPr="001B478F">
        <w:rPr>
          <w:rFonts w:ascii="宋体" w:eastAsia="宋体" w:hAnsi="宋体" w:hint="eastAsia"/>
          <w:sz w:val="24"/>
          <w:szCs w:val="24"/>
        </w:rPr>
        <w:t>包</w:t>
      </w:r>
      <w:r w:rsidRPr="001B478F">
        <w:rPr>
          <w:rFonts w:ascii="宋体" w:eastAsia="宋体" w:hAnsi="宋体"/>
          <w:sz w:val="24"/>
          <w:szCs w:val="24"/>
        </w:rPr>
        <w:t>含</w:t>
      </w:r>
      <w:r w:rsidRPr="001B478F">
        <w:rPr>
          <w:rFonts w:ascii="宋体" w:eastAsia="宋体" w:hAnsi="宋体" w:hint="eastAsia"/>
          <w:sz w:val="24"/>
          <w:szCs w:val="24"/>
        </w:rPr>
        <w:t>网络</w:t>
      </w:r>
      <w:r w:rsidRPr="001B478F">
        <w:rPr>
          <w:rFonts w:ascii="宋体" w:eastAsia="宋体" w:hAnsi="宋体"/>
          <w:sz w:val="24"/>
          <w:szCs w:val="24"/>
        </w:rPr>
        <w:t>设备、</w:t>
      </w:r>
      <w:r w:rsidRPr="001B478F">
        <w:rPr>
          <w:rFonts w:ascii="宋体" w:eastAsia="宋体" w:hAnsi="宋体" w:hint="eastAsia"/>
          <w:sz w:val="24"/>
          <w:szCs w:val="24"/>
        </w:rPr>
        <w:t>信息</w:t>
      </w:r>
      <w:r w:rsidRPr="001B478F">
        <w:rPr>
          <w:rFonts w:ascii="宋体" w:eastAsia="宋体" w:hAnsi="宋体"/>
          <w:sz w:val="24"/>
          <w:szCs w:val="24"/>
        </w:rPr>
        <w:t>线路、信息接口</w:t>
      </w:r>
      <w:r w:rsidRPr="001B478F">
        <w:rPr>
          <w:rFonts w:ascii="宋体" w:eastAsia="宋体" w:hAnsi="宋体" w:hint="eastAsia"/>
          <w:sz w:val="24"/>
          <w:szCs w:val="24"/>
        </w:rPr>
        <w:t>、网络终端</w:t>
      </w:r>
      <w:r w:rsidRPr="001B478F">
        <w:rPr>
          <w:rFonts w:ascii="宋体" w:eastAsia="宋体" w:hAnsi="宋体"/>
          <w:sz w:val="24"/>
          <w:szCs w:val="24"/>
        </w:rPr>
        <w:t>等)、各类信息系统相关线路整理等运维工作，保障全院信息系统的安全、稳定、高效地运行，确保各部门、各科室的信息业务正常使用</w:t>
      </w:r>
      <w:r w:rsidRPr="001B478F">
        <w:rPr>
          <w:rFonts w:ascii="宋体" w:eastAsia="宋体" w:hAnsi="宋体" w:hint="eastAsia"/>
          <w:sz w:val="24"/>
          <w:szCs w:val="24"/>
        </w:rPr>
        <w:t>。</w:t>
      </w:r>
    </w:p>
    <w:p w14:paraId="4FA1A803"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二线：提供至少</w:t>
      </w:r>
      <w:r w:rsidRPr="001B478F">
        <w:rPr>
          <w:rFonts w:ascii="宋体" w:eastAsia="宋体" w:hAnsi="宋体"/>
          <w:sz w:val="24"/>
          <w:szCs w:val="24"/>
        </w:rPr>
        <w:t>1名具有丰富系统运维和实施经验的</w:t>
      </w:r>
      <w:r w:rsidRPr="001B478F">
        <w:rPr>
          <w:rFonts w:ascii="宋体" w:eastAsia="宋体" w:hAnsi="宋体" w:hint="eastAsia"/>
          <w:sz w:val="24"/>
          <w:szCs w:val="24"/>
        </w:rPr>
        <w:t>项目经理，</w:t>
      </w:r>
      <w:r w:rsidRPr="001B478F">
        <w:rPr>
          <w:rFonts w:ascii="宋体" w:eastAsia="宋体" w:hAnsi="宋体"/>
          <w:sz w:val="24"/>
          <w:szCs w:val="24"/>
        </w:rPr>
        <w:t>以及至少2名</w:t>
      </w:r>
      <w:r w:rsidRPr="001B478F">
        <w:rPr>
          <w:rFonts w:ascii="宋体" w:eastAsia="宋体" w:hAnsi="宋体" w:hint="eastAsia"/>
          <w:sz w:val="24"/>
          <w:szCs w:val="24"/>
        </w:rPr>
        <w:t>技术支持</w:t>
      </w:r>
      <w:r w:rsidRPr="001B478F">
        <w:rPr>
          <w:rFonts w:ascii="宋体" w:eastAsia="宋体" w:hAnsi="宋体"/>
          <w:sz w:val="24"/>
          <w:szCs w:val="24"/>
        </w:rPr>
        <w:t>工程师</w:t>
      </w:r>
      <w:r w:rsidRPr="001B478F">
        <w:rPr>
          <w:rFonts w:ascii="宋体" w:eastAsia="宋体" w:hAnsi="宋体" w:hint="eastAsia"/>
          <w:sz w:val="24"/>
          <w:szCs w:val="24"/>
        </w:rPr>
        <w:t>，主要负责安全网络设备巡检工作（月度、季度、年度、重大活动及节假日等），项目经理负责项目的分工和协调，而技术支持工程师主要负责对一线人员的及时响应和支持工作，包括但不限于上述清单内设备（含配件）的维修、更换以及安装部署调试等工作，以确保项目的稳定运行和持续服务。</w:t>
      </w:r>
    </w:p>
    <w:p w14:paraId="07B75023"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6</w:t>
      </w:r>
      <w:r w:rsidRPr="001B478F">
        <w:rPr>
          <w:rFonts w:ascii="宋体" w:eastAsia="宋体" w:hAnsi="宋体"/>
          <w:sz w:val="24"/>
          <w:szCs w:val="24"/>
        </w:rPr>
        <w:t>.</w:t>
      </w:r>
      <w:r w:rsidRPr="001B478F">
        <w:rPr>
          <w:rFonts w:ascii="宋体" w:eastAsia="宋体" w:hAnsi="宋体" w:hint="eastAsia"/>
          <w:sz w:val="24"/>
          <w:szCs w:val="24"/>
        </w:rPr>
        <w:t>响应时间</w:t>
      </w:r>
    </w:p>
    <w:p w14:paraId="1E8A0869" w14:textId="77777777" w:rsidR="001B478F" w:rsidRPr="001B478F" w:rsidRDefault="001B478F" w:rsidP="001B478F">
      <w:pPr>
        <w:pStyle w:val="a7"/>
        <w:widowControl/>
        <w:numPr>
          <w:ilvl w:val="0"/>
          <w:numId w:val="6"/>
        </w:numPr>
        <w:wordWrap w:val="0"/>
        <w:spacing w:line="360" w:lineRule="auto"/>
        <w:ind w:firstLineChars="0"/>
        <w:jc w:val="left"/>
        <w:rPr>
          <w:rFonts w:ascii="宋体" w:eastAsia="宋体" w:hAnsi="宋体"/>
          <w:sz w:val="24"/>
          <w:szCs w:val="24"/>
        </w:rPr>
      </w:pPr>
      <w:r w:rsidRPr="001B478F">
        <w:rPr>
          <w:rFonts w:ascii="宋体" w:eastAsia="宋体" w:hAnsi="宋体" w:hint="eastAsia"/>
          <w:sz w:val="24"/>
          <w:szCs w:val="24"/>
        </w:rPr>
        <w:t>★提供热线和远程故障诊断服务。</w:t>
      </w:r>
      <w:r w:rsidRPr="001B478F">
        <w:rPr>
          <w:rFonts w:ascii="宋体" w:eastAsia="宋体" w:hAnsi="宋体"/>
          <w:sz w:val="24"/>
          <w:szCs w:val="24"/>
        </w:rPr>
        <w:t>7*24小时电话及现场响应，</w:t>
      </w:r>
      <w:r w:rsidRPr="001B478F">
        <w:rPr>
          <w:rFonts w:ascii="宋体" w:eastAsia="宋体" w:hAnsi="宋体" w:hint="eastAsia"/>
          <w:sz w:val="24"/>
          <w:szCs w:val="24"/>
        </w:rPr>
        <w:t>包括法定节假日。</w:t>
      </w:r>
      <w:r w:rsidRPr="001B478F">
        <w:rPr>
          <w:rFonts w:ascii="宋体" w:eastAsia="宋体" w:hAnsi="宋体"/>
          <w:sz w:val="24"/>
          <w:szCs w:val="24"/>
        </w:rPr>
        <w:t>当系统出现严重故障，服务方按7*24*0.5小时现场响应服务，派工程师30分钟内到达现场响应。</w:t>
      </w:r>
      <w:r w:rsidRPr="001B478F">
        <w:rPr>
          <w:rFonts w:ascii="宋体" w:eastAsia="宋体" w:hAnsi="宋体" w:hint="eastAsia"/>
          <w:sz w:val="24"/>
          <w:szCs w:val="24"/>
        </w:rPr>
        <w:t>非工作日，当系统出现严重故障，投标人按7*24*2小时响应服务，派工程师到现场响应服务。</w:t>
      </w:r>
      <w:r w:rsidRPr="001B478F">
        <w:rPr>
          <w:rFonts w:ascii="宋体" w:eastAsia="宋体" w:hAnsi="宋体"/>
          <w:sz w:val="24"/>
          <w:szCs w:val="24"/>
        </w:rPr>
        <w:t>一般现场技术支持(</w:t>
      </w:r>
      <w:r w:rsidRPr="001B478F">
        <w:rPr>
          <w:rFonts w:ascii="宋体" w:eastAsia="宋体" w:hAnsi="宋体" w:hint="eastAsia"/>
          <w:sz w:val="24"/>
          <w:szCs w:val="24"/>
        </w:rPr>
        <w:t>工作日</w:t>
      </w:r>
      <w:r w:rsidRPr="001B478F">
        <w:rPr>
          <w:rFonts w:ascii="宋体" w:eastAsia="宋体" w:hAnsi="宋体"/>
          <w:sz w:val="24"/>
          <w:szCs w:val="24"/>
        </w:rPr>
        <w:t>08:00-17:30)，重大活动和节假日保障须响应医院要求。</w:t>
      </w:r>
      <w:r w:rsidRPr="001B478F">
        <w:rPr>
          <w:rFonts w:ascii="宋体" w:eastAsia="宋体" w:hAnsi="宋体" w:hint="eastAsia"/>
          <w:sz w:val="24"/>
          <w:szCs w:val="24"/>
        </w:rPr>
        <w:t>若涉及到硬件设备的任何零部件更换的情况，须满足医院时效性要求，确保医院业务不受影响，包括日常更换及应急处理。</w:t>
      </w:r>
      <w:r w:rsidRPr="001B478F">
        <w:rPr>
          <w:rFonts w:ascii="宋体" w:eastAsia="宋体" w:hAnsi="宋体"/>
          <w:b/>
          <w:sz w:val="24"/>
          <w:szCs w:val="24"/>
        </w:rPr>
        <w:t>（</w:t>
      </w:r>
      <w:r w:rsidRPr="001B478F">
        <w:rPr>
          <w:rFonts w:ascii="宋体" w:eastAsia="宋体" w:hAnsi="宋体" w:hint="eastAsia"/>
          <w:b/>
          <w:bCs/>
          <w:kern w:val="44"/>
          <w:sz w:val="24"/>
          <w:szCs w:val="24"/>
        </w:rPr>
        <w:t>提供承诺函</w:t>
      </w:r>
      <w:r w:rsidRPr="001B478F">
        <w:rPr>
          <w:rFonts w:ascii="宋体" w:eastAsia="宋体" w:hAnsi="宋体"/>
          <w:b/>
          <w:sz w:val="24"/>
          <w:szCs w:val="24"/>
        </w:rPr>
        <w:t>）</w:t>
      </w:r>
    </w:p>
    <w:p w14:paraId="307178BD"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t>7</w:t>
      </w:r>
      <w:r w:rsidRPr="001B478F">
        <w:rPr>
          <w:rFonts w:ascii="宋体" w:eastAsia="宋体" w:hAnsi="宋体"/>
          <w:sz w:val="24"/>
          <w:szCs w:val="24"/>
        </w:rPr>
        <w:t>.</w:t>
      </w:r>
      <w:r w:rsidRPr="001B478F">
        <w:rPr>
          <w:rFonts w:ascii="宋体" w:eastAsia="宋体" w:hAnsi="宋体" w:hint="eastAsia"/>
          <w:sz w:val="24"/>
          <w:szCs w:val="24"/>
        </w:rPr>
        <w:t>零部件更换承诺</w:t>
      </w:r>
    </w:p>
    <w:p w14:paraId="0C31C746" w14:textId="77777777" w:rsidR="001B478F" w:rsidRPr="001B478F" w:rsidRDefault="001B478F" w:rsidP="001B478F">
      <w:pPr>
        <w:wordWrap w:val="0"/>
        <w:spacing w:line="360" w:lineRule="auto"/>
        <w:rPr>
          <w:rFonts w:ascii="宋体" w:eastAsia="宋体" w:hAnsi="宋体"/>
          <w:sz w:val="24"/>
          <w:szCs w:val="24"/>
        </w:rPr>
      </w:pPr>
      <w:r w:rsidRPr="001B478F">
        <w:rPr>
          <w:rFonts w:ascii="宋体" w:eastAsia="宋体" w:hAnsi="宋体" w:hint="eastAsia"/>
          <w:sz w:val="24"/>
          <w:szCs w:val="24"/>
        </w:rPr>
        <w:lastRenderedPageBreak/>
        <w:t>★</w:t>
      </w:r>
      <w:bookmarkStart w:id="0" w:name="OLE_LINK2"/>
      <w:r w:rsidRPr="001B478F">
        <w:rPr>
          <w:rFonts w:ascii="宋体" w:eastAsia="宋体" w:hAnsi="宋体" w:hint="eastAsia"/>
          <w:sz w:val="24"/>
          <w:szCs w:val="24"/>
        </w:rPr>
        <w:t>提供不少于一年备件支持服务。本项目清单中主要国产产品（华为、深信服、天融信）的所有零部件更换的情况，供应商须提供原厂同等级别备件进行更换（坏件维修或更换费用不涉及），清单中其他品牌由第三方提供同等级别零部件；若提供的产品不能满足采购人要求，采购人有权单方面取消合同，并追究其法律责任，还须承担因此给采购人带来的损失。（华为、深信服、天融信须提供原厂承诺函）。所有更换的零部件费用均已包含在运维服务费用中，不再另行增加。</w:t>
      </w:r>
      <w:bookmarkEnd w:id="0"/>
      <w:r w:rsidRPr="001B478F">
        <w:rPr>
          <w:rFonts w:ascii="宋体" w:eastAsia="宋体" w:hAnsi="宋体"/>
          <w:b/>
          <w:sz w:val="24"/>
          <w:szCs w:val="24"/>
        </w:rPr>
        <w:t>（</w:t>
      </w:r>
      <w:r w:rsidRPr="001B478F">
        <w:rPr>
          <w:rFonts w:ascii="宋体" w:eastAsia="宋体" w:hAnsi="宋体" w:hint="eastAsia"/>
          <w:b/>
          <w:bCs/>
          <w:kern w:val="44"/>
          <w:sz w:val="24"/>
          <w:szCs w:val="24"/>
        </w:rPr>
        <w:t>提供承诺函</w:t>
      </w:r>
      <w:r w:rsidRPr="001B478F">
        <w:rPr>
          <w:rFonts w:ascii="宋体" w:eastAsia="宋体" w:hAnsi="宋体"/>
          <w:b/>
          <w:sz w:val="24"/>
          <w:szCs w:val="24"/>
        </w:rPr>
        <w:t>）</w:t>
      </w:r>
    </w:p>
    <w:p w14:paraId="6CB68F62" w14:textId="77777777" w:rsidR="001B478F" w:rsidRPr="001B478F" w:rsidRDefault="001B478F" w:rsidP="001B478F">
      <w:pPr>
        <w:autoSpaceDE w:val="0"/>
        <w:autoSpaceDN w:val="0"/>
        <w:adjustRightInd w:val="0"/>
        <w:spacing w:after="200" w:line="360" w:lineRule="auto"/>
        <w:rPr>
          <w:rFonts w:ascii="宋体" w:eastAsia="宋体" w:hAnsi="宋体" w:cs="宋体" w:hint="eastAsia"/>
          <w:b/>
          <w:sz w:val="24"/>
          <w:szCs w:val="24"/>
          <w:lang w:val="zh-CN"/>
        </w:rPr>
      </w:pPr>
      <w:r w:rsidRPr="001B478F">
        <w:rPr>
          <w:rFonts w:ascii="宋体" w:eastAsia="宋体" w:hAnsi="宋体" w:cs="宋体" w:hint="eastAsia"/>
          <w:b/>
          <w:sz w:val="24"/>
          <w:szCs w:val="24"/>
          <w:lang w:val="zh-CN"/>
        </w:rPr>
        <w:t>四、售后服务要求</w:t>
      </w:r>
    </w:p>
    <w:p w14:paraId="32A7A354" w14:textId="77777777" w:rsidR="001B478F" w:rsidRPr="001B478F" w:rsidRDefault="001B478F" w:rsidP="001B478F">
      <w:pPr>
        <w:pStyle w:val="a7"/>
        <w:widowControl/>
        <w:numPr>
          <w:ilvl w:val="0"/>
          <w:numId w:val="7"/>
        </w:numPr>
        <w:wordWrap w:val="0"/>
        <w:spacing w:line="360" w:lineRule="auto"/>
        <w:ind w:firstLineChars="0"/>
        <w:jc w:val="left"/>
        <w:rPr>
          <w:rFonts w:ascii="宋体" w:eastAsia="宋体" w:hAnsi="宋体"/>
          <w:sz w:val="24"/>
          <w:szCs w:val="24"/>
        </w:rPr>
      </w:pPr>
      <w:r w:rsidRPr="001B478F">
        <w:rPr>
          <w:rFonts w:ascii="宋体" w:eastAsia="宋体" w:hAnsi="宋体" w:hint="eastAsia"/>
          <w:sz w:val="24"/>
          <w:szCs w:val="24"/>
        </w:rPr>
        <w:t>▲提供一年核心交换设备续保服务及安全设备运维服务。</w:t>
      </w:r>
      <w:r w:rsidRPr="001B478F">
        <w:rPr>
          <w:rFonts w:ascii="宋体" w:eastAsia="宋体" w:hAnsi="宋体"/>
          <w:b/>
          <w:sz w:val="24"/>
          <w:szCs w:val="24"/>
        </w:rPr>
        <w:t>（</w:t>
      </w:r>
      <w:r w:rsidRPr="001B478F">
        <w:rPr>
          <w:rFonts w:ascii="宋体" w:eastAsia="宋体" w:hAnsi="宋体" w:hint="eastAsia"/>
          <w:b/>
          <w:bCs/>
          <w:kern w:val="44"/>
          <w:sz w:val="24"/>
          <w:szCs w:val="24"/>
        </w:rPr>
        <w:t>提供承诺函</w:t>
      </w:r>
      <w:r w:rsidRPr="001B478F">
        <w:rPr>
          <w:rFonts w:ascii="宋体" w:eastAsia="宋体" w:hAnsi="宋体"/>
          <w:b/>
          <w:sz w:val="24"/>
          <w:szCs w:val="24"/>
        </w:rPr>
        <w:t>）</w:t>
      </w:r>
    </w:p>
    <w:p w14:paraId="6431A9C0" w14:textId="77777777" w:rsidR="001B478F" w:rsidRPr="001B478F" w:rsidRDefault="001B478F" w:rsidP="001B478F">
      <w:pPr>
        <w:pStyle w:val="a7"/>
        <w:widowControl/>
        <w:numPr>
          <w:ilvl w:val="0"/>
          <w:numId w:val="7"/>
        </w:numPr>
        <w:wordWrap w:val="0"/>
        <w:spacing w:line="360" w:lineRule="auto"/>
        <w:ind w:firstLineChars="0"/>
        <w:jc w:val="left"/>
        <w:rPr>
          <w:rFonts w:ascii="宋体" w:eastAsia="宋体" w:hAnsi="宋体"/>
          <w:sz w:val="24"/>
          <w:szCs w:val="24"/>
        </w:rPr>
      </w:pPr>
      <w:r w:rsidRPr="001B478F">
        <w:rPr>
          <w:rFonts w:ascii="宋体" w:eastAsia="宋体" w:hAnsi="宋体" w:hint="eastAsia"/>
          <w:sz w:val="24"/>
          <w:szCs w:val="24"/>
        </w:rPr>
        <w:t>技术咨询：使用中遇到操作、工作流程不清晰、系统维护等技术上问题时，提供咨询服务，技术人员将负责详细解答。</w:t>
      </w:r>
    </w:p>
    <w:p w14:paraId="604A1B97" w14:textId="77777777" w:rsidR="001B478F" w:rsidRPr="001B478F" w:rsidRDefault="001B478F" w:rsidP="001B478F">
      <w:pPr>
        <w:pStyle w:val="a7"/>
        <w:widowControl/>
        <w:numPr>
          <w:ilvl w:val="0"/>
          <w:numId w:val="7"/>
        </w:numPr>
        <w:wordWrap w:val="0"/>
        <w:spacing w:line="360" w:lineRule="auto"/>
        <w:ind w:firstLineChars="0"/>
        <w:jc w:val="left"/>
        <w:rPr>
          <w:rFonts w:ascii="宋体" w:eastAsia="宋体" w:hAnsi="宋体"/>
          <w:sz w:val="24"/>
          <w:szCs w:val="24"/>
        </w:rPr>
      </w:pPr>
      <w:r w:rsidRPr="001B478F">
        <w:rPr>
          <w:rFonts w:ascii="宋体" w:eastAsia="宋体" w:hAnsi="宋体" w:hint="eastAsia"/>
          <w:sz w:val="24"/>
          <w:szCs w:val="24"/>
        </w:rPr>
        <w:t>系统定期优化：定期（每年不少于1次）为招标人进行系统优化，对服务器端的系统性能进行例行检查和优化工作。</w:t>
      </w:r>
    </w:p>
    <w:p w14:paraId="16115ED4" w14:textId="77777777" w:rsidR="001B478F" w:rsidRPr="001B478F" w:rsidRDefault="001B478F" w:rsidP="001B478F">
      <w:pPr>
        <w:pStyle w:val="a7"/>
        <w:widowControl/>
        <w:numPr>
          <w:ilvl w:val="0"/>
          <w:numId w:val="7"/>
        </w:numPr>
        <w:wordWrap w:val="0"/>
        <w:spacing w:line="360" w:lineRule="auto"/>
        <w:ind w:firstLineChars="0"/>
        <w:jc w:val="left"/>
        <w:rPr>
          <w:rFonts w:ascii="宋体" w:eastAsia="宋体" w:hAnsi="宋体"/>
          <w:sz w:val="24"/>
          <w:szCs w:val="24"/>
        </w:rPr>
      </w:pPr>
      <w:r w:rsidRPr="001B478F">
        <w:rPr>
          <w:rFonts w:ascii="宋体" w:eastAsia="宋体" w:hAnsi="宋体" w:hint="eastAsia"/>
          <w:sz w:val="24"/>
          <w:szCs w:val="24"/>
        </w:rPr>
        <w:t>软件版本升级：质保期内有新版本软件推出时，进行现有模块功能的版本升级。</w:t>
      </w:r>
    </w:p>
    <w:p w14:paraId="336F9EDE" w14:textId="77777777" w:rsidR="001B478F" w:rsidRPr="001B478F" w:rsidRDefault="001B478F" w:rsidP="001B478F">
      <w:pPr>
        <w:autoSpaceDE w:val="0"/>
        <w:autoSpaceDN w:val="0"/>
        <w:adjustRightInd w:val="0"/>
        <w:spacing w:after="200" w:line="360" w:lineRule="auto"/>
        <w:rPr>
          <w:rFonts w:ascii="宋体" w:eastAsia="宋体" w:hAnsi="宋体" w:cs="宋体" w:hint="eastAsia"/>
          <w:b/>
          <w:sz w:val="24"/>
          <w:szCs w:val="24"/>
          <w:lang w:val="zh-CN"/>
        </w:rPr>
      </w:pPr>
      <w:r w:rsidRPr="001B478F">
        <w:rPr>
          <w:rFonts w:ascii="宋体" w:eastAsia="宋体" w:hAnsi="宋体" w:cs="宋体" w:hint="eastAsia"/>
          <w:b/>
          <w:sz w:val="24"/>
          <w:szCs w:val="24"/>
          <w:lang w:val="zh-CN"/>
        </w:rPr>
        <w:t>五、验收方式</w:t>
      </w:r>
    </w:p>
    <w:p w14:paraId="5C2E78CC" w14:textId="77777777" w:rsidR="001B478F" w:rsidRPr="001B478F" w:rsidRDefault="001B478F" w:rsidP="001B478F">
      <w:pPr>
        <w:adjustRightInd w:val="0"/>
        <w:snapToGrid w:val="0"/>
        <w:spacing w:line="360" w:lineRule="auto"/>
        <w:rPr>
          <w:rFonts w:ascii="宋体" w:eastAsia="宋体" w:hAnsi="宋体"/>
          <w:kern w:val="0"/>
          <w:sz w:val="24"/>
          <w:szCs w:val="24"/>
        </w:rPr>
      </w:pPr>
      <w:r w:rsidRPr="001B478F">
        <w:rPr>
          <w:rFonts w:ascii="宋体" w:eastAsia="宋体" w:hAnsi="宋体" w:hint="eastAsia"/>
          <w:kern w:val="0"/>
          <w:sz w:val="24"/>
          <w:szCs w:val="24"/>
        </w:rPr>
        <w:t>中标人在规定时间内完成各项工作，</w:t>
      </w:r>
      <w:r w:rsidRPr="001B478F">
        <w:rPr>
          <w:rFonts w:ascii="宋体" w:eastAsia="宋体" w:hAnsi="宋体" w:hint="eastAsia"/>
          <w:color w:val="000000" w:themeColor="text1"/>
          <w:sz w:val="24"/>
          <w:szCs w:val="24"/>
        </w:rPr>
        <w:t>招标方于合同期内对运维服务进行考评。得分低于80（含）分的，视为不合格，招标方可单方面解除合同。</w:t>
      </w:r>
    </w:p>
    <w:p w14:paraId="7DDD1541" w14:textId="77777777" w:rsidR="001B478F" w:rsidRPr="001B478F" w:rsidRDefault="001B478F" w:rsidP="001B478F">
      <w:pPr>
        <w:widowControl/>
        <w:spacing w:line="360" w:lineRule="auto"/>
        <w:ind w:firstLineChars="200" w:firstLine="480"/>
        <w:jc w:val="left"/>
        <w:rPr>
          <w:rFonts w:ascii="宋体" w:eastAsia="宋体" w:hAnsi="宋体" w:hint="eastAsia"/>
          <w:kern w:val="44"/>
          <w:sz w:val="24"/>
          <w:szCs w:val="24"/>
        </w:rPr>
      </w:pPr>
      <w:r w:rsidRPr="001B478F">
        <w:rPr>
          <w:rFonts w:ascii="宋体" w:eastAsia="宋体" w:hAnsi="宋体" w:hint="eastAsia"/>
          <w:kern w:val="44"/>
          <w:sz w:val="24"/>
          <w:szCs w:val="24"/>
        </w:rPr>
        <w:t>投标人在投标文件中提供满意度考评内容及样张。</w:t>
      </w:r>
    </w:p>
    <w:p w14:paraId="294852E2" w14:textId="25855514" w:rsidR="001B478F" w:rsidRPr="001B478F" w:rsidRDefault="001B478F" w:rsidP="001B478F">
      <w:pPr>
        <w:pStyle w:val="2"/>
      </w:pPr>
    </w:p>
    <w:p w14:paraId="3D10948D" w14:textId="419C48B6" w:rsidR="00220551" w:rsidRPr="002D6E4A" w:rsidRDefault="00220551" w:rsidP="002D6E4A">
      <w:pPr>
        <w:adjustRightInd w:val="0"/>
        <w:snapToGrid w:val="0"/>
        <w:spacing w:line="360" w:lineRule="auto"/>
        <w:ind w:firstLineChars="200" w:firstLine="480"/>
        <w:rPr>
          <w:rFonts w:ascii="宋体" w:eastAsia="宋体" w:hAnsi="宋体" w:hint="eastAsia"/>
          <w:sz w:val="24"/>
          <w:szCs w:val="24"/>
        </w:rPr>
      </w:pPr>
    </w:p>
    <w:p w14:paraId="401FC49B" w14:textId="77777777" w:rsidR="001D1C86" w:rsidRPr="001D1C86" w:rsidRDefault="00B43BBE" w:rsidP="00220551">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14:paraId="1DC650EB" w14:textId="77777777" w:rsidR="001D1C86" w:rsidRPr="001D1C86" w:rsidRDefault="001D1C86" w:rsidP="001D1C86">
      <w:pPr>
        <w:adjustRightInd w:val="0"/>
        <w:snapToGrid w:val="0"/>
        <w:spacing w:line="360" w:lineRule="auto"/>
        <w:ind w:firstLineChars="200" w:firstLine="480"/>
        <w:rPr>
          <w:rFonts w:ascii="宋体" w:eastAsia="宋体" w:hAnsi="宋体" w:hint="eastAsia"/>
          <w:sz w:val="24"/>
          <w:szCs w:val="24"/>
        </w:rPr>
      </w:pPr>
      <w:r w:rsidRPr="001D1C86">
        <w:rPr>
          <w:rFonts w:ascii="宋体" w:eastAsia="宋体" w:hAnsi="宋体" w:hint="eastAsia"/>
          <w:sz w:val="24"/>
          <w:szCs w:val="24"/>
        </w:rPr>
        <w:t>人民币</w:t>
      </w:r>
      <w:r w:rsidR="002D6E4A">
        <w:rPr>
          <w:rFonts w:ascii="宋体" w:eastAsia="宋体" w:hAnsi="宋体" w:hint="eastAsia"/>
          <w:sz w:val="24"/>
          <w:szCs w:val="24"/>
        </w:rPr>
        <w:t>140</w:t>
      </w:r>
      <w:r w:rsidRPr="001D1C86">
        <w:rPr>
          <w:rFonts w:ascii="宋体" w:eastAsia="宋体" w:hAnsi="宋体"/>
          <w:sz w:val="24"/>
          <w:szCs w:val="24"/>
        </w:rPr>
        <w:t>.00万元</w:t>
      </w:r>
    </w:p>
    <w:p w14:paraId="5C1AFC58" w14:textId="77777777" w:rsidR="001D1C86" w:rsidRPr="001D1C86" w:rsidRDefault="00B43BBE" w:rsidP="001D1C86">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14:paraId="34BF33AC" w14:textId="77777777" w:rsidR="001B478F" w:rsidRPr="001B478F" w:rsidRDefault="001B478F" w:rsidP="001B478F">
      <w:pPr>
        <w:adjustRightInd w:val="0"/>
        <w:snapToGrid w:val="0"/>
        <w:spacing w:line="360" w:lineRule="auto"/>
        <w:rPr>
          <w:rFonts w:ascii="宋体" w:eastAsia="宋体" w:hAnsi="宋体" w:hint="eastAsia"/>
          <w:sz w:val="24"/>
          <w:szCs w:val="24"/>
        </w:rPr>
      </w:pPr>
      <w:r w:rsidRPr="001B478F">
        <w:rPr>
          <w:rFonts w:ascii="宋体" w:eastAsia="宋体" w:hAnsi="宋体" w:hint="eastAsia"/>
          <w:sz w:val="24"/>
          <w:szCs w:val="24"/>
        </w:rPr>
        <w:t>1）具有独立承担民事责任的能力。</w:t>
      </w:r>
    </w:p>
    <w:p w14:paraId="262E2A9F" w14:textId="77777777" w:rsidR="001B478F" w:rsidRPr="001B478F" w:rsidRDefault="001B478F" w:rsidP="001B478F">
      <w:pPr>
        <w:adjustRightInd w:val="0"/>
        <w:snapToGrid w:val="0"/>
        <w:spacing w:line="360" w:lineRule="auto"/>
        <w:rPr>
          <w:rFonts w:ascii="宋体" w:eastAsia="宋体" w:hAnsi="宋体" w:hint="eastAsia"/>
          <w:sz w:val="24"/>
          <w:szCs w:val="24"/>
        </w:rPr>
      </w:pPr>
      <w:r w:rsidRPr="001B478F">
        <w:rPr>
          <w:rFonts w:ascii="宋体" w:eastAsia="宋体" w:hAnsi="宋体" w:hint="eastAsia"/>
          <w:sz w:val="24"/>
          <w:szCs w:val="24"/>
        </w:rPr>
        <w:t>2）本项目不接受联合体投标；</w:t>
      </w:r>
    </w:p>
    <w:p w14:paraId="5425E722" w14:textId="77777777" w:rsidR="001B478F" w:rsidRPr="001B478F" w:rsidRDefault="001B478F" w:rsidP="001B478F">
      <w:pPr>
        <w:adjustRightInd w:val="0"/>
        <w:snapToGrid w:val="0"/>
        <w:spacing w:line="360" w:lineRule="auto"/>
        <w:rPr>
          <w:rFonts w:ascii="宋体" w:eastAsia="宋体" w:hAnsi="宋体" w:hint="eastAsia"/>
          <w:sz w:val="24"/>
          <w:szCs w:val="24"/>
        </w:rPr>
      </w:pPr>
      <w:r w:rsidRPr="001B478F">
        <w:rPr>
          <w:rFonts w:ascii="宋体" w:eastAsia="宋体" w:hAnsi="宋体" w:hint="eastAsia"/>
          <w:sz w:val="24"/>
          <w:szCs w:val="24"/>
        </w:rPr>
        <w:t>3）本项目不接受分包、转包；</w:t>
      </w:r>
    </w:p>
    <w:p w14:paraId="4D20E73B" w14:textId="77777777" w:rsidR="001B478F" w:rsidRPr="001B478F" w:rsidRDefault="001B478F" w:rsidP="001B478F">
      <w:pPr>
        <w:adjustRightInd w:val="0"/>
        <w:snapToGrid w:val="0"/>
        <w:spacing w:line="360" w:lineRule="auto"/>
        <w:rPr>
          <w:rFonts w:ascii="宋体" w:eastAsia="宋体" w:hAnsi="宋体" w:hint="eastAsia"/>
          <w:sz w:val="24"/>
          <w:szCs w:val="24"/>
        </w:rPr>
      </w:pPr>
      <w:r w:rsidRPr="001B478F">
        <w:rPr>
          <w:rFonts w:ascii="宋体" w:eastAsia="宋体" w:hAnsi="宋体" w:hint="eastAsia"/>
          <w:sz w:val="24"/>
          <w:szCs w:val="24"/>
        </w:rPr>
        <w:t>4）单位负责人为同一人或者存在直接控股、管理关系的不同供应商，不得参加同一合同项下的采购活动。</w:t>
      </w:r>
    </w:p>
    <w:p w14:paraId="54239976" w14:textId="77777777" w:rsidR="001B478F" w:rsidRPr="001B478F" w:rsidRDefault="001B478F" w:rsidP="001B478F">
      <w:pPr>
        <w:adjustRightInd w:val="0"/>
        <w:snapToGrid w:val="0"/>
        <w:spacing w:line="360" w:lineRule="auto"/>
        <w:rPr>
          <w:rFonts w:ascii="宋体" w:eastAsia="宋体" w:hAnsi="宋体"/>
          <w:sz w:val="24"/>
          <w:szCs w:val="24"/>
        </w:rPr>
      </w:pPr>
      <w:r w:rsidRPr="001B478F">
        <w:rPr>
          <w:rFonts w:ascii="宋体" w:eastAsia="宋体" w:hAnsi="宋体" w:hint="eastAsia"/>
          <w:sz w:val="24"/>
          <w:szCs w:val="24"/>
        </w:rPr>
        <w:lastRenderedPageBreak/>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72A1DA86" w14:textId="3AAE84A6" w:rsidR="001D1C86" w:rsidRPr="002D6E4A" w:rsidRDefault="002D6E4A" w:rsidP="001B478F">
      <w:pPr>
        <w:adjustRightInd w:val="0"/>
        <w:snapToGrid w:val="0"/>
        <w:spacing w:line="360" w:lineRule="auto"/>
        <w:rPr>
          <w:rFonts w:ascii="宋体" w:eastAsia="宋体" w:hAnsi="宋体" w:hint="eastAsia"/>
          <w:b/>
          <w:sz w:val="24"/>
          <w:szCs w:val="24"/>
        </w:rPr>
      </w:pPr>
      <w:r w:rsidRPr="002D6E4A">
        <w:rPr>
          <w:rFonts w:ascii="宋体" w:eastAsia="宋体" w:hAnsi="宋体" w:hint="eastAsia"/>
          <w:b/>
          <w:sz w:val="24"/>
          <w:szCs w:val="24"/>
        </w:rPr>
        <w:t>（四）商务要求</w:t>
      </w:r>
    </w:p>
    <w:p w14:paraId="1C313A8B" w14:textId="0206C348" w:rsidR="00B97D7D" w:rsidRDefault="002D6E4A" w:rsidP="002D6E4A">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1、</w:t>
      </w:r>
      <w:r w:rsidRPr="002D6E4A">
        <w:rPr>
          <w:rFonts w:ascii="宋体" w:eastAsia="宋体" w:hAnsi="宋体" w:hint="eastAsia"/>
          <w:sz w:val="24"/>
          <w:szCs w:val="24"/>
        </w:rPr>
        <w:t>服务期限</w:t>
      </w:r>
      <w:r>
        <w:rPr>
          <w:rFonts w:ascii="宋体" w:eastAsia="宋体" w:hAnsi="宋体" w:hint="eastAsia"/>
          <w:sz w:val="24"/>
          <w:szCs w:val="24"/>
        </w:rPr>
        <w:t>：</w:t>
      </w:r>
      <w:r w:rsidR="001B478F" w:rsidRPr="001B478F">
        <w:rPr>
          <w:rFonts w:ascii="宋体" w:eastAsia="宋体" w:hAnsi="宋体" w:hint="eastAsia"/>
          <w:sz w:val="24"/>
          <w:szCs w:val="24"/>
        </w:rPr>
        <w:t>2025年8月5日-2026年8月4日具体开始时间以合同签订为准</w:t>
      </w:r>
    </w:p>
    <w:p w14:paraId="46493AAB" w14:textId="08255B6E" w:rsidR="002D6E4A" w:rsidRPr="002D6E4A" w:rsidRDefault="002D6E4A" w:rsidP="002D6E4A">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2、</w:t>
      </w:r>
      <w:r w:rsidRPr="002D6E4A">
        <w:rPr>
          <w:rFonts w:ascii="宋体" w:eastAsia="宋体" w:hAnsi="宋体" w:hint="eastAsia"/>
          <w:sz w:val="24"/>
          <w:szCs w:val="24"/>
        </w:rPr>
        <w:t>付款方式：</w:t>
      </w:r>
      <w:r w:rsidRPr="002D6E4A">
        <w:rPr>
          <w:rFonts w:ascii="宋体" w:eastAsia="宋体" w:hAnsi="宋体"/>
          <w:sz w:val="24"/>
          <w:szCs w:val="24"/>
        </w:rPr>
        <w:t xml:space="preserve"> </w:t>
      </w:r>
    </w:p>
    <w:p w14:paraId="6661B510" w14:textId="77777777" w:rsidR="001B478F" w:rsidRPr="001B478F" w:rsidRDefault="001B478F" w:rsidP="001B478F">
      <w:pPr>
        <w:adjustRightInd w:val="0"/>
        <w:snapToGrid w:val="0"/>
        <w:spacing w:line="360" w:lineRule="auto"/>
        <w:rPr>
          <w:rFonts w:ascii="宋体" w:eastAsia="宋体" w:hAnsi="宋体" w:hint="eastAsia"/>
          <w:sz w:val="24"/>
          <w:szCs w:val="24"/>
        </w:rPr>
      </w:pPr>
      <w:r w:rsidRPr="001B478F">
        <w:rPr>
          <w:rFonts w:ascii="宋体" w:eastAsia="宋体" w:hAnsi="宋体" w:hint="eastAsia"/>
          <w:sz w:val="24"/>
          <w:szCs w:val="24"/>
        </w:rPr>
        <w:t>（1）维护服务年度开始至完整服务6个月后，按照医院的付款流程，甲方向乙方支付当年维护服务费的50%，甲方每次付款前，乙方应先向甲方提供相应数额的有效正式发票，否则由此造成的任何延期付款责任与甲方无关。</w:t>
      </w:r>
    </w:p>
    <w:p w14:paraId="4D6C2358" w14:textId="77777777" w:rsidR="001B478F" w:rsidRPr="001B478F" w:rsidRDefault="001B478F" w:rsidP="001B478F">
      <w:pPr>
        <w:adjustRightInd w:val="0"/>
        <w:snapToGrid w:val="0"/>
        <w:spacing w:line="360" w:lineRule="auto"/>
        <w:rPr>
          <w:rFonts w:ascii="宋体" w:eastAsia="宋体" w:hAnsi="宋体" w:hint="eastAsia"/>
          <w:sz w:val="24"/>
          <w:szCs w:val="24"/>
        </w:rPr>
      </w:pPr>
      <w:r w:rsidRPr="001B478F">
        <w:rPr>
          <w:rFonts w:ascii="宋体" w:eastAsia="宋体" w:hAnsi="宋体" w:hint="eastAsia"/>
          <w:sz w:val="24"/>
          <w:szCs w:val="24"/>
        </w:rPr>
        <w:t>（2）本项目维保期结束后，如果运维满意度达到80分以上，甲方将按医院付款流程支付50%的合同款，并在维保期满前对乙方的维护服务进行评估，确定支付剩余维护费的比例，支付将在收到发票后根据医院付款流程支付，甲方将书面通知乙方扣减的维护费金额。</w:t>
      </w:r>
    </w:p>
    <w:p w14:paraId="5FAB1CF7" w14:textId="4894BC76" w:rsidR="002D6E4A" w:rsidRPr="001D1C86" w:rsidRDefault="001B478F" w:rsidP="001B478F">
      <w:pPr>
        <w:adjustRightInd w:val="0"/>
        <w:snapToGrid w:val="0"/>
        <w:spacing w:line="360" w:lineRule="auto"/>
        <w:rPr>
          <w:rFonts w:ascii="宋体" w:eastAsia="宋体" w:hAnsi="宋体" w:hint="eastAsia"/>
          <w:sz w:val="24"/>
          <w:szCs w:val="24"/>
        </w:rPr>
      </w:pPr>
      <w:r w:rsidRPr="001B478F">
        <w:rPr>
          <w:rFonts w:ascii="宋体" w:eastAsia="宋体" w:hAnsi="宋体" w:hint="eastAsia"/>
          <w:sz w:val="24"/>
          <w:szCs w:val="24"/>
        </w:rPr>
        <w:t>（3）如项目维护期存续期间，若因特殊原因造成项目维护期提前结束，则本项目涉及的维护期维护费用按照实际发生时长进行结算。</w:t>
      </w:r>
    </w:p>
    <w:sectPr w:rsidR="002D6E4A" w:rsidRPr="001D1C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12BD1" w14:textId="77777777" w:rsidR="002E581F" w:rsidRDefault="002E581F" w:rsidP="001D1C86">
      <w:pPr>
        <w:rPr>
          <w:rFonts w:hint="eastAsia"/>
        </w:rPr>
      </w:pPr>
      <w:r>
        <w:separator/>
      </w:r>
    </w:p>
  </w:endnote>
  <w:endnote w:type="continuationSeparator" w:id="0">
    <w:p w14:paraId="3BC390B1" w14:textId="77777777" w:rsidR="002E581F" w:rsidRDefault="002E581F" w:rsidP="001D1C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26AC7" w14:textId="77777777" w:rsidR="002E581F" w:rsidRDefault="002E581F" w:rsidP="001D1C86">
      <w:pPr>
        <w:rPr>
          <w:rFonts w:hint="eastAsia"/>
        </w:rPr>
      </w:pPr>
      <w:r>
        <w:separator/>
      </w:r>
    </w:p>
  </w:footnote>
  <w:footnote w:type="continuationSeparator" w:id="0">
    <w:p w14:paraId="075BCFBB" w14:textId="77777777" w:rsidR="002E581F" w:rsidRDefault="002E581F" w:rsidP="001D1C8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145B98"/>
    <w:multiLevelType w:val="singleLevel"/>
    <w:tmpl w:val="80145B98"/>
    <w:lvl w:ilvl="0">
      <w:start w:val="1"/>
      <w:numFmt w:val="decimal"/>
      <w:lvlText w:val="%1)"/>
      <w:lvlJc w:val="left"/>
      <w:pPr>
        <w:ind w:left="425" w:hanging="425"/>
      </w:pPr>
      <w:rPr>
        <w:rFonts w:hint="default"/>
      </w:rPr>
    </w:lvl>
  </w:abstractNum>
  <w:abstractNum w:abstractNumId="1" w15:restartNumberingAfterBreak="0">
    <w:nsid w:val="DB898561"/>
    <w:multiLevelType w:val="singleLevel"/>
    <w:tmpl w:val="DB898561"/>
    <w:lvl w:ilvl="0">
      <w:start w:val="2"/>
      <w:numFmt w:val="chineseCounting"/>
      <w:suff w:val="nothing"/>
      <w:lvlText w:val="%1、"/>
      <w:lvlJc w:val="left"/>
      <w:rPr>
        <w:rFonts w:hint="eastAsia"/>
      </w:rPr>
    </w:lvl>
  </w:abstractNum>
  <w:abstractNum w:abstractNumId="2" w15:restartNumberingAfterBreak="0">
    <w:nsid w:val="00000032"/>
    <w:multiLevelType w:val="multilevel"/>
    <w:tmpl w:val="00000032"/>
    <w:lvl w:ilvl="0">
      <w:start w:val="1"/>
      <w:numFmt w:val="chineseCountingThousand"/>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3" w15:restartNumberingAfterBreak="0">
    <w:nsid w:val="02184746"/>
    <w:multiLevelType w:val="singleLevel"/>
    <w:tmpl w:val="02184746"/>
    <w:lvl w:ilvl="0">
      <w:start w:val="1"/>
      <w:numFmt w:val="bullet"/>
      <w:lvlText w:val=""/>
      <w:lvlJc w:val="left"/>
      <w:pPr>
        <w:ind w:left="420" w:hanging="420"/>
      </w:pPr>
      <w:rPr>
        <w:rFonts w:ascii="Wingdings" w:hAnsi="Wingdings" w:hint="default"/>
      </w:rPr>
    </w:lvl>
  </w:abstractNum>
  <w:abstractNum w:abstractNumId="4" w15:restartNumberingAfterBreak="0">
    <w:nsid w:val="05B8109B"/>
    <w:multiLevelType w:val="multilevel"/>
    <w:tmpl w:val="05B8109B"/>
    <w:lvl w:ilvl="0">
      <w:start w:val="1"/>
      <w:numFmt w:val="decimal"/>
      <w:lvlText w:val="%1、"/>
      <w:lvlJc w:val="left"/>
      <w:pPr>
        <w:ind w:left="360" w:hanging="360"/>
      </w:pPr>
      <w:rPr>
        <w:rFonts w:ascii="宋体" w:eastAsia="宋体" w:hAnsi="宋体" w:hint="default"/>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4945CD69"/>
    <w:multiLevelType w:val="singleLevel"/>
    <w:tmpl w:val="4945CD69"/>
    <w:lvl w:ilvl="0">
      <w:start w:val="1"/>
      <w:numFmt w:val="bullet"/>
      <w:lvlText w:val=""/>
      <w:lvlJc w:val="left"/>
      <w:pPr>
        <w:ind w:left="420" w:hanging="420"/>
      </w:pPr>
      <w:rPr>
        <w:rFonts w:ascii="Wingdings" w:hAnsi="Wingdings" w:hint="default"/>
      </w:rPr>
    </w:lvl>
  </w:abstractNum>
  <w:abstractNum w:abstractNumId="6" w15:restartNumberingAfterBreak="0">
    <w:nsid w:val="5D0B44A8"/>
    <w:multiLevelType w:val="multilevel"/>
    <w:tmpl w:val="05B8109B"/>
    <w:lvl w:ilvl="0">
      <w:start w:val="1"/>
      <w:numFmt w:val="decimal"/>
      <w:lvlText w:val="%1、"/>
      <w:lvlJc w:val="left"/>
      <w:pPr>
        <w:ind w:left="360" w:hanging="360"/>
      </w:pPr>
      <w:rPr>
        <w:rFonts w:ascii="宋体" w:eastAsia="宋体" w:hAnsi="宋体" w:hint="default"/>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013413587">
    <w:abstractNumId w:val="2"/>
  </w:num>
  <w:num w:numId="2" w16cid:durableId="762384504">
    <w:abstractNumId w:val="1"/>
  </w:num>
  <w:num w:numId="3" w16cid:durableId="572744447">
    <w:abstractNumId w:val="0"/>
  </w:num>
  <w:num w:numId="4" w16cid:durableId="37512478">
    <w:abstractNumId w:val="5"/>
  </w:num>
  <w:num w:numId="5" w16cid:durableId="434404271">
    <w:abstractNumId w:val="3"/>
  </w:num>
  <w:num w:numId="6" w16cid:durableId="1487433583">
    <w:abstractNumId w:val="4"/>
  </w:num>
  <w:num w:numId="7" w16cid:durableId="899901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97888"/>
    <w:rsid w:val="0012412E"/>
    <w:rsid w:val="001B478F"/>
    <w:rsid w:val="001D1C86"/>
    <w:rsid w:val="00220551"/>
    <w:rsid w:val="002A1D4D"/>
    <w:rsid w:val="002D6E4A"/>
    <w:rsid w:val="002E581F"/>
    <w:rsid w:val="00357C93"/>
    <w:rsid w:val="003653C2"/>
    <w:rsid w:val="00802568"/>
    <w:rsid w:val="008623DF"/>
    <w:rsid w:val="0090336E"/>
    <w:rsid w:val="009D50C6"/>
    <w:rsid w:val="00B43BBE"/>
    <w:rsid w:val="00B97D7D"/>
    <w:rsid w:val="00E347A7"/>
    <w:rsid w:val="00F6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98AF2E"/>
  <w15:docId w15:val="{5732F4E6-3733-4143-B394-8D41864F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qFormat/>
    <w:rsid w:val="002D6E4A"/>
    <w:pPr>
      <w:keepNext/>
      <w:keepLines/>
      <w:adjustRightInd w:val="0"/>
      <w:spacing w:line="360" w:lineRule="auto"/>
      <w:textAlignment w:val="baseline"/>
      <w:outlineLvl w:val="1"/>
    </w:pPr>
    <w:rPr>
      <w:rFonts w:ascii="宋体" w:eastAsia="宋体" w:hAnsi="宋体" w:cs="Times New Roman"/>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character" w:customStyle="1" w:styleId="20">
    <w:name w:val="标题 2 字符"/>
    <w:basedOn w:val="a0"/>
    <w:link w:val="2"/>
    <w:uiPriority w:val="9"/>
    <w:qFormat/>
    <w:rsid w:val="002D6E4A"/>
    <w:rPr>
      <w:rFonts w:ascii="宋体" w:eastAsia="宋体" w:hAnsi="宋体" w:cs="Times New Roman"/>
      <w:bCs/>
      <w:kern w:val="0"/>
      <w:sz w:val="24"/>
      <w:szCs w:val="24"/>
    </w:rPr>
  </w:style>
  <w:style w:type="paragraph" w:styleId="a7">
    <w:name w:val="List Paragraph"/>
    <w:basedOn w:val="a"/>
    <w:uiPriority w:val="99"/>
    <w:qFormat/>
    <w:rsid w:val="00B97D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692</Words>
  <Characters>3950</Characters>
  <Application>Microsoft Office Word</Application>
  <DocSecurity>0</DocSecurity>
  <Lines>32</Lines>
  <Paragraphs>9</Paragraphs>
  <ScaleCrop>false</ScaleCrop>
  <Company>Organization</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10</cp:revision>
  <dcterms:created xsi:type="dcterms:W3CDTF">2024-03-28T03:06:00Z</dcterms:created>
  <dcterms:modified xsi:type="dcterms:W3CDTF">2025-04-03T09:00:00Z</dcterms:modified>
</cp:coreProperties>
</file>