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939CE">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13DE4ACD">
      <w:pPr>
        <w:adjustRightInd w:val="0"/>
        <w:snapToGrid w:val="0"/>
        <w:spacing w:line="360" w:lineRule="auto"/>
        <w:rPr>
          <w:rFonts w:ascii="宋体" w:hAnsi="宋体" w:eastAsia="宋体"/>
          <w:sz w:val="24"/>
          <w:szCs w:val="24"/>
        </w:rPr>
      </w:pPr>
      <w:r>
        <w:rPr>
          <w:rFonts w:hint="eastAsia" w:ascii="宋体" w:hAnsi="宋体" w:eastAsia="宋体"/>
          <w:sz w:val="24"/>
          <w:szCs w:val="24"/>
        </w:rPr>
        <w:t>除颤监护仪</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06"/>
        <w:gridCol w:w="1682"/>
        <w:gridCol w:w="1733"/>
        <w:gridCol w:w="1733"/>
      </w:tblGrid>
      <w:tr w14:paraId="1E03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vAlign w:val="center"/>
          </w:tcPr>
          <w:p w14:paraId="5AF96080">
            <w:pPr>
              <w:spacing w:line="360" w:lineRule="auto"/>
              <w:jc w:val="center"/>
              <w:rPr>
                <w:rFonts w:hint="eastAsia" w:ascii="宋体" w:hAnsi="宋体"/>
                <w:bCs/>
                <w:sz w:val="24"/>
                <w:szCs w:val="24"/>
              </w:rPr>
            </w:pPr>
            <w:r>
              <w:rPr>
                <w:rFonts w:hint="eastAsia" w:ascii="宋体" w:hAnsi="宋体"/>
                <w:bCs/>
                <w:sz w:val="24"/>
                <w:szCs w:val="24"/>
              </w:rPr>
              <w:t>序号</w:t>
            </w:r>
          </w:p>
        </w:tc>
        <w:tc>
          <w:tcPr>
            <w:tcW w:w="1418" w:type="dxa"/>
            <w:vAlign w:val="center"/>
          </w:tcPr>
          <w:p w14:paraId="2BF7E6D8">
            <w:pPr>
              <w:spacing w:line="360" w:lineRule="auto"/>
              <w:jc w:val="center"/>
              <w:rPr>
                <w:rFonts w:hint="eastAsia" w:ascii="宋体" w:hAnsi="宋体"/>
                <w:bCs/>
                <w:sz w:val="24"/>
                <w:szCs w:val="24"/>
              </w:rPr>
            </w:pPr>
            <w:r>
              <w:rPr>
                <w:rFonts w:hint="eastAsia" w:ascii="宋体" w:hAnsi="宋体"/>
                <w:bCs/>
                <w:sz w:val="24"/>
                <w:szCs w:val="24"/>
              </w:rPr>
              <w:t>内容</w:t>
            </w:r>
          </w:p>
        </w:tc>
        <w:tc>
          <w:tcPr>
            <w:tcW w:w="850" w:type="dxa"/>
            <w:vAlign w:val="center"/>
          </w:tcPr>
          <w:p w14:paraId="605FA5DD">
            <w:pPr>
              <w:spacing w:line="360" w:lineRule="auto"/>
              <w:jc w:val="center"/>
              <w:rPr>
                <w:rFonts w:hint="eastAsia" w:ascii="宋体" w:hAnsi="宋体"/>
                <w:bCs/>
                <w:sz w:val="24"/>
                <w:szCs w:val="24"/>
              </w:rPr>
            </w:pPr>
            <w:r>
              <w:rPr>
                <w:rFonts w:hint="eastAsia" w:ascii="宋体" w:hAnsi="宋体"/>
                <w:bCs/>
                <w:sz w:val="24"/>
                <w:szCs w:val="24"/>
              </w:rPr>
              <w:t>数量</w:t>
            </w:r>
          </w:p>
        </w:tc>
        <w:tc>
          <w:tcPr>
            <w:tcW w:w="876" w:type="dxa"/>
            <w:vAlign w:val="center"/>
          </w:tcPr>
          <w:p w14:paraId="506AEE5E">
            <w:pPr>
              <w:spacing w:line="360" w:lineRule="auto"/>
              <w:jc w:val="center"/>
              <w:rPr>
                <w:rFonts w:hint="eastAsia" w:ascii="宋体" w:hAnsi="宋体"/>
                <w:bCs/>
                <w:sz w:val="24"/>
                <w:szCs w:val="24"/>
              </w:rPr>
            </w:pPr>
            <w:r>
              <w:rPr>
                <w:rFonts w:hint="eastAsia" w:ascii="宋体" w:hAnsi="宋体"/>
                <w:bCs/>
                <w:sz w:val="24"/>
                <w:szCs w:val="24"/>
              </w:rPr>
              <w:t>单台最高限价</w:t>
            </w:r>
          </w:p>
        </w:tc>
        <w:tc>
          <w:tcPr>
            <w:tcW w:w="876" w:type="dxa"/>
            <w:vAlign w:val="center"/>
          </w:tcPr>
          <w:p w14:paraId="3147793F">
            <w:pPr>
              <w:spacing w:line="360" w:lineRule="auto"/>
              <w:jc w:val="center"/>
              <w:rPr>
                <w:rFonts w:hint="eastAsia" w:ascii="宋体" w:hAnsi="宋体"/>
                <w:bCs/>
                <w:sz w:val="24"/>
                <w:szCs w:val="24"/>
              </w:rPr>
            </w:pPr>
            <w:r>
              <w:rPr>
                <w:rFonts w:hint="eastAsia" w:ascii="宋体" w:hAnsi="宋体"/>
                <w:bCs/>
                <w:sz w:val="24"/>
                <w:szCs w:val="24"/>
              </w:rPr>
              <w:t>最高限价</w:t>
            </w:r>
          </w:p>
        </w:tc>
      </w:tr>
      <w:tr w14:paraId="4ECD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vAlign w:val="center"/>
          </w:tcPr>
          <w:p w14:paraId="7AA2B76A">
            <w:pPr>
              <w:spacing w:line="360" w:lineRule="auto"/>
              <w:jc w:val="center"/>
              <w:rPr>
                <w:rFonts w:hint="eastAsia" w:ascii="宋体" w:hAnsi="宋体"/>
                <w:bCs/>
                <w:sz w:val="24"/>
                <w:szCs w:val="24"/>
              </w:rPr>
            </w:pPr>
            <w:r>
              <w:rPr>
                <w:rFonts w:hint="eastAsia" w:ascii="宋体" w:hAnsi="宋体"/>
                <w:bCs/>
                <w:sz w:val="24"/>
                <w:szCs w:val="24"/>
              </w:rPr>
              <w:t>1</w:t>
            </w:r>
          </w:p>
        </w:tc>
        <w:tc>
          <w:tcPr>
            <w:tcW w:w="1418" w:type="dxa"/>
            <w:vAlign w:val="center"/>
          </w:tcPr>
          <w:p w14:paraId="4F6365A7">
            <w:pPr>
              <w:spacing w:line="360" w:lineRule="auto"/>
              <w:jc w:val="center"/>
              <w:rPr>
                <w:rFonts w:hint="eastAsia" w:ascii="宋体" w:hAnsi="宋体"/>
                <w:bCs/>
                <w:sz w:val="24"/>
                <w:szCs w:val="24"/>
              </w:rPr>
            </w:pPr>
            <w:r>
              <w:rPr>
                <w:rFonts w:hint="eastAsia" w:ascii="宋体" w:hAnsi="宋体"/>
                <w:bCs/>
                <w:sz w:val="24"/>
                <w:szCs w:val="24"/>
              </w:rPr>
              <w:t>除颤监护仪</w:t>
            </w:r>
          </w:p>
        </w:tc>
        <w:tc>
          <w:tcPr>
            <w:tcW w:w="850" w:type="dxa"/>
            <w:vAlign w:val="center"/>
          </w:tcPr>
          <w:p w14:paraId="333F9328">
            <w:pPr>
              <w:spacing w:line="360" w:lineRule="auto"/>
              <w:jc w:val="center"/>
              <w:rPr>
                <w:rFonts w:hint="eastAsia" w:ascii="宋体" w:hAnsi="宋体"/>
                <w:bCs/>
                <w:sz w:val="24"/>
                <w:szCs w:val="24"/>
              </w:rPr>
            </w:pPr>
            <w:r>
              <w:rPr>
                <w:rFonts w:hint="eastAsia" w:ascii="宋体" w:hAnsi="宋体"/>
                <w:bCs/>
                <w:sz w:val="24"/>
                <w:szCs w:val="24"/>
              </w:rPr>
              <w:t>24台</w:t>
            </w:r>
          </w:p>
        </w:tc>
        <w:tc>
          <w:tcPr>
            <w:tcW w:w="876" w:type="dxa"/>
            <w:vAlign w:val="center"/>
          </w:tcPr>
          <w:p w14:paraId="28FD370E">
            <w:pPr>
              <w:spacing w:line="360" w:lineRule="auto"/>
              <w:jc w:val="center"/>
              <w:rPr>
                <w:rFonts w:hint="eastAsia" w:ascii="宋体" w:hAnsi="宋体"/>
                <w:bCs/>
                <w:sz w:val="24"/>
                <w:szCs w:val="24"/>
              </w:rPr>
            </w:pPr>
            <w:r>
              <w:rPr>
                <w:rFonts w:hint="eastAsia" w:ascii="宋体" w:hAnsi="宋体"/>
                <w:bCs/>
                <w:sz w:val="24"/>
                <w:szCs w:val="24"/>
              </w:rPr>
              <w:t>4万</w:t>
            </w:r>
          </w:p>
        </w:tc>
        <w:tc>
          <w:tcPr>
            <w:tcW w:w="876" w:type="dxa"/>
            <w:vAlign w:val="center"/>
          </w:tcPr>
          <w:p w14:paraId="1535DF8B">
            <w:pPr>
              <w:spacing w:line="360" w:lineRule="auto"/>
              <w:jc w:val="center"/>
              <w:rPr>
                <w:rStyle w:val="14"/>
                <w:rFonts w:hint="eastAsia" w:ascii="宋体" w:hAnsi="宋体"/>
                <w:bCs/>
                <w:sz w:val="24"/>
              </w:rPr>
            </w:pPr>
            <w:r>
              <w:rPr>
                <w:rStyle w:val="14"/>
                <w:rFonts w:hint="eastAsia" w:ascii="宋体" w:hAnsi="宋体"/>
                <w:bCs/>
                <w:sz w:val="24"/>
              </w:rPr>
              <w:t>96万</w:t>
            </w:r>
          </w:p>
        </w:tc>
      </w:tr>
    </w:tbl>
    <w:p w14:paraId="4026A7BE">
      <w:pPr>
        <w:adjustRightInd w:val="0"/>
        <w:snapToGrid w:val="0"/>
        <w:spacing w:line="360" w:lineRule="auto"/>
        <w:rPr>
          <w:rFonts w:hint="eastAsia" w:ascii="宋体" w:hAnsi="宋体" w:eastAsia="宋体"/>
          <w:sz w:val="24"/>
          <w:szCs w:val="24"/>
        </w:rPr>
      </w:pPr>
    </w:p>
    <w:p w14:paraId="506D95A7">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1713022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（一）项目内容及要求</w:t>
      </w:r>
    </w:p>
    <w:p w14:paraId="22E674AA">
      <w:pPr>
        <w:widowControl/>
        <w:ind w:firstLine="480" w:firstLineChars="200"/>
        <w:jc w:val="left"/>
        <w:textAlignment w:val="baseline"/>
        <w:rPr>
          <w:rFonts w:hint="eastAsia" w:ascii="宋体" w:hAnsi="宋体" w:eastAsia="宋体"/>
          <w:sz w:val="24"/>
          <w:szCs w:val="24"/>
        </w:rPr>
      </w:pPr>
      <w:r>
        <w:rPr>
          <w:rFonts w:hint="eastAsia" w:ascii="宋体" w:hAnsi="宋体" w:eastAsia="宋体"/>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24DED1F1">
      <w:pPr>
        <w:numPr>
          <w:ilvl w:val="0"/>
          <w:numId w:val="2"/>
        </w:numPr>
        <w:spacing w:line="360" w:lineRule="auto"/>
        <w:rPr>
          <w:rFonts w:hint="eastAsia" w:ascii="宋体" w:hAnsi="宋体" w:eastAsia="宋体"/>
          <w:b/>
          <w:sz w:val="24"/>
          <w:szCs w:val="24"/>
        </w:rPr>
      </w:pPr>
      <w:bookmarkStart w:id="0" w:name="PO_PURCHASE_REQUIREMENT_FILE28186_2"/>
      <w:bookmarkStart w:id="1" w:name="PO_PURCHASE_REQUIREMENT_FILE36649_2"/>
      <w:bookmarkStart w:id="2" w:name="OLE_LINK2"/>
      <w:r>
        <w:rPr>
          <w:rFonts w:hint="eastAsia" w:ascii="宋体" w:hAnsi="宋体" w:eastAsia="宋体"/>
          <w:b/>
          <w:sz w:val="24"/>
          <w:szCs w:val="24"/>
        </w:rPr>
        <w:t>主要功能及工作原理：</w:t>
      </w:r>
    </w:p>
    <w:bookmarkEnd w:id="0"/>
    <w:bookmarkEnd w:id="1"/>
    <w:p w14:paraId="3E012A1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该产品用于对患者进行手动体外除颤、半自动体外除颤、起搏治疗和心电（ECG）监护；可升级脉搏血氧饱和度（SpO2）、无创血压（NIBP）、有创血压（IBP）、体温（TEMP）、呼吸（RESP）、二氧化碳（CO2）监护。 监护信息可以显示、回顾、存储和打印。监护参数适用于成人、小儿和新生儿。</w:t>
      </w:r>
    </w:p>
    <w:p w14:paraId="1F6D68EE">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应用场景：</w:t>
      </w:r>
    </w:p>
    <w:p w14:paraId="1FF63CD5">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 xml:space="preserve">1. 手动体外除颤功能适用于无呼吸和无脉搏的室颤以及室速患者。同步复律功能适用于终止房颤。 </w:t>
      </w:r>
    </w:p>
    <w:p w14:paraId="44888AED">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 xml:space="preserve">2. 半自动体外除颤功能适用于符合以下情况的心脏骤停患者：丧失反应性、无呼吸或呼吸不正常。 </w:t>
      </w:r>
    </w:p>
    <w:p w14:paraId="45466DE1">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 xml:space="preserve">3. 起搏功能适用于对心动过缓的患者进行治疗。如果处理及时，它同样有助于对停搏患者进行治疗。 </w:t>
      </w:r>
    </w:p>
    <w:p w14:paraId="5FA2B31D">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该产品支持在院前或院内使用，且只能由受过该设备操作培训并接受过基本生命支持和高级心脏支持培训的合格医务人员使用。</w:t>
      </w:r>
    </w:p>
    <w:p w14:paraId="36198486">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配置清单：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758"/>
        <w:gridCol w:w="1604"/>
      </w:tblGrid>
      <w:tr w14:paraId="3882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57" w:type="dxa"/>
            <w:shd w:val="clear" w:color="auto" w:fill="D9D9D9"/>
            <w:vAlign w:val="center"/>
          </w:tcPr>
          <w:p w14:paraId="76ABBF61">
            <w:pPr>
              <w:spacing w:line="360" w:lineRule="auto"/>
              <w:jc w:val="center"/>
              <w:rPr>
                <w:rFonts w:hint="eastAsia" w:ascii="宋体" w:hAnsi="宋体" w:eastAsia="宋体"/>
                <w:b/>
                <w:bCs/>
                <w:sz w:val="24"/>
                <w:szCs w:val="24"/>
              </w:rPr>
            </w:pPr>
            <w:r>
              <w:rPr>
                <w:rFonts w:hint="eastAsia" w:ascii="宋体" w:hAnsi="宋体" w:eastAsia="宋体"/>
                <w:b/>
                <w:bCs/>
                <w:sz w:val="24"/>
                <w:szCs w:val="24"/>
              </w:rPr>
              <w:t>序号</w:t>
            </w:r>
          </w:p>
        </w:tc>
        <w:tc>
          <w:tcPr>
            <w:tcW w:w="3758" w:type="dxa"/>
            <w:shd w:val="clear" w:color="auto" w:fill="D9D9D9"/>
            <w:vAlign w:val="center"/>
          </w:tcPr>
          <w:p w14:paraId="35D9E88C">
            <w:pPr>
              <w:spacing w:line="360" w:lineRule="auto"/>
              <w:jc w:val="center"/>
              <w:rPr>
                <w:rFonts w:hint="eastAsia" w:ascii="宋体" w:hAnsi="宋体" w:eastAsia="宋体"/>
                <w:b/>
                <w:bCs/>
                <w:sz w:val="24"/>
                <w:szCs w:val="24"/>
              </w:rPr>
            </w:pPr>
            <w:r>
              <w:rPr>
                <w:rFonts w:hint="eastAsia" w:ascii="宋体" w:hAnsi="宋体" w:eastAsia="宋体"/>
                <w:b/>
                <w:bCs/>
                <w:sz w:val="24"/>
                <w:szCs w:val="24"/>
              </w:rPr>
              <w:t>名称</w:t>
            </w:r>
          </w:p>
        </w:tc>
        <w:tc>
          <w:tcPr>
            <w:tcW w:w="1604" w:type="dxa"/>
            <w:shd w:val="clear" w:color="auto" w:fill="D9D9D9"/>
            <w:vAlign w:val="center"/>
          </w:tcPr>
          <w:p w14:paraId="03BB0387">
            <w:pPr>
              <w:spacing w:line="360" w:lineRule="auto"/>
              <w:jc w:val="center"/>
              <w:rPr>
                <w:rFonts w:hint="eastAsia" w:ascii="宋体" w:hAnsi="宋体" w:eastAsia="宋体"/>
                <w:b/>
                <w:bCs/>
                <w:sz w:val="24"/>
                <w:szCs w:val="24"/>
              </w:rPr>
            </w:pPr>
            <w:r>
              <w:rPr>
                <w:rFonts w:hint="eastAsia" w:ascii="宋体" w:hAnsi="宋体" w:eastAsia="宋体"/>
                <w:b/>
                <w:bCs/>
                <w:sz w:val="24"/>
                <w:szCs w:val="24"/>
              </w:rPr>
              <w:t>数量</w:t>
            </w:r>
          </w:p>
        </w:tc>
      </w:tr>
      <w:tr w14:paraId="291B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4104128">
            <w:pPr>
              <w:spacing w:line="360" w:lineRule="auto"/>
              <w:jc w:val="center"/>
              <w:rPr>
                <w:rFonts w:hint="eastAsia" w:ascii="宋体" w:hAnsi="宋体" w:eastAsia="宋体" w:cs="Calibri"/>
                <w:color w:val="000000"/>
                <w:kern w:val="0"/>
                <w:sz w:val="24"/>
                <w:szCs w:val="24"/>
                <w:lang w:bidi="ar"/>
              </w:rPr>
            </w:pPr>
            <w:r>
              <w:rPr>
                <w:rFonts w:hint="eastAsia" w:ascii="宋体" w:hAnsi="宋体" w:eastAsia="宋体"/>
                <w:sz w:val="24"/>
                <w:szCs w:val="24"/>
              </w:rPr>
              <w:t>1</w:t>
            </w:r>
          </w:p>
        </w:tc>
        <w:tc>
          <w:tcPr>
            <w:tcW w:w="3758" w:type="dxa"/>
            <w:shd w:val="clear" w:color="auto" w:fill="auto"/>
          </w:tcPr>
          <w:p w14:paraId="4EA05EF7">
            <w:pPr>
              <w:spacing w:line="360" w:lineRule="auto"/>
              <w:jc w:val="center"/>
              <w:rPr>
                <w:rFonts w:hint="eastAsia" w:ascii="宋体" w:hAnsi="宋体" w:eastAsia="宋体"/>
                <w:color w:val="000000"/>
                <w:kern w:val="0"/>
                <w:sz w:val="24"/>
                <w:szCs w:val="24"/>
              </w:rPr>
            </w:pPr>
            <w:r>
              <w:rPr>
                <w:rFonts w:hint="eastAsia" w:ascii="宋体" w:hAnsi="宋体" w:eastAsia="宋体"/>
                <w:sz w:val="24"/>
                <w:szCs w:val="24"/>
              </w:rPr>
              <w:t>主机</w:t>
            </w:r>
          </w:p>
        </w:tc>
        <w:tc>
          <w:tcPr>
            <w:tcW w:w="1604" w:type="dxa"/>
          </w:tcPr>
          <w:p w14:paraId="796815D9">
            <w:pPr>
              <w:spacing w:line="360" w:lineRule="auto"/>
              <w:jc w:val="center"/>
              <w:rPr>
                <w:rFonts w:hint="eastAsia" w:ascii="宋体" w:hAnsi="宋体" w:eastAsia="宋体"/>
                <w:color w:val="000000"/>
                <w:kern w:val="0"/>
                <w:sz w:val="24"/>
                <w:szCs w:val="24"/>
              </w:rPr>
            </w:pPr>
            <w:r>
              <w:rPr>
                <w:rFonts w:hint="eastAsia" w:ascii="宋体" w:hAnsi="宋体" w:eastAsia="宋体"/>
              </w:rPr>
              <w:t>24台</w:t>
            </w:r>
          </w:p>
        </w:tc>
      </w:tr>
      <w:tr w14:paraId="2C92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22D11FB">
            <w:pPr>
              <w:spacing w:line="360" w:lineRule="auto"/>
              <w:jc w:val="center"/>
              <w:rPr>
                <w:rFonts w:hint="eastAsia" w:ascii="宋体" w:hAnsi="宋体" w:eastAsia="宋体" w:cs="宋体"/>
                <w:sz w:val="24"/>
                <w:szCs w:val="24"/>
              </w:rPr>
            </w:pPr>
            <w:r>
              <w:rPr>
                <w:rFonts w:hint="eastAsia" w:ascii="宋体" w:hAnsi="宋体" w:eastAsia="宋体"/>
                <w:sz w:val="24"/>
                <w:szCs w:val="24"/>
              </w:rPr>
              <w:t>2</w:t>
            </w:r>
          </w:p>
        </w:tc>
        <w:tc>
          <w:tcPr>
            <w:tcW w:w="3758" w:type="dxa"/>
            <w:shd w:val="clear" w:color="auto" w:fill="auto"/>
          </w:tcPr>
          <w:p w14:paraId="66178EAB">
            <w:pPr>
              <w:spacing w:line="360" w:lineRule="auto"/>
              <w:jc w:val="center"/>
              <w:rPr>
                <w:rFonts w:hint="eastAsia" w:ascii="宋体" w:hAnsi="宋体" w:eastAsia="宋体" w:cs="Calibri"/>
                <w:color w:val="000000"/>
                <w:kern w:val="0"/>
                <w:sz w:val="24"/>
                <w:szCs w:val="24"/>
                <w:lang w:bidi="ar"/>
              </w:rPr>
            </w:pPr>
            <w:r>
              <w:rPr>
                <w:rFonts w:hint="eastAsia" w:ascii="宋体" w:hAnsi="宋体" w:eastAsia="宋体"/>
                <w:sz w:val="24"/>
                <w:szCs w:val="24"/>
              </w:rPr>
              <w:t>除颤手柄</w:t>
            </w:r>
          </w:p>
        </w:tc>
        <w:tc>
          <w:tcPr>
            <w:tcW w:w="1604" w:type="dxa"/>
          </w:tcPr>
          <w:p w14:paraId="30C910B6">
            <w:pPr>
              <w:spacing w:line="360" w:lineRule="auto"/>
              <w:jc w:val="center"/>
              <w:rPr>
                <w:rFonts w:hint="eastAsia" w:ascii="宋体" w:hAnsi="宋体" w:eastAsia="宋体" w:cs="Calibri"/>
                <w:color w:val="000000"/>
                <w:kern w:val="0"/>
                <w:sz w:val="24"/>
                <w:szCs w:val="24"/>
                <w:lang w:bidi="ar"/>
              </w:rPr>
            </w:pPr>
            <w:r>
              <w:rPr>
                <w:rFonts w:hint="eastAsia" w:ascii="宋体" w:hAnsi="宋体" w:eastAsia="宋体"/>
              </w:rPr>
              <w:t>24副</w:t>
            </w:r>
          </w:p>
        </w:tc>
      </w:tr>
      <w:tr w14:paraId="526B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9C4D5EE">
            <w:pPr>
              <w:spacing w:line="360" w:lineRule="auto"/>
              <w:jc w:val="center"/>
              <w:rPr>
                <w:rFonts w:hint="eastAsia" w:ascii="宋体" w:hAnsi="宋体" w:eastAsia="宋体" w:cs="宋体"/>
                <w:sz w:val="24"/>
                <w:szCs w:val="24"/>
              </w:rPr>
            </w:pPr>
            <w:r>
              <w:rPr>
                <w:rFonts w:hint="eastAsia" w:ascii="宋体" w:hAnsi="宋体" w:eastAsia="宋体"/>
                <w:sz w:val="24"/>
                <w:szCs w:val="24"/>
              </w:rPr>
              <w:t>3</w:t>
            </w:r>
          </w:p>
        </w:tc>
        <w:tc>
          <w:tcPr>
            <w:tcW w:w="3758" w:type="dxa"/>
            <w:shd w:val="clear" w:color="auto" w:fill="auto"/>
          </w:tcPr>
          <w:p w14:paraId="2F4FDD6F">
            <w:pPr>
              <w:spacing w:line="360" w:lineRule="auto"/>
              <w:jc w:val="center"/>
              <w:rPr>
                <w:rFonts w:hint="eastAsia" w:ascii="宋体" w:hAnsi="宋体" w:eastAsia="宋体" w:cs="Calibri"/>
                <w:color w:val="000000"/>
                <w:kern w:val="0"/>
                <w:sz w:val="24"/>
                <w:szCs w:val="24"/>
                <w:lang w:bidi="ar"/>
              </w:rPr>
            </w:pPr>
            <w:r>
              <w:rPr>
                <w:rFonts w:hint="eastAsia" w:ascii="宋体" w:hAnsi="宋体" w:eastAsia="宋体"/>
                <w:sz w:val="24"/>
                <w:szCs w:val="24"/>
              </w:rPr>
              <w:t>锂电池</w:t>
            </w:r>
          </w:p>
        </w:tc>
        <w:tc>
          <w:tcPr>
            <w:tcW w:w="1604" w:type="dxa"/>
          </w:tcPr>
          <w:p w14:paraId="25EEBA3A">
            <w:pPr>
              <w:spacing w:line="360" w:lineRule="auto"/>
              <w:jc w:val="center"/>
              <w:rPr>
                <w:rFonts w:hint="eastAsia" w:ascii="宋体" w:hAnsi="宋体" w:eastAsia="宋体" w:cs="Calibri"/>
                <w:color w:val="000000"/>
                <w:kern w:val="0"/>
                <w:sz w:val="24"/>
                <w:szCs w:val="24"/>
                <w:lang w:bidi="ar"/>
              </w:rPr>
            </w:pPr>
            <w:r>
              <w:rPr>
                <w:rFonts w:hint="eastAsia" w:ascii="宋体" w:hAnsi="宋体" w:eastAsia="宋体"/>
              </w:rPr>
              <w:t>24块</w:t>
            </w:r>
          </w:p>
        </w:tc>
      </w:tr>
      <w:tr w14:paraId="3672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6E0AF8D0">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3758" w:type="dxa"/>
            <w:shd w:val="clear" w:color="auto" w:fill="auto"/>
          </w:tcPr>
          <w:p w14:paraId="35F827D1">
            <w:pPr>
              <w:spacing w:line="360" w:lineRule="auto"/>
              <w:jc w:val="center"/>
              <w:rPr>
                <w:rFonts w:hint="eastAsia" w:ascii="宋体" w:hAnsi="宋体" w:eastAsia="宋体"/>
                <w:sz w:val="24"/>
                <w:szCs w:val="24"/>
              </w:rPr>
            </w:pPr>
            <w:r>
              <w:rPr>
                <w:rFonts w:hint="eastAsia" w:ascii="宋体" w:hAnsi="宋体" w:eastAsia="宋体"/>
                <w:sz w:val="24"/>
                <w:szCs w:val="24"/>
              </w:rPr>
              <w:t>心电抗除颤主电缆</w:t>
            </w:r>
          </w:p>
        </w:tc>
        <w:tc>
          <w:tcPr>
            <w:tcW w:w="1604" w:type="dxa"/>
          </w:tcPr>
          <w:p w14:paraId="0C1C5844">
            <w:pPr>
              <w:spacing w:line="360" w:lineRule="auto"/>
              <w:jc w:val="center"/>
              <w:rPr>
                <w:rFonts w:hint="eastAsia" w:ascii="宋体" w:hAnsi="宋体" w:eastAsia="宋体"/>
                <w:sz w:val="24"/>
                <w:szCs w:val="24"/>
              </w:rPr>
            </w:pPr>
            <w:r>
              <w:rPr>
                <w:rFonts w:hint="eastAsia" w:ascii="宋体" w:hAnsi="宋体" w:eastAsia="宋体"/>
              </w:rPr>
              <w:t>24根</w:t>
            </w:r>
          </w:p>
        </w:tc>
      </w:tr>
      <w:tr w14:paraId="4885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71DFA693">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3758" w:type="dxa"/>
            <w:shd w:val="clear" w:color="auto" w:fill="auto"/>
          </w:tcPr>
          <w:p w14:paraId="2C06517C">
            <w:pPr>
              <w:spacing w:line="360" w:lineRule="auto"/>
              <w:jc w:val="center"/>
              <w:rPr>
                <w:rFonts w:hint="eastAsia" w:ascii="宋体" w:hAnsi="宋体" w:eastAsia="宋体"/>
                <w:sz w:val="24"/>
                <w:szCs w:val="24"/>
              </w:rPr>
            </w:pPr>
            <w:r>
              <w:rPr>
                <w:rFonts w:hint="eastAsia" w:ascii="宋体" w:hAnsi="宋体" w:eastAsia="宋体"/>
                <w:sz w:val="24"/>
                <w:szCs w:val="24"/>
              </w:rPr>
              <w:t>3/5导联心电导联线</w:t>
            </w:r>
          </w:p>
        </w:tc>
        <w:tc>
          <w:tcPr>
            <w:tcW w:w="1604" w:type="dxa"/>
          </w:tcPr>
          <w:p w14:paraId="0970D419">
            <w:pPr>
              <w:spacing w:line="360" w:lineRule="auto"/>
              <w:jc w:val="center"/>
              <w:rPr>
                <w:rFonts w:hint="eastAsia" w:ascii="宋体" w:hAnsi="宋体" w:eastAsia="宋体"/>
                <w:sz w:val="24"/>
                <w:szCs w:val="24"/>
              </w:rPr>
            </w:pPr>
            <w:r>
              <w:rPr>
                <w:rFonts w:hint="eastAsia" w:ascii="宋体" w:hAnsi="宋体" w:eastAsia="宋体"/>
              </w:rPr>
              <w:t>24副</w:t>
            </w:r>
          </w:p>
        </w:tc>
      </w:tr>
      <w:tr w14:paraId="542F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727285A2">
            <w:pPr>
              <w:spacing w:line="360" w:lineRule="auto"/>
              <w:jc w:val="center"/>
              <w:rPr>
                <w:rFonts w:hint="eastAsia" w:ascii="宋体" w:hAnsi="宋体" w:eastAsia="宋体"/>
                <w:sz w:val="24"/>
                <w:szCs w:val="24"/>
              </w:rPr>
            </w:pPr>
            <w:r>
              <w:rPr>
                <w:rFonts w:hint="eastAsia" w:ascii="宋体" w:hAnsi="宋体" w:eastAsia="宋体"/>
                <w:sz w:val="24"/>
                <w:szCs w:val="24"/>
              </w:rPr>
              <w:t>6</w:t>
            </w:r>
          </w:p>
        </w:tc>
        <w:tc>
          <w:tcPr>
            <w:tcW w:w="3758" w:type="dxa"/>
            <w:shd w:val="clear" w:color="auto" w:fill="auto"/>
          </w:tcPr>
          <w:p w14:paraId="2E7D8FE3">
            <w:pPr>
              <w:spacing w:line="360" w:lineRule="auto"/>
              <w:jc w:val="center"/>
              <w:rPr>
                <w:rFonts w:hint="eastAsia" w:ascii="宋体" w:hAnsi="宋体" w:eastAsia="宋体"/>
                <w:sz w:val="24"/>
                <w:szCs w:val="24"/>
              </w:rPr>
            </w:pPr>
            <w:r>
              <w:rPr>
                <w:rFonts w:hint="eastAsia" w:ascii="宋体" w:hAnsi="宋体" w:eastAsia="宋体"/>
                <w:sz w:val="24"/>
                <w:szCs w:val="24"/>
              </w:rPr>
              <w:t>热敏记录纸</w:t>
            </w:r>
          </w:p>
        </w:tc>
        <w:tc>
          <w:tcPr>
            <w:tcW w:w="1604" w:type="dxa"/>
          </w:tcPr>
          <w:p w14:paraId="2205D102">
            <w:pPr>
              <w:spacing w:line="360" w:lineRule="auto"/>
              <w:jc w:val="center"/>
              <w:rPr>
                <w:rFonts w:hint="eastAsia" w:ascii="宋体" w:hAnsi="宋体" w:eastAsia="宋体"/>
                <w:sz w:val="24"/>
                <w:szCs w:val="24"/>
              </w:rPr>
            </w:pPr>
            <w:r>
              <w:rPr>
                <w:rFonts w:hint="eastAsia" w:ascii="宋体" w:hAnsi="宋体" w:eastAsia="宋体"/>
              </w:rPr>
              <w:t>24卷</w:t>
            </w:r>
          </w:p>
        </w:tc>
      </w:tr>
      <w:tr w14:paraId="11DE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4E04D18E">
            <w:pPr>
              <w:spacing w:line="360" w:lineRule="auto"/>
              <w:jc w:val="center"/>
              <w:rPr>
                <w:rFonts w:hint="eastAsia" w:ascii="宋体" w:hAnsi="宋体" w:eastAsia="宋体"/>
                <w:sz w:val="24"/>
                <w:szCs w:val="24"/>
              </w:rPr>
            </w:pPr>
            <w:r>
              <w:rPr>
                <w:rFonts w:hint="eastAsia" w:ascii="宋体" w:hAnsi="宋体" w:eastAsia="宋体"/>
                <w:sz w:val="24"/>
                <w:szCs w:val="24"/>
              </w:rPr>
              <w:t>7</w:t>
            </w:r>
          </w:p>
        </w:tc>
        <w:tc>
          <w:tcPr>
            <w:tcW w:w="3758" w:type="dxa"/>
            <w:shd w:val="clear" w:color="auto" w:fill="auto"/>
          </w:tcPr>
          <w:p w14:paraId="29E80150">
            <w:pPr>
              <w:spacing w:line="360" w:lineRule="auto"/>
              <w:jc w:val="center"/>
              <w:rPr>
                <w:rFonts w:hint="eastAsia" w:ascii="宋体" w:hAnsi="宋体" w:eastAsia="宋体"/>
                <w:sz w:val="24"/>
                <w:szCs w:val="24"/>
              </w:rPr>
            </w:pPr>
            <w:r>
              <w:rPr>
                <w:rFonts w:hint="eastAsia" w:ascii="宋体" w:hAnsi="宋体" w:eastAsia="宋体"/>
                <w:sz w:val="24"/>
                <w:szCs w:val="24"/>
              </w:rPr>
              <w:t>除颤导电胶</w:t>
            </w:r>
          </w:p>
        </w:tc>
        <w:tc>
          <w:tcPr>
            <w:tcW w:w="1604" w:type="dxa"/>
          </w:tcPr>
          <w:p w14:paraId="448733E7">
            <w:pPr>
              <w:spacing w:line="360" w:lineRule="auto"/>
              <w:jc w:val="center"/>
              <w:rPr>
                <w:rFonts w:hint="eastAsia" w:ascii="宋体" w:hAnsi="宋体" w:eastAsia="宋体"/>
                <w:sz w:val="24"/>
                <w:szCs w:val="24"/>
              </w:rPr>
            </w:pPr>
            <w:r>
              <w:rPr>
                <w:rFonts w:hint="eastAsia" w:ascii="宋体" w:hAnsi="宋体" w:eastAsia="宋体"/>
              </w:rPr>
              <w:t>24支</w:t>
            </w:r>
          </w:p>
        </w:tc>
      </w:tr>
      <w:tr w14:paraId="06A6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31A6D83F">
            <w:pPr>
              <w:spacing w:line="360" w:lineRule="auto"/>
              <w:jc w:val="center"/>
              <w:rPr>
                <w:rFonts w:hint="eastAsia" w:ascii="宋体" w:hAnsi="宋体" w:eastAsia="宋体"/>
                <w:sz w:val="24"/>
                <w:szCs w:val="24"/>
              </w:rPr>
            </w:pPr>
            <w:r>
              <w:rPr>
                <w:rFonts w:hint="eastAsia" w:ascii="宋体" w:hAnsi="宋体" w:eastAsia="宋体"/>
                <w:sz w:val="24"/>
                <w:szCs w:val="24"/>
              </w:rPr>
              <w:t>8</w:t>
            </w:r>
          </w:p>
        </w:tc>
        <w:tc>
          <w:tcPr>
            <w:tcW w:w="3758" w:type="dxa"/>
            <w:shd w:val="clear" w:color="auto" w:fill="auto"/>
          </w:tcPr>
          <w:p w14:paraId="68C2B71C">
            <w:pPr>
              <w:spacing w:line="360" w:lineRule="auto"/>
              <w:jc w:val="center"/>
              <w:rPr>
                <w:rFonts w:hint="eastAsia" w:ascii="宋体" w:hAnsi="宋体" w:eastAsia="宋体"/>
                <w:sz w:val="24"/>
                <w:szCs w:val="24"/>
              </w:rPr>
            </w:pPr>
            <w:r>
              <w:rPr>
                <w:rFonts w:hint="eastAsia" w:ascii="宋体" w:hAnsi="宋体" w:eastAsia="宋体"/>
                <w:sz w:val="24"/>
                <w:szCs w:val="24"/>
              </w:rPr>
              <w:t>使用说明书</w:t>
            </w:r>
          </w:p>
        </w:tc>
        <w:tc>
          <w:tcPr>
            <w:tcW w:w="1604" w:type="dxa"/>
          </w:tcPr>
          <w:p w14:paraId="10F79F4A">
            <w:pPr>
              <w:spacing w:line="360" w:lineRule="auto"/>
              <w:jc w:val="center"/>
              <w:rPr>
                <w:rFonts w:hint="eastAsia" w:ascii="宋体" w:hAnsi="宋体" w:eastAsia="宋体"/>
                <w:sz w:val="24"/>
                <w:szCs w:val="24"/>
              </w:rPr>
            </w:pPr>
            <w:r>
              <w:rPr>
                <w:rFonts w:hint="eastAsia" w:ascii="宋体" w:hAnsi="宋体" w:eastAsia="宋体"/>
              </w:rPr>
              <w:t>24本</w:t>
            </w:r>
          </w:p>
        </w:tc>
      </w:tr>
    </w:tbl>
    <w:p w14:paraId="707A2889">
      <w:pPr>
        <w:spacing w:line="360" w:lineRule="auto"/>
        <w:ind w:left="420"/>
        <w:rPr>
          <w:rFonts w:hint="eastAsia" w:ascii="宋体" w:hAnsi="宋体" w:eastAsia="宋体"/>
          <w:b/>
          <w:sz w:val="24"/>
          <w:szCs w:val="24"/>
        </w:rPr>
      </w:pPr>
    </w:p>
    <w:p w14:paraId="1971F3BB">
      <w:pPr>
        <w:numPr>
          <w:ilvl w:val="0"/>
          <w:numId w:val="3"/>
        </w:numPr>
        <w:spacing w:line="360" w:lineRule="auto"/>
        <w:rPr>
          <w:rFonts w:hint="eastAsia" w:ascii="宋体" w:hAnsi="宋体" w:eastAsia="宋体"/>
          <w:b/>
          <w:sz w:val="24"/>
          <w:szCs w:val="24"/>
        </w:rPr>
      </w:pPr>
      <w:bookmarkStart w:id="3" w:name="_Hlk188780782"/>
      <w:r>
        <w:rPr>
          <w:rFonts w:hint="eastAsia" w:ascii="宋体" w:hAnsi="宋体" w:eastAsia="宋体"/>
          <w:b/>
          <w:sz w:val="24"/>
          <w:szCs w:val="24"/>
        </w:rPr>
        <w:t>重要及一般技术参数</w:t>
      </w:r>
      <w:bookmarkEnd w:id="3"/>
      <w:r>
        <w:rPr>
          <w:rFonts w:hint="eastAsia" w:ascii="宋体" w:hAnsi="宋体" w:eastAsia="宋体"/>
          <w:b/>
          <w:sz w:val="24"/>
          <w:szCs w:val="24"/>
        </w:rPr>
        <w:t>：</w:t>
      </w:r>
    </w:p>
    <w:tbl>
      <w:tblPr>
        <w:tblStyle w:val="8"/>
        <w:tblW w:w="8295" w:type="dxa"/>
        <w:tblInd w:w="93" w:type="dxa"/>
        <w:tblLayout w:type="autofit"/>
        <w:tblCellMar>
          <w:top w:w="0" w:type="dxa"/>
          <w:left w:w="108" w:type="dxa"/>
          <w:bottom w:w="0" w:type="dxa"/>
          <w:right w:w="108" w:type="dxa"/>
        </w:tblCellMar>
      </w:tblPr>
      <w:tblGrid>
        <w:gridCol w:w="936"/>
        <w:gridCol w:w="7359"/>
      </w:tblGrid>
      <w:tr w14:paraId="06D870E2">
        <w:tblPrEx>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3D0A">
            <w:pPr>
              <w:widowControl/>
              <w:spacing w:line="360" w:lineRule="auto"/>
              <w:jc w:val="center"/>
              <w:textAlignment w:val="center"/>
              <w:rPr>
                <w:rFonts w:hint="eastAsia" w:ascii="宋体" w:hAnsi="宋体" w:eastAsia="宋体" w:cs="宋体"/>
                <w:b/>
                <w:bCs/>
                <w:color w:val="000000"/>
                <w:sz w:val="24"/>
                <w:szCs w:val="24"/>
              </w:rPr>
            </w:pPr>
            <w:r>
              <w:rPr>
                <w:rFonts w:ascii="宋体" w:hAnsi="宋体" w:eastAsia="宋体" w:cs="宋体"/>
                <w:b/>
                <w:bCs/>
                <w:color w:val="000000"/>
                <w:kern w:val="0"/>
                <w:sz w:val="24"/>
                <w:szCs w:val="24"/>
                <w:lang w:bidi="ar"/>
              </w:rPr>
              <w:t>序号</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5B83">
            <w:pPr>
              <w:widowControl/>
              <w:spacing w:line="360" w:lineRule="auto"/>
              <w:jc w:val="center"/>
              <w:textAlignment w:val="center"/>
              <w:rPr>
                <w:rFonts w:hint="eastAsia" w:ascii="宋体" w:hAnsi="宋体" w:eastAsia="宋体" w:cs="宋体"/>
                <w:b/>
                <w:bCs/>
                <w:color w:val="000000"/>
                <w:sz w:val="24"/>
                <w:szCs w:val="24"/>
              </w:rPr>
            </w:pPr>
            <w:r>
              <w:rPr>
                <w:rFonts w:ascii="宋体" w:hAnsi="宋体" w:eastAsia="宋体" w:cs="宋体"/>
                <w:b/>
                <w:bCs/>
                <w:color w:val="000000"/>
                <w:kern w:val="0"/>
                <w:sz w:val="24"/>
                <w:szCs w:val="24"/>
                <w:lang w:bidi="ar"/>
              </w:rPr>
              <w:t>需求描述</w:t>
            </w:r>
          </w:p>
        </w:tc>
      </w:tr>
      <w:tr w14:paraId="00910A9C">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3BBC">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6687">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重量：≤4.2kg（含电池）。</w:t>
            </w:r>
          </w:p>
        </w:tc>
      </w:tr>
      <w:tr w14:paraId="67F403C8">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B3AD">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C5BF">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彩色电容触摸屏≥8英寸, 分辨率1024×768像素，可显示≥5通道监护参数波形，支持手势操作、自动亮度调节。</w:t>
            </w:r>
          </w:p>
        </w:tc>
      </w:tr>
      <w:tr w14:paraId="1019CD4C">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EFDE">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D3D1">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提供图形化故障排除指引，帮助医护人员快速解决设备故障。</w:t>
            </w:r>
          </w:p>
        </w:tc>
      </w:tr>
      <w:tr w14:paraId="4A209AA0">
        <w:tblPrEx>
          <w:tblCellMar>
            <w:top w:w="0" w:type="dxa"/>
            <w:left w:w="108" w:type="dxa"/>
            <w:bottom w:w="0" w:type="dxa"/>
            <w:right w:w="108" w:type="dxa"/>
          </w:tblCellMar>
        </w:tblPrEx>
        <w:trPr>
          <w:trHeight w:val="25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451">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8ABF">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支持中文操作界面。</w:t>
            </w:r>
          </w:p>
        </w:tc>
      </w:tr>
      <w:tr w14:paraId="5081121C">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D2C6">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F04A">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屏幕显示心电波形扫描时间最大不小于36s。</w:t>
            </w:r>
          </w:p>
        </w:tc>
      </w:tr>
      <w:tr w14:paraId="6B9D4FAD">
        <w:tblPrEx>
          <w:tblCellMar>
            <w:top w:w="0" w:type="dxa"/>
            <w:left w:w="108" w:type="dxa"/>
            <w:bottom w:w="0" w:type="dxa"/>
            <w:right w:w="108" w:type="dxa"/>
          </w:tblCellMar>
        </w:tblPrEx>
        <w:trPr>
          <w:trHeight w:val="63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A41A">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微软雅黑"/>
                <w:color w:val="000000"/>
                <w:kern w:val="0"/>
                <w:sz w:val="24"/>
                <w:szCs w:val="24"/>
                <w:lang w:bidi="ar"/>
              </w:rPr>
              <w:t>▲</w:t>
            </w:r>
            <w:r>
              <w:rPr>
                <w:rFonts w:ascii="宋体" w:hAnsi="宋体" w:eastAsia="宋体" w:cs="宋体"/>
                <w:color w:val="000000"/>
                <w:kern w:val="0"/>
                <w:sz w:val="24"/>
                <w:szCs w:val="24"/>
                <w:lang w:bidi="ar"/>
              </w:rPr>
              <w:t>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2A72">
            <w:pPr>
              <w:widowControl/>
              <w:spacing w:line="360" w:lineRule="auto"/>
              <w:jc w:val="left"/>
              <w:textAlignment w:val="center"/>
              <w:rPr>
                <w:rFonts w:hint="eastAsia" w:ascii="宋体" w:hAnsi="宋体" w:eastAsia="宋体" w:cs="微软雅黑"/>
                <w:color w:val="000000"/>
                <w:sz w:val="24"/>
                <w:szCs w:val="24"/>
              </w:rPr>
            </w:pPr>
            <w:r>
              <w:rPr>
                <w:rStyle w:val="23"/>
                <w:rFonts w:hint="default"/>
                <w:lang w:bidi="ar"/>
              </w:rPr>
              <w:t>具备手动除颤、心电监护、呼吸监护、自动体外除颤（AED）功能、AED功能适用于29天以上人群。</w:t>
            </w:r>
          </w:p>
        </w:tc>
      </w:tr>
      <w:tr w14:paraId="5CC8087F">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7EC9">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9DE4">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除颤采用双相波技术，具备自动阻抗补偿功能。</w:t>
            </w:r>
          </w:p>
        </w:tc>
      </w:tr>
      <w:tr w14:paraId="552279F3">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3B8">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FCAE">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手动除颤分为同步和异步两种方式，能量分20档以上，可通过体外电极板进行能量选择，最大能量</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360J。</w:t>
            </w:r>
          </w:p>
        </w:tc>
      </w:tr>
      <w:tr w14:paraId="16ED9192">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4359">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63E1">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可配置体内除颤手柄，体内手动除颤能量选择：1/2/3/4/5/6/7/8/9/10/15/20/30/50 J。</w:t>
            </w:r>
          </w:p>
        </w:tc>
      </w:tr>
      <w:tr w14:paraId="69461ED2">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57EB">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AFF5">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支持至少三种尺寸体内除颤电极板，适用不同病人类型。</w:t>
            </w:r>
          </w:p>
        </w:tc>
      </w:tr>
      <w:tr w14:paraId="7E9BB13B">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4FCE">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72CB">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可配置带放电按键的体内除颤电极板。</w:t>
            </w:r>
          </w:p>
        </w:tc>
      </w:tr>
      <w:tr w14:paraId="7995BDFD">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1C52">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13F">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体外除颤电极板同时支持成人和小儿，一体化设计，支持快速切换。</w:t>
            </w:r>
          </w:p>
        </w:tc>
      </w:tr>
      <w:tr w14:paraId="5C6A712A">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8448">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6AE4">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电极板支持能量选择，充电和放电三步操作，满足单人除颤操作。</w:t>
            </w:r>
          </w:p>
        </w:tc>
      </w:tr>
      <w:tr w14:paraId="4D14790C">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3068">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0DB4">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AED除颤功能提供中文语音和中文提醒功能，对于抢救过程支持自动录音功能，记录时长≥8小时。</w:t>
            </w:r>
          </w:p>
        </w:tc>
      </w:tr>
      <w:tr w14:paraId="7172DCD7">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A637">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5231">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开机到可正常使用时间≤2s，符合临床使用。</w:t>
            </w:r>
          </w:p>
        </w:tc>
      </w:tr>
      <w:tr w14:paraId="2EAE6257">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2967">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33A7">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除颤充电迅速，充电至200J≤4s。</w:t>
            </w:r>
          </w:p>
        </w:tc>
      </w:tr>
      <w:tr w14:paraId="05073327">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60D2">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417D">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除颤后心电基线恢复时间≤2.5s。</w:t>
            </w:r>
          </w:p>
        </w:tc>
      </w:tr>
      <w:tr w14:paraId="20E6F949">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1160">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37D1">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从开始AED分析到放电准备就绪≤10s。</w:t>
            </w:r>
          </w:p>
        </w:tc>
      </w:tr>
      <w:tr w14:paraId="046F37AA">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3BBF">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▲19、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05D3">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体外电极板支持病人接触状态显示。</w:t>
            </w:r>
          </w:p>
        </w:tc>
      </w:tr>
      <w:tr w14:paraId="47AB8ACD">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173A">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D4D3">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支持智能分析功能，手动除颤模式下也可提供自动节律分析和操作指引。</w:t>
            </w:r>
          </w:p>
        </w:tc>
      </w:tr>
      <w:tr w14:paraId="2F92F0CA">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6BF">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52E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可选配</w:t>
            </w:r>
            <w:r>
              <w:rPr>
                <w:rFonts w:ascii="宋体" w:hAnsi="宋体" w:eastAsia="宋体" w:cs="宋体"/>
                <w:color w:val="000000"/>
                <w:kern w:val="0"/>
                <w:sz w:val="24"/>
                <w:szCs w:val="24"/>
                <w:lang w:bidi="ar"/>
              </w:rPr>
              <w:t>体外起搏功能，起搏分为固定和按需两种模式</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具备降速起搏功能。</w:t>
            </w:r>
          </w:p>
        </w:tc>
      </w:tr>
      <w:tr w14:paraId="6AA9EE0D">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530B">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A8C8">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具有支持升级CPR辅助功能的接口，CPR传感器设计符合2020 AHA指南，提供即时的按压反馈，设备界面提供按压深度、频率实时参数显示。</w:t>
            </w:r>
          </w:p>
        </w:tc>
      </w:tr>
      <w:tr w14:paraId="05AC7D02">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4A0F">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D30D">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可支持基于脉搏氧波形分析的心肺复苏质量指数，实现无创、实时评估人工心肺复苏质量。。</w:t>
            </w:r>
          </w:p>
        </w:tc>
      </w:tr>
      <w:tr w14:paraId="4C1376F6">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CB0">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B728">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提供CPR按压干扰滤过功能，通过除颤电极片或CPR传感器自动检测按压干扰并实时滤波，减少按压中断。</w:t>
            </w:r>
          </w:p>
        </w:tc>
      </w:tr>
      <w:tr w14:paraId="3595E4C5">
        <w:tblPrEx>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7C2">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9F88">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抢救结束后自动生成抢救报告，并可通过网络将除颤和按压数据自动上传至急救数据分析系统；急救数据分析系统提供抢救数据复盘、分析工具。</w:t>
            </w:r>
          </w:p>
        </w:tc>
      </w:tr>
      <w:tr w14:paraId="3306B21B">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3488">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17FB">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支持培训模式，包含CPR操作培训、抢救操作培训；可提供培训考核系统，支持多台设备同时接入进行在线培训、考核。</w:t>
            </w:r>
          </w:p>
        </w:tc>
      </w:tr>
      <w:tr w14:paraId="0F588F58">
        <w:tblPrEx>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78F2">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AC2A">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心电波形速度支持50 mm/s、25 mm/s、12.5 mm/s、6.25 mm/s。阻抗呼吸和呼吸末二氧化碳波形速度支持25 mm/s、12.5 mm/s、6.25 mm/s。血氧饱和度波形速度支持25 mm/s、12.5 mm/s。</w:t>
            </w:r>
          </w:p>
        </w:tc>
      </w:tr>
      <w:tr w14:paraId="46B8A908">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CC67">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766A">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通过心电电极片可监测的心律失常分析种类不少于27种。</w:t>
            </w:r>
          </w:p>
        </w:tc>
      </w:tr>
      <w:tr w14:paraId="5A262F14">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80A8">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29、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8452">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支持ST和QT实时分析。</w:t>
            </w:r>
          </w:p>
        </w:tc>
      </w:tr>
      <w:tr w14:paraId="69628935">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04AF">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6F0F">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阻抗呼吸率范围：0-200rpm。</w:t>
            </w:r>
          </w:p>
        </w:tc>
      </w:tr>
      <w:tr w14:paraId="7BC2174F">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B2A4">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DEC6">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具有监护功能升级接口：支持血氧饱和度、无创血压、呼吸末二氧化碳、体温、有创血压等。</w:t>
            </w:r>
            <w:bookmarkStart w:id="5" w:name="_GoBack"/>
            <w:bookmarkEnd w:id="5"/>
          </w:p>
        </w:tc>
      </w:tr>
      <w:tr w14:paraId="3E2A56F7">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398B">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6F79">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提供的监护参数适用于成人，小儿和新生儿</w:t>
            </w:r>
            <w:r>
              <w:rPr>
                <w:rFonts w:hint="eastAsia" w:ascii="宋体" w:hAnsi="宋体" w:eastAsia="宋体" w:cs="宋体"/>
                <w:color w:val="000000"/>
                <w:kern w:val="0"/>
                <w:sz w:val="24"/>
                <w:szCs w:val="24"/>
                <w:lang w:bidi="ar"/>
              </w:rPr>
              <w:t>。</w:t>
            </w:r>
          </w:p>
        </w:tc>
      </w:tr>
      <w:tr w14:paraId="04324BD7">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0BAE">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1D21">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脉率范围：20-300bpm。</w:t>
            </w:r>
          </w:p>
        </w:tc>
      </w:tr>
      <w:tr w14:paraId="0C64EB6A">
        <w:tblPrEx>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2A36">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0873">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无创血压收缩压测量范围：25-290mmHg（成人）、25-240mmHg（小儿）、25-140mmHg（新生儿），舒张压测量范围：10-250mmHg（成人）、10-200mmHg（小儿），10-115mmHg（新生儿）。</w:t>
            </w:r>
          </w:p>
        </w:tc>
      </w:tr>
      <w:tr w14:paraId="4A137E6A">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E780">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D07F">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可根据病人类型自动切换除颤默认能量、CPR提示和参数报警限。</w:t>
            </w:r>
          </w:p>
        </w:tc>
      </w:tr>
      <w:tr w14:paraId="4623C724">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8006">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4603">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支持连接中央站，与科室床旁监护仪共用监护网络。</w:t>
            </w:r>
          </w:p>
        </w:tc>
      </w:tr>
      <w:tr w14:paraId="72AAE34C">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990D">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73EC">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支持通过中央站远程修改病人信息和系统时间同步。</w:t>
            </w:r>
          </w:p>
        </w:tc>
      </w:tr>
      <w:tr w14:paraId="3113C268">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CE27">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653E">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支持提供</w:t>
            </w:r>
            <w:bookmarkStart w:id="4" w:name="OLE_LINK3"/>
            <w:r>
              <w:rPr>
                <w:rFonts w:ascii="宋体" w:hAnsi="宋体" w:eastAsia="宋体" w:cs="宋体"/>
                <w:color w:val="000000"/>
                <w:kern w:val="0"/>
                <w:sz w:val="24"/>
                <w:szCs w:val="24"/>
                <w:lang w:bidi="ar"/>
              </w:rPr>
              <w:t>IHE HL7协议</w:t>
            </w:r>
            <w:bookmarkEnd w:id="4"/>
            <w:r>
              <w:rPr>
                <w:rFonts w:ascii="宋体" w:hAnsi="宋体" w:eastAsia="宋体" w:cs="宋体"/>
                <w:color w:val="000000"/>
                <w:kern w:val="0"/>
                <w:sz w:val="24"/>
                <w:szCs w:val="24"/>
                <w:lang w:bidi="ar"/>
              </w:rPr>
              <w:t>，满足院前院内急救系统的联网通信。</w:t>
            </w:r>
          </w:p>
        </w:tc>
      </w:tr>
      <w:tr w14:paraId="3F7CCB1E">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E32D">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▲39、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158F">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标配1块外置智能锂电池，可支持200J除颤≥300次</w:t>
            </w:r>
            <w:r>
              <w:rPr>
                <w:rFonts w:hint="eastAsia" w:ascii="宋体" w:hAnsi="宋体" w:eastAsia="宋体" w:cs="宋体"/>
                <w:color w:val="000000"/>
                <w:kern w:val="0"/>
                <w:sz w:val="24"/>
                <w:szCs w:val="24"/>
                <w:lang w:bidi="ar"/>
              </w:rPr>
              <w:t>。</w:t>
            </w:r>
          </w:p>
        </w:tc>
      </w:tr>
      <w:tr w14:paraId="65ED873F">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1245">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A8C5">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无需开机或拆机即可查看电池电量；电池可徒手拆卸，无需拆机，便于维护。</w:t>
            </w:r>
          </w:p>
        </w:tc>
      </w:tr>
      <w:tr w14:paraId="6102A6CE">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B7D">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510F">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具备生理报警和技术报警功能，通过声音、文字和灯光3种方式进行报警。</w:t>
            </w:r>
          </w:p>
        </w:tc>
      </w:tr>
      <w:tr w14:paraId="7281A30B">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1E6D">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2385">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配置50mm记录纸记录仪，可同时打印不少于3通道波形；自动打印除颤记录，单次波形记录时间最大不小于30s；支持连续波形记录。</w:t>
            </w:r>
          </w:p>
        </w:tc>
      </w:tr>
      <w:tr w14:paraId="745DBC3B">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D567">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CCB9">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可存储</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120小时连续ECG波形，数据可导出至电脑查看。</w:t>
            </w:r>
          </w:p>
        </w:tc>
      </w:tr>
      <w:tr w14:paraId="6823EA43">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1A45">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A635">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关机状态下设备支持每天定时自动运行自检（含监护模块和治疗模块），支持定期自动大能量自检（最大放电能量）。</w:t>
            </w:r>
          </w:p>
        </w:tc>
      </w:tr>
      <w:tr w14:paraId="53F4AA57">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F038">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730E">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支持设备状态指示灯用户检测。</w:t>
            </w:r>
          </w:p>
        </w:tc>
      </w:tr>
      <w:tr w14:paraId="578BDB21">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A5AB">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7B3">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设备自检后支持对于自检报告进行自动打印或按需打印。</w:t>
            </w:r>
          </w:p>
        </w:tc>
      </w:tr>
      <w:tr w14:paraId="2C5AF078">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574F">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2EC3">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支持自检放电能量精度显示和打印。</w:t>
            </w:r>
          </w:p>
        </w:tc>
      </w:tr>
      <w:tr w14:paraId="63FC4672">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E85D">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F72E">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可自动上传自检报告，并支持在设备管理系统或中央站集中查看除颤设备状态</w:t>
            </w:r>
          </w:p>
        </w:tc>
      </w:tr>
      <w:tr w14:paraId="0AFB1912">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018">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▲49、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FC26">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具备良好的防尘防水性能，防尘防水级别</w:t>
            </w:r>
            <w:r>
              <w:rPr>
                <w:rFonts w:hint="eastAsia" w:ascii="宋体" w:hAnsi="宋体" w:eastAsia="宋体" w:cs="宋体"/>
                <w:color w:val="000000"/>
                <w:kern w:val="0"/>
                <w:sz w:val="24"/>
                <w:szCs w:val="24"/>
                <w:lang w:bidi="ar"/>
              </w:rPr>
              <w:t>至少</w:t>
            </w:r>
            <w:r>
              <w:rPr>
                <w:rFonts w:ascii="宋体" w:hAnsi="宋体" w:eastAsia="宋体" w:cs="宋体"/>
                <w:color w:val="000000"/>
                <w:kern w:val="0"/>
                <w:sz w:val="24"/>
                <w:szCs w:val="24"/>
                <w:lang w:bidi="ar"/>
              </w:rPr>
              <w:t>IP55。</w:t>
            </w:r>
          </w:p>
        </w:tc>
      </w:tr>
      <w:tr w14:paraId="2F368DAD">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8428">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50、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CA58">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具备优异的抗跌落性能，可承受0.75米跌落冲击。</w:t>
            </w:r>
          </w:p>
        </w:tc>
      </w:tr>
      <w:tr w14:paraId="28D1AA4C">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FB6A">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51、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FBFB">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工作环境温度范围：-20°C-55°C，湿度范围：5%-95%，大气压范围：57.0 kPa ～ 106.2 kPa。</w:t>
            </w:r>
          </w:p>
        </w:tc>
      </w:tr>
      <w:tr w14:paraId="46EA0546">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DE7C">
            <w:pPr>
              <w:widowControl/>
              <w:spacing w:line="360" w:lineRule="auto"/>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52、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E95B">
            <w:pPr>
              <w:widowControl/>
              <w:spacing w:line="360" w:lineRule="auto"/>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除颤仪可升级与同品牌呼吸机以及非同品牌输注泵通过无线方式融合显示在中央站界面</w:t>
            </w:r>
          </w:p>
        </w:tc>
      </w:tr>
    </w:tbl>
    <w:p w14:paraId="58CE523F">
      <w:pPr>
        <w:spacing w:line="360" w:lineRule="auto"/>
        <w:ind w:left="420"/>
        <w:rPr>
          <w:rFonts w:hint="eastAsia" w:ascii="宋体" w:hAnsi="宋体" w:eastAsia="宋体"/>
          <w:b/>
          <w:sz w:val="24"/>
          <w:szCs w:val="24"/>
        </w:rPr>
      </w:pPr>
    </w:p>
    <w:p w14:paraId="7E361386">
      <w:pPr>
        <w:numPr>
          <w:ilvl w:val="0"/>
          <w:numId w:val="3"/>
        </w:numPr>
        <w:spacing w:line="360" w:lineRule="auto"/>
        <w:rPr>
          <w:rFonts w:hint="eastAsia" w:ascii="宋体" w:hAnsi="宋体" w:eastAsia="宋体"/>
          <w:b/>
          <w:sz w:val="24"/>
          <w:szCs w:val="24"/>
        </w:rPr>
      </w:pPr>
      <w:r>
        <w:rPr>
          <w:rFonts w:hint="eastAsia" w:ascii="宋体" w:hAnsi="宋体" w:eastAsia="宋体"/>
          <w:b/>
          <w:sz w:val="24"/>
          <w:szCs w:val="24"/>
        </w:rPr>
        <w:t>项目售后服务要求</w:t>
      </w:r>
    </w:p>
    <w:bookmarkEnd w:id="2"/>
    <w:p w14:paraId="374B7752">
      <w:pPr>
        <w:spacing w:line="360" w:lineRule="auto"/>
        <w:jc w:val="left"/>
        <w:rPr>
          <w:rFonts w:hint="eastAsia" w:ascii="宋体" w:hAnsi="宋体" w:eastAsia="宋体"/>
          <w:sz w:val="24"/>
          <w:szCs w:val="24"/>
        </w:rPr>
      </w:pPr>
      <w:r>
        <w:rPr>
          <w:rFonts w:hint="eastAsia" w:ascii="宋体" w:hAnsi="宋体" w:eastAsia="宋体"/>
          <w:sz w:val="24"/>
          <w:szCs w:val="24"/>
        </w:rPr>
        <w:t>1.供货价为最终用户价，包括但不限于设备采购费、系统集成费、人工费、税费等，所有运费、保险均由投标方承担。</w:t>
      </w:r>
    </w:p>
    <w:p w14:paraId="652D6392">
      <w:pPr>
        <w:spacing w:line="360" w:lineRule="auto"/>
        <w:jc w:val="left"/>
        <w:rPr>
          <w:rFonts w:hint="eastAsia" w:ascii="宋体" w:hAnsi="宋体" w:eastAsia="宋体"/>
          <w:sz w:val="24"/>
          <w:szCs w:val="24"/>
        </w:rPr>
      </w:pPr>
      <w:r>
        <w:rPr>
          <w:rFonts w:hint="eastAsia" w:ascii="宋体" w:hAnsi="宋体" w:eastAsia="宋体"/>
          <w:sz w:val="24"/>
          <w:szCs w:val="24"/>
        </w:rPr>
        <w:t>2.设备是全新的、未使用过的，并完全符合规定的质量、规格和性能的要求。投标方负责提供设备数据接口。</w:t>
      </w:r>
    </w:p>
    <w:p w14:paraId="1951CFA1">
      <w:pPr>
        <w:spacing w:line="360" w:lineRule="auto"/>
        <w:jc w:val="left"/>
        <w:rPr>
          <w:rFonts w:hint="eastAsia" w:ascii="宋体" w:hAnsi="宋体" w:eastAsia="宋体"/>
          <w:sz w:val="24"/>
          <w:szCs w:val="24"/>
        </w:rPr>
      </w:pPr>
      <w:r>
        <w:rPr>
          <w:rFonts w:hint="eastAsia" w:ascii="宋体" w:hAnsi="宋体" w:eastAsia="宋体"/>
          <w:sz w:val="24"/>
          <w:szCs w:val="24"/>
        </w:rPr>
        <w:t>3.由投标方负责安装，提供场地安装要求图，根据医院要求摆放到指定地点。调试：由设备生产厂商委派专职工程师完成设备调试功工作。</w:t>
      </w:r>
    </w:p>
    <w:p w14:paraId="72970311">
      <w:pPr>
        <w:spacing w:line="360" w:lineRule="auto"/>
        <w:jc w:val="left"/>
        <w:rPr>
          <w:rFonts w:hint="eastAsia" w:ascii="宋体" w:hAnsi="宋体" w:eastAsia="宋体"/>
          <w:sz w:val="24"/>
          <w:szCs w:val="24"/>
        </w:rPr>
      </w:pPr>
      <w:r>
        <w:rPr>
          <w:rFonts w:hint="eastAsia" w:ascii="宋体" w:hAnsi="宋体" w:eastAsia="宋体"/>
          <w:sz w:val="24"/>
          <w:szCs w:val="24"/>
        </w:rPr>
        <w:t>4.验收方案：根据国家标准及厂方标准，按招、投标文件配置和功能要求，对产品的功能参数、配置逐项进行质量验收。</w:t>
      </w:r>
    </w:p>
    <w:p w14:paraId="265D8A21">
      <w:pPr>
        <w:spacing w:line="360" w:lineRule="auto"/>
        <w:jc w:val="left"/>
        <w:rPr>
          <w:rFonts w:hint="eastAsia" w:ascii="宋体" w:hAnsi="宋体" w:eastAsia="宋体"/>
          <w:sz w:val="24"/>
          <w:szCs w:val="24"/>
        </w:rPr>
      </w:pPr>
      <w:r>
        <w:rPr>
          <w:rFonts w:hint="eastAsia" w:ascii="宋体" w:hAnsi="宋体" w:eastAsia="宋体"/>
          <w:sz w:val="24"/>
          <w:szCs w:val="24"/>
        </w:rPr>
        <w:t>5.保证对所售设备提供专业的7*24小时原厂技术服务和技术支持，2小时内响应，24小时内到达现场处理故障。若超过24小时无法修复的，提供与该设备相同的备用机。</w:t>
      </w:r>
    </w:p>
    <w:p w14:paraId="6D88DDA4">
      <w:pPr>
        <w:spacing w:line="360" w:lineRule="auto"/>
        <w:jc w:val="left"/>
        <w:rPr>
          <w:rFonts w:hint="eastAsia" w:ascii="宋体" w:hAnsi="宋体" w:eastAsia="宋体"/>
          <w:sz w:val="24"/>
          <w:szCs w:val="24"/>
        </w:rPr>
      </w:pPr>
      <w:r>
        <w:rPr>
          <w:rFonts w:hint="eastAsia" w:ascii="宋体" w:hAnsi="宋体" w:eastAsia="宋体"/>
          <w:sz w:val="24"/>
          <w:szCs w:val="24"/>
        </w:rPr>
        <w:t>6.供应商派原厂专业技术人员在项目现场提供临床操作及维修人员培训，培训次数≥4次，维保次数≥4次。</w:t>
      </w:r>
    </w:p>
    <w:p w14:paraId="36ABCB9F">
      <w:pPr>
        <w:spacing w:line="360" w:lineRule="auto"/>
        <w:jc w:val="left"/>
        <w:rPr>
          <w:rFonts w:hint="eastAsia" w:ascii="宋体" w:hAnsi="宋体" w:eastAsia="宋体"/>
          <w:sz w:val="24"/>
          <w:szCs w:val="24"/>
        </w:rPr>
      </w:pPr>
      <w:r>
        <w:rPr>
          <w:rFonts w:hint="eastAsia" w:ascii="宋体" w:hAnsi="宋体" w:eastAsia="宋体"/>
          <w:sz w:val="24"/>
          <w:szCs w:val="24"/>
        </w:rPr>
        <w:t>★7.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77AF7417">
      <w:pPr>
        <w:spacing w:line="360" w:lineRule="auto"/>
        <w:jc w:val="left"/>
        <w:rPr>
          <w:rFonts w:hint="eastAsia" w:ascii="宋体" w:hAnsi="宋体" w:eastAsia="宋体"/>
          <w:sz w:val="24"/>
          <w:szCs w:val="24"/>
        </w:rPr>
      </w:pPr>
      <w:r>
        <w:rPr>
          <w:rFonts w:hint="eastAsia" w:ascii="宋体" w:hAnsi="宋体" w:eastAsia="宋体"/>
          <w:sz w:val="24"/>
          <w:szCs w:val="24"/>
        </w:rPr>
        <w:t xml:space="preserve">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210594B0">
      <w:pPr>
        <w:spacing w:line="360" w:lineRule="auto"/>
        <w:jc w:val="left"/>
        <w:rPr>
          <w:rFonts w:hint="eastAsia" w:ascii="宋体" w:hAnsi="宋体" w:eastAsia="宋体"/>
          <w:sz w:val="24"/>
          <w:szCs w:val="24"/>
        </w:rPr>
      </w:pPr>
      <w:r>
        <w:rPr>
          <w:rFonts w:hint="eastAsia" w:ascii="宋体" w:hAnsi="宋体" w:eastAsia="宋体"/>
          <w:sz w:val="24"/>
          <w:szCs w:val="24"/>
        </w:rPr>
        <w:t>9.提供终身软件升级、安装调试服务。</w:t>
      </w:r>
    </w:p>
    <w:p w14:paraId="6E25E100">
      <w:pPr>
        <w:spacing w:line="360" w:lineRule="auto"/>
        <w:jc w:val="left"/>
        <w:rPr>
          <w:rFonts w:hint="eastAsia" w:ascii="宋体" w:hAnsi="宋体" w:eastAsia="宋体"/>
          <w:sz w:val="24"/>
          <w:szCs w:val="24"/>
        </w:rPr>
      </w:pPr>
      <w:r>
        <w:rPr>
          <w:rFonts w:hint="eastAsia" w:ascii="宋体" w:hAnsi="宋体" w:eastAsia="宋体"/>
          <w:sz w:val="24"/>
          <w:szCs w:val="24"/>
        </w:rPr>
        <w:t>10.提供原厂技术援助：如提供操作手册，每年技术回访。</w:t>
      </w:r>
    </w:p>
    <w:p w14:paraId="3E35BEA0">
      <w:pPr>
        <w:spacing w:line="360" w:lineRule="auto"/>
        <w:jc w:val="left"/>
        <w:rPr>
          <w:rFonts w:hint="eastAsia" w:ascii="宋体" w:hAnsi="宋体" w:eastAsia="宋体"/>
          <w:sz w:val="24"/>
          <w:szCs w:val="24"/>
        </w:rPr>
      </w:pPr>
      <w:r>
        <w:rPr>
          <w:rFonts w:hint="eastAsia" w:ascii="宋体" w:hAnsi="宋体" w:eastAsia="宋体"/>
          <w:sz w:val="24"/>
          <w:szCs w:val="24"/>
        </w:rPr>
        <w:t>11.投标文件中分别提供随机易损件和易耗件清单（计入投标总价），和质保期结束后的备品备件、易损件和易耗件清单一览表（不计入投标总价）。</w:t>
      </w:r>
    </w:p>
    <w:p w14:paraId="2EDEE342">
      <w:pPr>
        <w:spacing w:line="360" w:lineRule="auto"/>
        <w:jc w:val="left"/>
        <w:rPr>
          <w:rFonts w:hint="eastAsia" w:ascii="宋体" w:hAnsi="宋体" w:eastAsia="宋体"/>
          <w:sz w:val="24"/>
          <w:szCs w:val="24"/>
        </w:rPr>
      </w:pPr>
      <w:r>
        <w:rPr>
          <w:rFonts w:hint="eastAsia" w:ascii="宋体" w:hAnsi="宋体" w:eastAsia="宋体"/>
          <w:sz w:val="24"/>
          <w:szCs w:val="24"/>
        </w:rPr>
        <w:t>12.备品备件供货价格：不得超过市场价格的50%。投标时需填写上述价格，出质保期后，上述产品供货价格以双方最终认定价格为准，且采购人有权更换供货方。配件供应 10 年以上。</w:t>
      </w:r>
    </w:p>
    <w:p w14:paraId="37C11A5E">
      <w:pPr>
        <w:spacing w:line="360" w:lineRule="auto"/>
        <w:jc w:val="left"/>
        <w:rPr>
          <w:rFonts w:hint="eastAsia" w:ascii="宋体" w:hAnsi="宋体" w:eastAsia="宋体"/>
          <w:sz w:val="24"/>
          <w:szCs w:val="24"/>
        </w:rPr>
      </w:pPr>
      <w:r>
        <w:rPr>
          <w:rFonts w:hint="eastAsia" w:ascii="宋体" w:hAnsi="宋体" w:eastAsia="宋体"/>
          <w:sz w:val="24"/>
          <w:szCs w:val="24"/>
        </w:rPr>
        <w:t>13.维保内容与价格：质保期后，维保费用以双方最终认定价格为准，原则上不超过设备总价的</w:t>
      </w:r>
      <w:r>
        <w:rPr>
          <w:rFonts w:ascii="宋体" w:hAnsi="宋体" w:eastAsia="宋体"/>
          <w:sz w:val="24"/>
          <w:szCs w:val="24"/>
        </w:rPr>
        <w:t>5</w:t>
      </w:r>
      <w:r>
        <w:rPr>
          <w:rFonts w:hint="eastAsia" w:ascii="宋体" w:hAnsi="宋体" w:eastAsia="宋体"/>
          <w:sz w:val="24"/>
          <w:szCs w:val="24"/>
        </w:rPr>
        <w:t>%。</w:t>
      </w:r>
    </w:p>
    <w:p w14:paraId="61C52218">
      <w:pPr>
        <w:adjustRightInd w:val="0"/>
        <w:snapToGrid w:val="0"/>
        <w:spacing w:line="360" w:lineRule="auto"/>
        <w:rPr>
          <w:rFonts w:hint="eastAsia" w:ascii="宋体" w:hAnsi="宋体" w:eastAsia="宋体"/>
          <w:sz w:val="24"/>
          <w:szCs w:val="24"/>
        </w:rPr>
      </w:pPr>
    </w:p>
    <w:p w14:paraId="62B9DC11">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（二）最高限价</w:t>
      </w:r>
    </w:p>
    <w:p w14:paraId="0F3C60D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人民币96</w:t>
      </w:r>
      <w:r>
        <w:rPr>
          <w:rFonts w:ascii="宋体" w:hAnsi="宋体" w:eastAsia="宋体"/>
          <w:sz w:val="24"/>
          <w:szCs w:val="24"/>
        </w:rPr>
        <w:t>.00万元</w:t>
      </w:r>
    </w:p>
    <w:p w14:paraId="468E9D57">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（三）资格条件</w:t>
      </w:r>
    </w:p>
    <w:p w14:paraId="155573A8">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1）具有独立承担民事责任的能力。</w:t>
      </w:r>
    </w:p>
    <w:p w14:paraId="0A42A470">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2）本项目不接受联合体投标；</w:t>
      </w:r>
    </w:p>
    <w:p w14:paraId="39AB1D34">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3）本项目不接受分包、转包；</w:t>
      </w:r>
    </w:p>
    <w:p w14:paraId="748C166D">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4）单位负责人为同一人或者存在直接控股、管理关系的不同供应商，不得参加同一合同项下的采购活动；</w:t>
      </w:r>
    </w:p>
    <w:p w14:paraId="3D4538D4">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3A1DFC7">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6）如果响应单位是投标货物制造厂家，应按照国家有关规定提供《中华人民共和国医疗器械生产企业许可证》或《第一类医疗器械生产备案凭证》；如果响应单位是经营销售企业，应按照国家有关规定提供《中华人民共和国医疗器械经营企业许可证》或《第二类医疗器械经营备案凭证》。响应单位的生产或经营范围应当与国家相关许可保持一致。（投标货物按照医疗器械管理时适用）；</w:t>
      </w:r>
    </w:p>
    <w:p w14:paraId="1412A911">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53E2A76D">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8）如响应单位是贸易代理商，应提供该设备的制造商出具的本次采购项目唯一代理的授权函。</w:t>
      </w:r>
    </w:p>
    <w:p w14:paraId="1870E6D6">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（四）商务要求</w:t>
      </w:r>
    </w:p>
    <w:p w14:paraId="3E547190">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1、交付时间：成交单位应在合同生效的</w:t>
      </w:r>
      <w:r>
        <w:rPr>
          <w:rFonts w:ascii="宋体" w:hAnsi="宋体" w:eastAsia="宋体"/>
          <w:sz w:val="24"/>
          <w:szCs w:val="24"/>
        </w:rPr>
        <w:t>30天内，向采购方交付设备。</w:t>
      </w:r>
    </w:p>
    <w:p w14:paraId="301C7FDC">
      <w:pPr>
        <w:adjustRightInd w:val="0"/>
        <w:snapToGrid w:val="0"/>
        <w:spacing w:line="360" w:lineRule="auto"/>
        <w:rPr>
          <w:rFonts w:hint="eastAsia" w:ascii="宋体" w:hAnsi="宋体" w:eastAsia="宋体" w:cs="Times New Roman"/>
          <w:sz w:val="24"/>
          <w:szCs w:val="24"/>
        </w:rPr>
      </w:pPr>
      <w:r>
        <w:rPr>
          <w:rFonts w:hint="eastAsia" w:ascii="宋体" w:hAnsi="宋体" w:eastAsia="宋体"/>
          <w:sz w:val="24"/>
          <w:szCs w:val="24"/>
        </w:rPr>
        <w:t>2、付款方式：设备安装验收合格后一次性支付合同总价的100%。</w:t>
      </w:r>
    </w:p>
    <w:p w14:paraId="5061F8F5">
      <w:pPr>
        <w:adjustRightInd w:val="0"/>
        <w:snapToGrid w:val="0"/>
        <w:spacing w:line="360" w:lineRule="auto"/>
        <w:rPr>
          <w:rFonts w:hint="eastAsia" w:ascii="宋体" w:hAnsi="宋体" w:eastAsia="宋体"/>
          <w:sz w:val="24"/>
          <w:szCs w:val="24"/>
        </w:rPr>
      </w:pPr>
    </w:p>
    <w:p w14:paraId="5998A745">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3"/>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0C886CCA"/>
    <w:multiLevelType w:val="multilevel"/>
    <w:tmpl w:val="0C886CCA"/>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A62F8A"/>
    <w:multiLevelType w:val="multilevel"/>
    <w:tmpl w:val="19A62F8A"/>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021BE"/>
    <w:rsid w:val="0001398C"/>
    <w:rsid w:val="00097888"/>
    <w:rsid w:val="000F486B"/>
    <w:rsid w:val="001460FD"/>
    <w:rsid w:val="001C306A"/>
    <w:rsid w:val="001D1C86"/>
    <w:rsid w:val="00220551"/>
    <w:rsid w:val="002E581F"/>
    <w:rsid w:val="00310DE0"/>
    <w:rsid w:val="00347015"/>
    <w:rsid w:val="00364776"/>
    <w:rsid w:val="004A7A67"/>
    <w:rsid w:val="006510E6"/>
    <w:rsid w:val="006A76BB"/>
    <w:rsid w:val="00712FBB"/>
    <w:rsid w:val="007C430A"/>
    <w:rsid w:val="00802568"/>
    <w:rsid w:val="008E0DE7"/>
    <w:rsid w:val="0090336E"/>
    <w:rsid w:val="0094303D"/>
    <w:rsid w:val="009D50C6"/>
    <w:rsid w:val="00A91880"/>
    <w:rsid w:val="00B43BBE"/>
    <w:rsid w:val="00BA059A"/>
    <w:rsid w:val="00C15676"/>
    <w:rsid w:val="00CB6ED0"/>
    <w:rsid w:val="00CC3BD8"/>
    <w:rsid w:val="00D5723A"/>
    <w:rsid w:val="00DE6757"/>
    <w:rsid w:val="00E347A7"/>
    <w:rsid w:val="6D3E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qFormat/>
    <w:uiPriority w:val="0"/>
    <w:pPr>
      <w:widowControl/>
      <w:jc w:val="left"/>
      <w:textAlignment w:val="baseline"/>
    </w:pPr>
    <w:rPr>
      <w:rFonts w:ascii="Times New Roman" w:hAnsi="Times New Roman" w:eastAsia="宋体" w:cs="Times New Roman"/>
      <w:szCs w:val="24"/>
    </w:rPr>
  </w:style>
  <w:style w:type="paragraph" w:styleId="5">
    <w:name w:val="Balloon Text"/>
    <w:basedOn w:val="1"/>
    <w:link w:val="20"/>
    <w:semiHidden/>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character" w:customStyle="1" w:styleId="12">
    <w:name w:val="页眉 字符"/>
    <w:basedOn w:val="10"/>
    <w:link w:val="7"/>
    <w:uiPriority w:val="99"/>
    <w:rPr>
      <w:sz w:val="18"/>
      <w:szCs w:val="18"/>
    </w:rPr>
  </w:style>
  <w:style w:type="character" w:customStyle="1" w:styleId="13">
    <w:name w:val="页脚 字符"/>
    <w:basedOn w:val="10"/>
    <w:link w:val="6"/>
    <w:uiPriority w:val="99"/>
    <w:rPr>
      <w:sz w:val="18"/>
      <w:szCs w:val="18"/>
    </w:rPr>
  </w:style>
  <w:style w:type="character" w:customStyle="1" w:styleId="14">
    <w:name w:val="NormalCharacter"/>
    <w:autoRedefine/>
    <w:qFormat/>
    <w:uiPriority w:val="0"/>
  </w:style>
  <w:style w:type="character" w:customStyle="1" w:styleId="15">
    <w:name w:val="标题 2 字符"/>
    <w:basedOn w:val="10"/>
    <w:link w:val="3"/>
    <w:qFormat/>
    <w:uiPriority w:val="9"/>
    <w:rPr>
      <w:rFonts w:ascii="宋体" w:hAnsi="Arial" w:eastAsia="宋体" w:cs="Times New Roman"/>
      <w:spacing w:val="20"/>
      <w:kern w:val="0"/>
      <w:sz w:val="28"/>
      <w:szCs w:val="20"/>
    </w:rPr>
  </w:style>
  <w:style w:type="character" w:customStyle="1" w:styleId="16">
    <w:name w:val="列表段落 字符"/>
    <w:link w:val="17"/>
    <w:autoRedefine/>
    <w:qFormat/>
    <w:uiPriority w:val="34"/>
  </w:style>
  <w:style w:type="paragraph" w:styleId="17">
    <w:name w:val="List Paragraph"/>
    <w:basedOn w:val="1"/>
    <w:link w:val="16"/>
    <w:autoRedefine/>
    <w:qFormat/>
    <w:uiPriority w:val="34"/>
    <w:pPr>
      <w:widowControl/>
      <w:ind w:firstLine="420" w:firstLineChars="200"/>
      <w:textAlignment w:val="baseline"/>
    </w:pPr>
  </w:style>
  <w:style w:type="character" w:customStyle="1" w:styleId="18">
    <w:name w:val="标题 1 字符"/>
    <w:basedOn w:val="10"/>
    <w:link w:val="2"/>
    <w:uiPriority w:val="9"/>
    <w:rPr>
      <w:b/>
      <w:bCs/>
      <w:kern w:val="44"/>
      <w:sz w:val="44"/>
      <w:szCs w:val="44"/>
    </w:rPr>
  </w:style>
  <w:style w:type="character" w:customStyle="1" w:styleId="19">
    <w:name w:val="批注文字 字符"/>
    <w:basedOn w:val="10"/>
    <w:link w:val="4"/>
    <w:qFormat/>
    <w:uiPriority w:val="0"/>
    <w:rPr>
      <w:rFonts w:ascii="Times New Roman" w:hAnsi="Times New Roman" w:eastAsia="宋体" w:cs="Times New Roman"/>
      <w:szCs w:val="24"/>
    </w:rPr>
  </w:style>
  <w:style w:type="character" w:customStyle="1" w:styleId="20">
    <w:name w:val="批注框文本 字符"/>
    <w:basedOn w:val="10"/>
    <w:link w:val="5"/>
    <w:semiHidden/>
    <w:uiPriority w:val="99"/>
    <w:rPr>
      <w:sz w:val="18"/>
      <w:szCs w:val="18"/>
    </w:rPr>
  </w:style>
  <w:style w:type="character" w:customStyle="1" w:styleId="21">
    <w:name w:val="批注文字 Char"/>
    <w:qFormat/>
    <w:uiPriority w:val="0"/>
    <w:rPr>
      <w:kern w:val="2"/>
      <w:sz w:val="21"/>
      <w:szCs w:val="24"/>
    </w:rPr>
  </w:style>
  <w:style w:type="paragraph" w:customStyle="1" w:styleId="22">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3">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E48F-5AE1-4212-ADA5-8D16C8DBC901}">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Pages>
  <Words>605</Words>
  <Characters>642</Characters>
  <Lines>31</Lines>
  <Paragraphs>8</Paragraphs>
  <TotalTime>63</TotalTime>
  <ScaleCrop>false</ScaleCrop>
  <LinksUpToDate>false</LinksUpToDate>
  <CharactersWithSpaces>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杨俐君</cp:lastModifiedBy>
  <dcterms:modified xsi:type="dcterms:W3CDTF">2025-04-03T12:10:18Z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eyJoZGlkIjoiOTk1MDI2OWM5MzRhNzc2MDgxNDZhZmRhMmE3MWIxOTkiLCJ1c2VySWQiOiI2NDA4MzE2NjgifQ==</vt:lpwstr>
  </property>
  <property fmtid="{D5CDD505-2E9C-101B-9397-08002B2CF9AE}" pid="3" name="KSOProductBuildVer">
    <vt:lpwstr>2052-12.1.0.20305</vt:lpwstr>
  </property>
  <property fmtid="{D5CDD505-2E9C-101B-9397-08002B2CF9AE}" pid="4" name="ICV">
    <vt:lpwstr>9E78872F79D6440D8CEF3A4B4BDC7250_12</vt:lpwstr>
  </property>
</Properties>
</file>