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939CE">
      <w:pPr>
        <w:adjustRightInd w:val="0"/>
        <w:snapToGrid w:val="0"/>
        <w:spacing w:line="360" w:lineRule="auto"/>
        <w:rPr>
          <w:rFonts w:hint="eastAsia" w:ascii="宋体" w:hAnsi="宋体" w:eastAsia="宋体"/>
          <w:b/>
          <w:sz w:val="24"/>
          <w:szCs w:val="24"/>
        </w:rPr>
      </w:pPr>
      <w:bookmarkStart w:id="4" w:name="_GoBack"/>
      <w:bookmarkEnd w:id="4"/>
      <w:r>
        <w:rPr>
          <w:rFonts w:hint="eastAsia" w:ascii="宋体" w:hAnsi="宋体" w:eastAsia="宋体"/>
          <w:b/>
          <w:sz w:val="24"/>
          <w:szCs w:val="24"/>
        </w:rPr>
        <w:t>一、项目名称</w:t>
      </w:r>
    </w:p>
    <w:p w14:paraId="13DE4ACD">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全自动激光散射仪</w:t>
      </w:r>
    </w:p>
    <w:tbl>
      <w:tblPr>
        <w:tblStyle w:val="9"/>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806"/>
        <w:gridCol w:w="1682"/>
        <w:gridCol w:w="1733"/>
        <w:gridCol w:w="1733"/>
      </w:tblGrid>
      <w:tr w14:paraId="1E03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vAlign w:val="center"/>
          </w:tcPr>
          <w:p w14:paraId="5AF96080">
            <w:pPr>
              <w:spacing w:line="360" w:lineRule="auto"/>
              <w:jc w:val="center"/>
              <w:rPr>
                <w:rFonts w:hint="eastAsia" w:ascii="宋体" w:hAnsi="宋体"/>
                <w:bCs/>
                <w:sz w:val="24"/>
                <w:szCs w:val="24"/>
              </w:rPr>
            </w:pPr>
            <w:r>
              <w:rPr>
                <w:rFonts w:hint="eastAsia" w:ascii="宋体" w:hAnsi="宋体"/>
                <w:bCs/>
                <w:sz w:val="24"/>
                <w:szCs w:val="24"/>
              </w:rPr>
              <w:t>序号</w:t>
            </w:r>
          </w:p>
        </w:tc>
        <w:tc>
          <w:tcPr>
            <w:tcW w:w="1418" w:type="dxa"/>
            <w:vAlign w:val="center"/>
          </w:tcPr>
          <w:p w14:paraId="2BF7E6D8">
            <w:pPr>
              <w:spacing w:line="360" w:lineRule="auto"/>
              <w:jc w:val="center"/>
              <w:rPr>
                <w:rFonts w:hint="eastAsia" w:ascii="宋体" w:hAnsi="宋体"/>
                <w:bCs/>
                <w:sz w:val="24"/>
                <w:szCs w:val="24"/>
              </w:rPr>
            </w:pPr>
            <w:r>
              <w:rPr>
                <w:rFonts w:hint="eastAsia" w:ascii="宋体" w:hAnsi="宋体"/>
                <w:bCs/>
                <w:sz w:val="24"/>
                <w:szCs w:val="24"/>
              </w:rPr>
              <w:t>内容</w:t>
            </w:r>
          </w:p>
        </w:tc>
        <w:tc>
          <w:tcPr>
            <w:tcW w:w="850" w:type="dxa"/>
            <w:vAlign w:val="center"/>
          </w:tcPr>
          <w:p w14:paraId="605FA5DD">
            <w:pPr>
              <w:spacing w:line="360" w:lineRule="auto"/>
              <w:jc w:val="center"/>
              <w:rPr>
                <w:rFonts w:hint="eastAsia" w:ascii="宋体" w:hAnsi="宋体"/>
                <w:bCs/>
                <w:sz w:val="24"/>
                <w:szCs w:val="24"/>
              </w:rPr>
            </w:pPr>
            <w:r>
              <w:rPr>
                <w:rFonts w:hint="eastAsia" w:ascii="宋体" w:hAnsi="宋体"/>
                <w:bCs/>
                <w:sz w:val="24"/>
                <w:szCs w:val="24"/>
              </w:rPr>
              <w:t>数量</w:t>
            </w:r>
          </w:p>
        </w:tc>
        <w:tc>
          <w:tcPr>
            <w:tcW w:w="876" w:type="dxa"/>
            <w:vAlign w:val="center"/>
          </w:tcPr>
          <w:p w14:paraId="506AEE5E">
            <w:pPr>
              <w:spacing w:line="360" w:lineRule="auto"/>
              <w:jc w:val="center"/>
              <w:rPr>
                <w:rFonts w:hint="eastAsia" w:ascii="宋体" w:hAnsi="宋体"/>
                <w:bCs/>
                <w:sz w:val="24"/>
                <w:szCs w:val="24"/>
              </w:rPr>
            </w:pPr>
            <w:r>
              <w:rPr>
                <w:rFonts w:hint="eastAsia" w:ascii="宋体" w:hAnsi="宋体"/>
                <w:bCs/>
                <w:sz w:val="24"/>
                <w:szCs w:val="24"/>
              </w:rPr>
              <w:t>单台最高限价</w:t>
            </w:r>
          </w:p>
        </w:tc>
        <w:tc>
          <w:tcPr>
            <w:tcW w:w="876" w:type="dxa"/>
            <w:vAlign w:val="center"/>
          </w:tcPr>
          <w:p w14:paraId="3147793F">
            <w:pPr>
              <w:spacing w:line="360" w:lineRule="auto"/>
              <w:jc w:val="center"/>
              <w:rPr>
                <w:rFonts w:hint="eastAsia" w:ascii="宋体" w:hAnsi="宋体"/>
                <w:bCs/>
                <w:sz w:val="24"/>
                <w:szCs w:val="24"/>
              </w:rPr>
            </w:pPr>
            <w:r>
              <w:rPr>
                <w:rFonts w:hint="eastAsia" w:ascii="宋体" w:hAnsi="宋体"/>
                <w:bCs/>
                <w:sz w:val="24"/>
                <w:szCs w:val="24"/>
              </w:rPr>
              <w:t>最高限价</w:t>
            </w:r>
          </w:p>
        </w:tc>
      </w:tr>
      <w:tr w14:paraId="4ECD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562" w:type="dxa"/>
            <w:vAlign w:val="center"/>
          </w:tcPr>
          <w:p w14:paraId="7AA2B76A">
            <w:pPr>
              <w:spacing w:line="360" w:lineRule="auto"/>
              <w:jc w:val="center"/>
              <w:rPr>
                <w:rFonts w:hint="eastAsia" w:ascii="宋体" w:hAnsi="宋体"/>
                <w:bCs/>
                <w:sz w:val="24"/>
                <w:szCs w:val="24"/>
              </w:rPr>
            </w:pPr>
            <w:r>
              <w:rPr>
                <w:rFonts w:hint="eastAsia" w:ascii="宋体" w:hAnsi="宋体"/>
                <w:bCs/>
                <w:sz w:val="24"/>
                <w:szCs w:val="24"/>
              </w:rPr>
              <w:t>1</w:t>
            </w:r>
          </w:p>
        </w:tc>
        <w:tc>
          <w:tcPr>
            <w:tcW w:w="1418" w:type="dxa"/>
            <w:vAlign w:val="center"/>
          </w:tcPr>
          <w:p w14:paraId="4F6365A7">
            <w:pPr>
              <w:spacing w:line="360" w:lineRule="auto"/>
              <w:jc w:val="center"/>
              <w:rPr>
                <w:rFonts w:hint="eastAsia" w:ascii="宋体" w:hAnsi="宋体"/>
                <w:bCs/>
                <w:sz w:val="24"/>
                <w:szCs w:val="24"/>
              </w:rPr>
            </w:pPr>
            <w:r>
              <w:rPr>
                <w:rFonts w:hint="eastAsia" w:ascii="宋体" w:hAnsi="宋体"/>
                <w:bCs/>
                <w:sz w:val="24"/>
                <w:szCs w:val="24"/>
              </w:rPr>
              <w:t>全自动激光散射仪</w:t>
            </w:r>
          </w:p>
        </w:tc>
        <w:tc>
          <w:tcPr>
            <w:tcW w:w="850" w:type="dxa"/>
            <w:vAlign w:val="center"/>
          </w:tcPr>
          <w:p w14:paraId="333F9328">
            <w:pPr>
              <w:spacing w:line="360" w:lineRule="auto"/>
              <w:jc w:val="center"/>
              <w:rPr>
                <w:rFonts w:hint="eastAsia" w:ascii="宋体" w:hAnsi="宋体"/>
                <w:bCs/>
                <w:sz w:val="24"/>
                <w:szCs w:val="24"/>
              </w:rPr>
            </w:pPr>
            <w:r>
              <w:rPr>
                <w:rFonts w:hint="eastAsia" w:ascii="宋体" w:hAnsi="宋体"/>
                <w:bCs/>
                <w:sz w:val="24"/>
                <w:szCs w:val="24"/>
              </w:rPr>
              <w:t>2台</w:t>
            </w:r>
          </w:p>
        </w:tc>
        <w:tc>
          <w:tcPr>
            <w:tcW w:w="876" w:type="dxa"/>
            <w:vAlign w:val="center"/>
          </w:tcPr>
          <w:p w14:paraId="28FD370E">
            <w:pPr>
              <w:spacing w:line="360" w:lineRule="auto"/>
              <w:jc w:val="center"/>
              <w:rPr>
                <w:rFonts w:hint="eastAsia" w:ascii="宋体" w:hAnsi="宋体"/>
                <w:bCs/>
                <w:sz w:val="24"/>
                <w:szCs w:val="24"/>
              </w:rPr>
            </w:pPr>
            <w:r>
              <w:rPr>
                <w:rFonts w:hint="eastAsia" w:ascii="宋体" w:hAnsi="宋体"/>
                <w:bCs/>
                <w:sz w:val="24"/>
                <w:szCs w:val="24"/>
              </w:rPr>
              <w:t>40万</w:t>
            </w:r>
          </w:p>
        </w:tc>
        <w:tc>
          <w:tcPr>
            <w:tcW w:w="876" w:type="dxa"/>
            <w:vAlign w:val="center"/>
          </w:tcPr>
          <w:p w14:paraId="1535DF8B">
            <w:pPr>
              <w:spacing w:line="360" w:lineRule="auto"/>
              <w:jc w:val="center"/>
              <w:rPr>
                <w:rStyle w:val="15"/>
                <w:rFonts w:hint="eastAsia" w:ascii="宋体" w:hAnsi="宋体"/>
                <w:bCs/>
                <w:sz w:val="24"/>
              </w:rPr>
            </w:pPr>
            <w:r>
              <w:rPr>
                <w:rStyle w:val="15"/>
                <w:rFonts w:hint="eastAsia" w:ascii="宋体" w:hAnsi="宋体"/>
                <w:bCs/>
                <w:sz w:val="24"/>
              </w:rPr>
              <w:t>80万</w:t>
            </w:r>
          </w:p>
        </w:tc>
      </w:tr>
    </w:tbl>
    <w:p w14:paraId="4026A7BE">
      <w:pPr>
        <w:adjustRightInd w:val="0"/>
        <w:snapToGrid w:val="0"/>
        <w:spacing w:line="360" w:lineRule="auto"/>
        <w:rPr>
          <w:rFonts w:hint="eastAsia" w:ascii="宋体" w:hAnsi="宋体" w:eastAsia="宋体"/>
          <w:sz w:val="24"/>
          <w:szCs w:val="24"/>
        </w:rPr>
      </w:pPr>
    </w:p>
    <w:p w14:paraId="506D95A7">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二、项目参数:</w:t>
      </w:r>
    </w:p>
    <w:p w14:paraId="1713022F">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（一）项目内容及要求</w:t>
      </w:r>
    </w:p>
    <w:p w14:paraId="22E674AA">
      <w:pPr>
        <w:widowControl/>
        <w:ind w:firstLine="480" w:firstLineChars="200"/>
        <w:jc w:val="left"/>
        <w:textAlignment w:val="baseline"/>
        <w:rPr>
          <w:rFonts w:hint="eastAsia" w:ascii="宋体" w:hAnsi="宋体" w:eastAsia="宋体"/>
          <w:sz w:val="24"/>
          <w:szCs w:val="24"/>
        </w:rPr>
      </w:pPr>
      <w:r>
        <w:rPr>
          <w:rFonts w:hint="eastAsia" w:ascii="宋体" w:hAnsi="宋体" w:eastAsia="宋体"/>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24DED1F1">
      <w:pPr>
        <w:numPr>
          <w:ilvl w:val="0"/>
          <w:numId w:val="2"/>
        </w:numPr>
        <w:spacing w:line="360" w:lineRule="auto"/>
        <w:rPr>
          <w:rFonts w:hint="eastAsia" w:ascii="宋体" w:hAnsi="宋体" w:eastAsia="宋体"/>
          <w:b/>
          <w:sz w:val="24"/>
          <w:szCs w:val="24"/>
        </w:rPr>
      </w:pPr>
      <w:bookmarkStart w:id="0" w:name="PO_PURCHASE_REQUIREMENT_FILE28186_2"/>
      <w:bookmarkStart w:id="1" w:name="PO_PURCHASE_REQUIREMENT_FILE36649_2"/>
      <w:bookmarkStart w:id="2" w:name="OLE_LINK2"/>
      <w:r>
        <w:rPr>
          <w:rFonts w:hint="eastAsia" w:ascii="宋体" w:hAnsi="宋体" w:eastAsia="宋体"/>
          <w:b/>
          <w:sz w:val="24"/>
          <w:szCs w:val="24"/>
        </w:rPr>
        <w:t>主要功能及工作原理：</w:t>
      </w:r>
    </w:p>
    <w:bookmarkEnd w:id="0"/>
    <w:bookmarkEnd w:id="1"/>
    <w:p w14:paraId="3E012A15">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采用免疫比浊法，对血清、血浆、尿液和脑脊液等体液中特定靶标蛋白质进行全定量检测，包括自身抗体、补体蛋白、氨基酸及多肽类等，针对肾功能、肿瘤、自身免疫、心血管、神经病变等疾病进行精准检验分析，能够为疾病的早期诊断、治疗监测和预后评估提供有力支持。</w:t>
      </w:r>
    </w:p>
    <w:p w14:paraId="1F6D68EE">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应用场景：</w:t>
      </w:r>
    </w:p>
    <w:p w14:paraId="5FA2B31D">
      <w:pPr>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免疫类项目检测</w:t>
      </w:r>
    </w:p>
    <w:p w14:paraId="36198486">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配置清单：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758"/>
        <w:gridCol w:w="1604"/>
      </w:tblGrid>
      <w:tr w14:paraId="3882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shd w:val="clear" w:color="auto" w:fill="D9D9D9"/>
            <w:vAlign w:val="center"/>
          </w:tcPr>
          <w:p w14:paraId="76ABBF61">
            <w:pPr>
              <w:spacing w:line="360" w:lineRule="auto"/>
              <w:jc w:val="center"/>
              <w:rPr>
                <w:rFonts w:hint="eastAsia" w:ascii="宋体" w:hAnsi="宋体" w:eastAsia="宋体"/>
                <w:b/>
                <w:bCs/>
                <w:sz w:val="24"/>
                <w:szCs w:val="24"/>
              </w:rPr>
            </w:pPr>
            <w:r>
              <w:rPr>
                <w:rFonts w:hint="eastAsia" w:ascii="宋体" w:hAnsi="宋体" w:eastAsia="宋体"/>
                <w:b/>
                <w:bCs/>
                <w:sz w:val="24"/>
                <w:szCs w:val="24"/>
              </w:rPr>
              <w:t>序号</w:t>
            </w:r>
          </w:p>
        </w:tc>
        <w:tc>
          <w:tcPr>
            <w:tcW w:w="3758" w:type="dxa"/>
            <w:shd w:val="clear" w:color="auto" w:fill="D9D9D9"/>
            <w:vAlign w:val="center"/>
          </w:tcPr>
          <w:p w14:paraId="35D9E88C">
            <w:pPr>
              <w:spacing w:line="360" w:lineRule="auto"/>
              <w:jc w:val="center"/>
              <w:rPr>
                <w:rFonts w:hint="eastAsia" w:ascii="宋体" w:hAnsi="宋体" w:eastAsia="宋体"/>
                <w:b/>
                <w:bCs/>
                <w:sz w:val="24"/>
                <w:szCs w:val="24"/>
              </w:rPr>
            </w:pPr>
            <w:r>
              <w:rPr>
                <w:rFonts w:hint="eastAsia" w:ascii="宋体" w:hAnsi="宋体" w:eastAsia="宋体"/>
                <w:b/>
                <w:bCs/>
                <w:sz w:val="24"/>
                <w:szCs w:val="24"/>
              </w:rPr>
              <w:t>名称</w:t>
            </w:r>
          </w:p>
        </w:tc>
        <w:tc>
          <w:tcPr>
            <w:tcW w:w="1604" w:type="dxa"/>
            <w:shd w:val="clear" w:color="auto" w:fill="D9D9D9"/>
            <w:vAlign w:val="center"/>
          </w:tcPr>
          <w:p w14:paraId="03BB0387">
            <w:pPr>
              <w:spacing w:line="360" w:lineRule="auto"/>
              <w:jc w:val="center"/>
              <w:rPr>
                <w:rFonts w:hint="eastAsia" w:ascii="宋体" w:hAnsi="宋体" w:eastAsia="宋体"/>
                <w:b/>
                <w:bCs/>
                <w:sz w:val="24"/>
                <w:szCs w:val="24"/>
              </w:rPr>
            </w:pPr>
            <w:r>
              <w:rPr>
                <w:rFonts w:hint="eastAsia" w:ascii="宋体" w:hAnsi="宋体" w:eastAsia="宋体"/>
                <w:b/>
                <w:bCs/>
                <w:sz w:val="24"/>
                <w:szCs w:val="24"/>
              </w:rPr>
              <w:t>数量</w:t>
            </w:r>
          </w:p>
        </w:tc>
      </w:tr>
      <w:tr w14:paraId="291B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4104128">
            <w:pPr>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3758" w:type="dxa"/>
            <w:shd w:val="clear" w:color="auto" w:fill="auto"/>
          </w:tcPr>
          <w:p w14:paraId="4EA05EF7">
            <w:pPr>
              <w:spacing w:line="360" w:lineRule="auto"/>
              <w:jc w:val="center"/>
              <w:rPr>
                <w:rFonts w:hint="eastAsia" w:ascii="宋体" w:hAnsi="宋体" w:eastAsia="宋体"/>
                <w:sz w:val="24"/>
                <w:szCs w:val="24"/>
              </w:rPr>
            </w:pPr>
            <w:r>
              <w:rPr>
                <w:rFonts w:hint="eastAsia" w:ascii="宋体" w:hAnsi="宋体" w:eastAsia="宋体"/>
                <w:sz w:val="24"/>
                <w:szCs w:val="24"/>
              </w:rPr>
              <w:t>主机</w:t>
            </w:r>
          </w:p>
        </w:tc>
        <w:tc>
          <w:tcPr>
            <w:tcW w:w="1604" w:type="dxa"/>
          </w:tcPr>
          <w:p w14:paraId="796815D9">
            <w:pPr>
              <w:spacing w:line="360" w:lineRule="auto"/>
              <w:jc w:val="center"/>
              <w:rPr>
                <w:rFonts w:hint="eastAsia" w:ascii="宋体" w:hAnsi="宋体" w:eastAsia="宋体"/>
                <w:sz w:val="24"/>
                <w:szCs w:val="24"/>
              </w:rPr>
            </w:pPr>
            <w:r>
              <w:rPr>
                <w:rFonts w:hint="eastAsia" w:ascii="宋体" w:hAnsi="宋体" w:eastAsia="宋体"/>
                <w:sz w:val="24"/>
                <w:szCs w:val="24"/>
              </w:rPr>
              <w:t>1台</w:t>
            </w:r>
          </w:p>
        </w:tc>
      </w:tr>
      <w:tr w14:paraId="2C92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22D11FB">
            <w:pPr>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3758" w:type="dxa"/>
            <w:shd w:val="clear" w:color="auto" w:fill="auto"/>
          </w:tcPr>
          <w:p w14:paraId="66178EAB">
            <w:pPr>
              <w:spacing w:line="360" w:lineRule="auto"/>
              <w:jc w:val="center"/>
              <w:rPr>
                <w:rFonts w:hint="eastAsia" w:ascii="宋体" w:hAnsi="宋体" w:eastAsia="宋体"/>
                <w:sz w:val="24"/>
                <w:szCs w:val="24"/>
              </w:rPr>
            </w:pPr>
            <w:r>
              <w:rPr>
                <w:rFonts w:hint="eastAsia" w:ascii="宋体" w:hAnsi="宋体" w:eastAsia="宋体"/>
                <w:sz w:val="24"/>
                <w:szCs w:val="24"/>
              </w:rPr>
              <w:t>工作站</w:t>
            </w:r>
          </w:p>
        </w:tc>
        <w:tc>
          <w:tcPr>
            <w:tcW w:w="1604" w:type="dxa"/>
          </w:tcPr>
          <w:p w14:paraId="30C910B6">
            <w:pPr>
              <w:spacing w:line="360" w:lineRule="auto"/>
              <w:jc w:val="center"/>
              <w:rPr>
                <w:rFonts w:hint="eastAsia" w:ascii="宋体" w:hAnsi="宋体" w:eastAsia="宋体"/>
                <w:sz w:val="24"/>
                <w:szCs w:val="24"/>
              </w:rPr>
            </w:pPr>
            <w:r>
              <w:rPr>
                <w:rFonts w:hint="eastAsia" w:ascii="宋体" w:hAnsi="宋体" w:eastAsia="宋体"/>
                <w:sz w:val="24"/>
                <w:szCs w:val="24"/>
              </w:rPr>
              <w:t>1台</w:t>
            </w:r>
          </w:p>
        </w:tc>
      </w:tr>
      <w:tr w14:paraId="526B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9C4D5EE">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3758" w:type="dxa"/>
            <w:shd w:val="clear" w:color="auto" w:fill="auto"/>
          </w:tcPr>
          <w:p w14:paraId="2F4FDD6F">
            <w:pPr>
              <w:spacing w:line="360" w:lineRule="auto"/>
              <w:jc w:val="center"/>
              <w:rPr>
                <w:rFonts w:hint="eastAsia" w:ascii="宋体" w:hAnsi="宋体" w:eastAsia="宋体"/>
                <w:sz w:val="24"/>
                <w:szCs w:val="24"/>
              </w:rPr>
            </w:pPr>
            <w:r>
              <w:rPr>
                <w:rFonts w:hint="eastAsia" w:ascii="宋体" w:hAnsi="宋体" w:eastAsia="宋体"/>
                <w:sz w:val="24"/>
                <w:szCs w:val="24"/>
              </w:rPr>
              <w:t>配件箱</w:t>
            </w:r>
          </w:p>
        </w:tc>
        <w:tc>
          <w:tcPr>
            <w:tcW w:w="1604" w:type="dxa"/>
          </w:tcPr>
          <w:p w14:paraId="25EEBA3A">
            <w:pPr>
              <w:spacing w:line="360" w:lineRule="auto"/>
              <w:jc w:val="center"/>
              <w:rPr>
                <w:rFonts w:hint="eastAsia" w:ascii="宋体" w:hAnsi="宋体" w:eastAsia="宋体"/>
                <w:sz w:val="24"/>
                <w:szCs w:val="24"/>
              </w:rPr>
            </w:pPr>
            <w:r>
              <w:rPr>
                <w:rFonts w:hint="eastAsia" w:ascii="宋体" w:hAnsi="宋体" w:eastAsia="宋体"/>
                <w:sz w:val="24"/>
                <w:szCs w:val="24"/>
              </w:rPr>
              <w:t>1套</w:t>
            </w:r>
          </w:p>
        </w:tc>
      </w:tr>
      <w:tr w14:paraId="3672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6E0AF8D0">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3758" w:type="dxa"/>
            <w:shd w:val="clear" w:color="auto" w:fill="auto"/>
          </w:tcPr>
          <w:p w14:paraId="35F827D1">
            <w:pPr>
              <w:spacing w:line="360" w:lineRule="auto"/>
              <w:jc w:val="center"/>
              <w:rPr>
                <w:rFonts w:hint="eastAsia" w:ascii="宋体" w:hAnsi="宋体" w:eastAsia="宋体"/>
                <w:sz w:val="24"/>
                <w:szCs w:val="24"/>
              </w:rPr>
            </w:pPr>
            <w:r>
              <w:rPr>
                <w:rFonts w:hint="eastAsia" w:ascii="宋体" w:hAnsi="宋体" w:eastAsia="宋体"/>
                <w:sz w:val="24"/>
                <w:szCs w:val="24"/>
              </w:rPr>
              <w:t>操作手册</w:t>
            </w:r>
          </w:p>
        </w:tc>
        <w:tc>
          <w:tcPr>
            <w:tcW w:w="1604" w:type="dxa"/>
          </w:tcPr>
          <w:p w14:paraId="0C1C5844">
            <w:pPr>
              <w:spacing w:line="360" w:lineRule="auto"/>
              <w:jc w:val="center"/>
              <w:rPr>
                <w:rFonts w:hint="eastAsia" w:ascii="宋体" w:hAnsi="宋体" w:eastAsia="宋体"/>
                <w:sz w:val="24"/>
                <w:szCs w:val="24"/>
              </w:rPr>
            </w:pPr>
            <w:r>
              <w:rPr>
                <w:rFonts w:hint="eastAsia" w:ascii="宋体" w:hAnsi="宋体" w:eastAsia="宋体"/>
                <w:sz w:val="24"/>
                <w:szCs w:val="24"/>
              </w:rPr>
              <w:t>1本</w:t>
            </w:r>
          </w:p>
        </w:tc>
      </w:tr>
    </w:tbl>
    <w:p w14:paraId="707A2889">
      <w:pPr>
        <w:spacing w:line="360" w:lineRule="auto"/>
        <w:ind w:left="420"/>
        <w:rPr>
          <w:rFonts w:hint="eastAsia" w:ascii="宋体" w:hAnsi="宋体" w:eastAsia="宋体"/>
          <w:b/>
          <w:sz w:val="24"/>
          <w:szCs w:val="24"/>
        </w:rPr>
      </w:pPr>
    </w:p>
    <w:p w14:paraId="1971F3BB">
      <w:pPr>
        <w:numPr>
          <w:ilvl w:val="0"/>
          <w:numId w:val="2"/>
        </w:numPr>
        <w:spacing w:line="360" w:lineRule="auto"/>
        <w:rPr>
          <w:rFonts w:hint="eastAsia" w:ascii="宋体" w:hAnsi="宋体" w:eastAsia="宋体"/>
          <w:b/>
          <w:sz w:val="24"/>
          <w:szCs w:val="24"/>
        </w:rPr>
      </w:pPr>
      <w:bookmarkStart w:id="3" w:name="_Hlk188780782"/>
      <w:r>
        <w:rPr>
          <w:rFonts w:hint="eastAsia" w:ascii="宋体" w:hAnsi="宋体" w:eastAsia="宋体"/>
          <w:b/>
          <w:sz w:val="24"/>
          <w:szCs w:val="24"/>
        </w:rPr>
        <w:t>重要及一般技术参数</w:t>
      </w:r>
      <w:bookmarkEnd w:id="3"/>
      <w:r>
        <w:rPr>
          <w:rFonts w:hint="eastAsia" w:ascii="宋体" w:hAnsi="宋体" w:eastAsia="宋体"/>
          <w:b/>
          <w:sz w:val="24"/>
          <w:szCs w:val="24"/>
        </w:rPr>
        <w:t>：</w:t>
      </w:r>
    </w:p>
    <w:tbl>
      <w:tblPr>
        <w:tblStyle w:val="9"/>
        <w:tblW w:w="8295" w:type="dxa"/>
        <w:tblInd w:w="93" w:type="dxa"/>
        <w:tblLayout w:type="autofit"/>
        <w:tblCellMar>
          <w:top w:w="0" w:type="dxa"/>
          <w:left w:w="108" w:type="dxa"/>
          <w:bottom w:w="0" w:type="dxa"/>
          <w:right w:w="108" w:type="dxa"/>
        </w:tblCellMar>
      </w:tblPr>
      <w:tblGrid>
        <w:gridCol w:w="936"/>
        <w:gridCol w:w="7359"/>
      </w:tblGrid>
      <w:tr w14:paraId="06D870E2">
        <w:tblPrEx>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3D0A">
            <w:pPr>
              <w:widowControl/>
              <w:spacing w:line="360" w:lineRule="auto"/>
              <w:jc w:val="center"/>
              <w:textAlignment w:val="center"/>
              <w:rPr>
                <w:rFonts w:hint="eastAsia" w:ascii="宋体" w:hAnsi="宋体" w:eastAsia="宋体" w:cs="宋体"/>
                <w:b/>
                <w:bCs/>
                <w:color w:val="000000"/>
                <w:sz w:val="24"/>
                <w:szCs w:val="24"/>
              </w:rPr>
            </w:pPr>
            <w:r>
              <w:rPr>
                <w:rFonts w:ascii="宋体" w:hAnsi="宋体" w:eastAsia="宋体" w:cs="宋体"/>
                <w:b/>
                <w:bCs/>
                <w:color w:val="000000"/>
                <w:kern w:val="0"/>
                <w:sz w:val="24"/>
                <w:szCs w:val="24"/>
                <w:lang w:bidi="ar"/>
              </w:rPr>
              <w:t>序号</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5B83">
            <w:pPr>
              <w:widowControl/>
              <w:spacing w:line="360" w:lineRule="auto"/>
              <w:jc w:val="center"/>
              <w:textAlignment w:val="center"/>
              <w:rPr>
                <w:rFonts w:hint="eastAsia" w:ascii="宋体" w:hAnsi="宋体" w:eastAsia="宋体" w:cs="宋体"/>
                <w:b/>
                <w:bCs/>
                <w:color w:val="000000"/>
                <w:sz w:val="24"/>
                <w:szCs w:val="24"/>
              </w:rPr>
            </w:pPr>
            <w:r>
              <w:rPr>
                <w:rFonts w:ascii="宋体" w:hAnsi="宋体" w:eastAsia="宋体" w:cs="宋体"/>
                <w:b/>
                <w:bCs/>
                <w:color w:val="000000"/>
                <w:kern w:val="0"/>
                <w:sz w:val="24"/>
                <w:szCs w:val="24"/>
                <w:lang w:bidi="ar"/>
              </w:rPr>
              <w:t>需求描述</w:t>
            </w:r>
          </w:p>
        </w:tc>
      </w:tr>
      <w:tr w14:paraId="00910A9C">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386F3BBC">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1E536687">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特定蛋白分析</w:t>
            </w:r>
          </w:p>
        </w:tc>
      </w:tr>
      <w:tr w14:paraId="67F403C8">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5750B3AD">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sz w:val="24"/>
                <w:szCs w:val="24"/>
              </w:rPr>
              <w:t>★</w:t>
            </w:r>
            <w:r>
              <w:rPr>
                <w:rFonts w:hint="eastAsia" w:ascii="宋体" w:hAnsi="宋体" w:eastAsia="宋体" w:cs="宋体"/>
                <w:color w:val="000000"/>
                <w:kern w:val="0"/>
                <w:sz w:val="24"/>
                <w:szCs w:val="24"/>
              </w:rPr>
              <w:t>2</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4E09C5BF">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方法学:免疫比浊法</w:t>
            </w:r>
          </w:p>
        </w:tc>
      </w:tr>
      <w:tr w14:paraId="1019CD4C">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1741EFD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sz w:val="24"/>
                <w:szCs w:val="24"/>
              </w:rPr>
              <w:t>▲</w:t>
            </w:r>
            <w:r>
              <w:rPr>
                <w:rFonts w:hint="eastAsia" w:ascii="宋体" w:hAnsi="宋体" w:eastAsia="宋体" w:cs="宋体"/>
                <w:color w:val="000000"/>
                <w:kern w:val="0"/>
                <w:sz w:val="24"/>
                <w:szCs w:val="24"/>
              </w:rPr>
              <w:t>3</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579BD3D1">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检测样本:血清、血浆、尿液、脑脊液</w:t>
            </w:r>
          </w:p>
        </w:tc>
      </w:tr>
      <w:tr w14:paraId="4A209AA0">
        <w:tblPrEx>
          <w:tblCellMar>
            <w:top w:w="0" w:type="dxa"/>
            <w:left w:w="108" w:type="dxa"/>
            <w:bottom w:w="0" w:type="dxa"/>
            <w:right w:w="108" w:type="dxa"/>
          </w:tblCellMar>
        </w:tblPrEx>
        <w:trPr>
          <w:trHeight w:val="25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48E5A451">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2CDD8ABF">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样本管:具有原始管上样功能，选系统条形码功能。</w:t>
            </w:r>
          </w:p>
        </w:tc>
      </w:tr>
      <w:tr w14:paraId="5081121C">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5FD8D2C6">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sz w:val="24"/>
                <w:szCs w:val="24"/>
              </w:rPr>
              <w:t>▲</w:t>
            </w:r>
            <w:r>
              <w:rPr>
                <w:rFonts w:hint="eastAsia" w:ascii="宋体" w:hAnsi="宋体" w:eastAsia="宋体" w:cs="宋体"/>
                <w:color w:val="000000"/>
                <w:kern w:val="0"/>
                <w:sz w:val="24"/>
                <w:szCs w:val="24"/>
              </w:rPr>
              <w:t>5</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1C1AF04A">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检测速度:测试速度≥200测试/小时</w:t>
            </w:r>
          </w:p>
        </w:tc>
      </w:tr>
      <w:tr w14:paraId="6B9D4FAD">
        <w:tblPrEx>
          <w:tblCellMar>
            <w:top w:w="0" w:type="dxa"/>
            <w:left w:w="108" w:type="dxa"/>
            <w:bottom w:w="0" w:type="dxa"/>
            <w:right w:w="108" w:type="dxa"/>
          </w:tblCellMar>
        </w:tblPrEx>
        <w:trPr>
          <w:trHeight w:val="63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02A0A41A">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sz w:val="24"/>
                <w:szCs w:val="24"/>
              </w:rPr>
              <w:t>▲</w:t>
            </w:r>
            <w:r>
              <w:rPr>
                <w:rFonts w:hint="eastAsia" w:ascii="宋体" w:hAnsi="宋体" w:eastAsia="宋体" w:cs="宋体"/>
                <w:color w:val="000000"/>
                <w:kern w:val="0"/>
                <w:sz w:val="24"/>
                <w:szCs w:val="24"/>
              </w:rPr>
              <w:t>6</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67C42A72">
            <w:pPr>
              <w:widowControl/>
              <w:spacing w:line="360" w:lineRule="auto"/>
              <w:jc w:val="left"/>
              <w:textAlignment w:val="center"/>
              <w:rPr>
                <w:rFonts w:hint="eastAsia" w:ascii="宋体" w:hAnsi="宋体" w:eastAsia="宋体" w:cs="微软雅黑"/>
                <w:color w:val="000000"/>
                <w:sz w:val="24"/>
                <w:szCs w:val="24"/>
              </w:rPr>
            </w:pPr>
            <w:r>
              <w:rPr>
                <w:rFonts w:hint="eastAsia" w:ascii="宋体" w:hAnsi="宋体" w:eastAsia="宋体" w:cs="宋体"/>
                <w:color w:val="000000"/>
                <w:kern w:val="0"/>
                <w:sz w:val="24"/>
                <w:szCs w:val="24"/>
              </w:rPr>
              <w:t>样本稀释:具有较大的样本稀释范围，从1:1可至1:60,000以上</w:t>
            </w:r>
          </w:p>
        </w:tc>
      </w:tr>
      <w:tr w14:paraId="5CC8087F">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0D067EC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7</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4D3A9DE4">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稀释杯:≥260个</w:t>
            </w:r>
          </w:p>
        </w:tc>
      </w:tr>
      <w:tr w14:paraId="552279F3">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00FAD3B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8</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3198FCAE">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反应杯:≥60个</w:t>
            </w:r>
          </w:p>
        </w:tc>
      </w:tr>
      <w:tr w14:paraId="16ED9192">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26AD4359">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sz w:val="24"/>
                <w:szCs w:val="24"/>
              </w:rPr>
              <w:t>▲</w:t>
            </w:r>
            <w:r>
              <w:rPr>
                <w:rFonts w:hint="eastAsia" w:ascii="宋体" w:hAnsi="宋体" w:eastAsia="宋体" w:cs="宋体"/>
                <w:color w:val="000000"/>
                <w:kern w:val="0"/>
                <w:sz w:val="24"/>
                <w:szCs w:val="24"/>
              </w:rPr>
              <w:t>9</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5FFD63E1">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检测项目:≥60项 包括可溶性转铁蛋白、缺糖基转铁蛋白、游离轻链。具有新项目的持续开发能力。</w:t>
            </w:r>
          </w:p>
        </w:tc>
      </w:tr>
      <w:tr w14:paraId="69461ED2">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32F657EB">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2F97AFF5">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检测温度:37±1.5℃</w:t>
            </w:r>
          </w:p>
        </w:tc>
      </w:tr>
      <w:tr w14:paraId="7E9BB13B">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42194FCE">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601772CB">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光源:发光二级管</w:t>
            </w:r>
          </w:p>
        </w:tc>
      </w:tr>
      <w:tr w14:paraId="7995BDFD">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35EB1C5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17AA413F">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检测波长:840±25nm</w:t>
            </w:r>
          </w:p>
        </w:tc>
      </w:tr>
      <w:tr w14:paraId="5C6A712A">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00A6844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0F2D6AE4">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探测器:硅光电二极管</w:t>
            </w:r>
          </w:p>
        </w:tc>
      </w:tr>
      <w:tr w14:paraId="4D14790C">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7A843068">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3C420DB4">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抗原过量检测:具有抗原过量检测稀释功能，能有效的排出假阴性结果。</w:t>
            </w:r>
          </w:p>
        </w:tc>
      </w:tr>
      <w:tr w14:paraId="7172DCD7">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2574A63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sz w:val="24"/>
                <w:szCs w:val="24"/>
              </w:rPr>
              <w:t>▲</w:t>
            </w:r>
            <w:r>
              <w:rPr>
                <w:rFonts w:hint="eastAsia" w:ascii="仿宋_GB2312" w:hAnsi="宋体" w:eastAsia="仿宋_GB2312" w:cs="宋体"/>
                <w:color w:val="000000"/>
                <w:kern w:val="0"/>
                <w:sz w:val="24"/>
                <w:szCs w:val="24"/>
              </w:rPr>
              <w:t>15</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07195231">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多批号运行：能同时使用≥2种不同批号试剂，容纳≥30种检测项</w:t>
            </w:r>
          </w:p>
        </w:tc>
      </w:tr>
      <w:tr w14:paraId="2EAE6257">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5E8F2967">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353433A7">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定标与质控:具有国际公认的定标质控系统</w:t>
            </w:r>
          </w:p>
        </w:tc>
      </w:tr>
      <w:tr w14:paraId="05073327">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72FF60D2">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17</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4A32417D">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环境温度:18-32℃</w:t>
            </w:r>
          </w:p>
        </w:tc>
      </w:tr>
      <w:tr w14:paraId="20E6F949">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tcPr>
          <w:p w14:paraId="00421160">
            <w:pPr>
              <w:widowControl/>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7359" w:type="dxa"/>
            <w:tcBorders>
              <w:top w:val="single" w:color="000000" w:sz="4" w:space="0"/>
              <w:left w:val="single" w:color="000000" w:sz="4" w:space="0"/>
              <w:bottom w:val="single" w:color="000000" w:sz="4" w:space="0"/>
              <w:right w:val="single" w:color="000000" w:sz="4" w:space="0"/>
            </w:tcBorders>
            <w:shd w:val="clear" w:color="auto" w:fill="auto"/>
          </w:tcPr>
          <w:p w14:paraId="01A137D1">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操作及保养:操作简便，每天保养工作简单，随时可以待机</w:t>
            </w:r>
          </w:p>
        </w:tc>
      </w:tr>
    </w:tbl>
    <w:p w14:paraId="58CE523F">
      <w:pPr>
        <w:spacing w:line="360" w:lineRule="auto"/>
        <w:ind w:left="420"/>
        <w:rPr>
          <w:rFonts w:hint="eastAsia" w:ascii="宋体" w:hAnsi="宋体" w:eastAsia="宋体"/>
          <w:b/>
          <w:sz w:val="24"/>
          <w:szCs w:val="24"/>
        </w:rPr>
      </w:pPr>
    </w:p>
    <w:p w14:paraId="7E361386">
      <w:pPr>
        <w:numPr>
          <w:ilvl w:val="0"/>
          <w:numId w:val="2"/>
        </w:numPr>
        <w:spacing w:line="360" w:lineRule="auto"/>
        <w:rPr>
          <w:rFonts w:hint="eastAsia" w:ascii="宋体" w:hAnsi="宋体" w:eastAsia="宋体"/>
          <w:b/>
          <w:sz w:val="24"/>
          <w:szCs w:val="24"/>
        </w:rPr>
      </w:pPr>
      <w:r>
        <w:rPr>
          <w:rFonts w:hint="eastAsia" w:ascii="宋体" w:hAnsi="宋体" w:eastAsia="宋体"/>
          <w:b/>
          <w:sz w:val="24"/>
          <w:szCs w:val="24"/>
        </w:rPr>
        <w:t>项目售后服务要求</w:t>
      </w:r>
    </w:p>
    <w:bookmarkEnd w:id="2"/>
    <w:p w14:paraId="374B7752">
      <w:pPr>
        <w:spacing w:line="360" w:lineRule="auto"/>
        <w:jc w:val="left"/>
        <w:rPr>
          <w:rFonts w:hint="eastAsia" w:ascii="宋体" w:hAnsi="宋体" w:eastAsia="宋体"/>
          <w:sz w:val="24"/>
          <w:szCs w:val="24"/>
        </w:rPr>
      </w:pPr>
      <w:r>
        <w:rPr>
          <w:rFonts w:hint="eastAsia" w:ascii="宋体" w:hAnsi="宋体" w:eastAsia="宋体"/>
          <w:sz w:val="24"/>
          <w:szCs w:val="24"/>
        </w:rPr>
        <w:t>1.供货价为最终用户价，包括但不限于设备采购费、系统集成费、人工费、税费等，所有运费、保险均由投标方承担。</w:t>
      </w:r>
    </w:p>
    <w:p w14:paraId="652D6392">
      <w:pPr>
        <w:spacing w:line="360" w:lineRule="auto"/>
        <w:jc w:val="left"/>
        <w:rPr>
          <w:rFonts w:hint="eastAsia" w:ascii="宋体" w:hAnsi="宋体" w:eastAsia="宋体"/>
          <w:sz w:val="24"/>
          <w:szCs w:val="24"/>
        </w:rPr>
      </w:pPr>
      <w:r>
        <w:rPr>
          <w:rFonts w:hint="eastAsia" w:ascii="宋体" w:hAnsi="宋体" w:eastAsia="宋体"/>
          <w:sz w:val="24"/>
          <w:szCs w:val="24"/>
        </w:rPr>
        <w:t>2.设备是全新的、未使用过的，并完全符合规定的质量、规格和性能的要求。投标方负责提供设备数据接口。</w:t>
      </w:r>
    </w:p>
    <w:p w14:paraId="1951CFA1">
      <w:pPr>
        <w:spacing w:line="360" w:lineRule="auto"/>
        <w:jc w:val="left"/>
        <w:rPr>
          <w:rFonts w:hint="eastAsia" w:ascii="宋体" w:hAnsi="宋体" w:eastAsia="宋体"/>
          <w:sz w:val="24"/>
          <w:szCs w:val="24"/>
        </w:rPr>
      </w:pPr>
      <w:r>
        <w:rPr>
          <w:rFonts w:hint="eastAsia" w:ascii="宋体" w:hAnsi="宋体" w:eastAsia="宋体"/>
          <w:sz w:val="24"/>
          <w:szCs w:val="24"/>
        </w:rPr>
        <w:t>3.由投标方负责安装，提供场地安装要求图，根据医院要求摆放到指定地点。调试：由设备生产厂商委派专职工程师完成设备调试功工作。</w:t>
      </w:r>
    </w:p>
    <w:p w14:paraId="72970311">
      <w:pPr>
        <w:spacing w:line="360" w:lineRule="auto"/>
        <w:jc w:val="left"/>
        <w:rPr>
          <w:rFonts w:hint="eastAsia" w:ascii="宋体" w:hAnsi="宋体" w:eastAsia="宋体"/>
          <w:sz w:val="24"/>
          <w:szCs w:val="24"/>
        </w:rPr>
      </w:pPr>
      <w:r>
        <w:rPr>
          <w:rFonts w:hint="eastAsia" w:ascii="宋体" w:hAnsi="宋体" w:eastAsia="宋体"/>
          <w:sz w:val="24"/>
          <w:szCs w:val="24"/>
        </w:rPr>
        <w:t>4.验收方案：根据国家标准及厂方标准，按招、投标文件配置和功能要求，对产品的功能参数、配置逐项进行质量验收。满足上海市临检中心质控要求，仪器正常运行通过验收。</w:t>
      </w:r>
    </w:p>
    <w:p w14:paraId="265D8A21">
      <w:pPr>
        <w:spacing w:line="360" w:lineRule="auto"/>
        <w:jc w:val="left"/>
        <w:rPr>
          <w:rFonts w:hint="eastAsia" w:ascii="宋体" w:hAnsi="宋体" w:eastAsia="宋体"/>
          <w:sz w:val="24"/>
          <w:szCs w:val="24"/>
        </w:rPr>
      </w:pPr>
      <w:r>
        <w:rPr>
          <w:rFonts w:hint="eastAsia" w:ascii="宋体" w:hAnsi="宋体" w:eastAsia="宋体"/>
          <w:sz w:val="24"/>
          <w:szCs w:val="24"/>
        </w:rPr>
        <w:t>5.保证对所售设备提供专业的7*24小时原厂技术服务和技术支持，2小时内响应，24小时内到达现场处理故障。若超过24小时无法修复的，提供与该设备相同的备用机。</w:t>
      </w:r>
    </w:p>
    <w:p w14:paraId="6D88DDA4">
      <w:pPr>
        <w:spacing w:line="360" w:lineRule="auto"/>
        <w:jc w:val="left"/>
        <w:rPr>
          <w:rFonts w:hint="eastAsia" w:ascii="宋体" w:hAnsi="宋体" w:eastAsia="宋体"/>
          <w:sz w:val="24"/>
          <w:szCs w:val="24"/>
        </w:rPr>
      </w:pPr>
      <w:r>
        <w:rPr>
          <w:rFonts w:hint="eastAsia" w:ascii="宋体" w:hAnsi="宋体" w:eastAsia="宋体"/>
          <w:sz w:val="24"/>
          <w:szCs w:val="24"/>
        </w:rPr>
        <w:t>6.供应商派原厂专业技术人员在项目现场提供临床操作及维修人员培训，培训次数≥4次，维保次数≥4次。</w:t>
      </w:r>
    </w:p>
    <w:p w14:paraId="36ABCB9F">
      <w:pPr>
        <w:spacing w:line="360" w:lineRule="auto"/>
        <w:jc w:val="left"/>
        <w:rPr>
          <w:rFonts w:hint="eastAsia" w:ascii="宋体" w:hAnsi="宋体" w:eastAsia="宋体"/>
          <w:sz w:val="24"/>
          <w:szCs w:val="24"/>
        </w:rPr>
      </w:pPr>
      <w:r>
        <w:rPr>
          <w:rFonts w:hint="eastAsia" w:ascii="宋体" w:hAnsi="宋体" w:eastAsia="宋体"/>
          <w:sz w:val="24"/>
          <w:szCs w:val="24"/>
        </w:rPr>
        <w:t>★7.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77AF7417">
      <w:pPr>
        <w:spacing w:line="360" w:lineRule="auto"/>
        <w:jc w:val="left"/>
        <w:rPr>
          <w:rFonts w:hint="eastAsia" w:ascii="宋体" w:hAnsi="宋体" w:eastAsia="宋体"/>
          <w:sz w:val="24"/>
          <w:szCs w:val="24"/>
        </w:rPr>
      </w:pPr>
      <w:r>
        <w:rPr>
          <w:rFonts w:hint="eastAsia" w:ascii="宋体" w:hAnsi="宋体" w:eastAsia="宋体"/>
          <w:sz w:val="24"/>
          <w:szCs w:val="24"/>
        </w:rPr>
        <w:t xml:space="preserve">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 </w:t>
      </w:r>
    </w:p>
    <w:p w14:paraId="210594B0">
      <w:pPr>
        <w:spacing w:line="360" w:lineRule="auto"/>
        <w:jc w:val="left"/>
        <w:rPr>
          <w:rFonts w:hint="eastAsia" w:ascii="宋体" w:hAnsi="宋体" w:eastAsia="宋体"/>
          <w:sz w:val="24"/>
          <w:szCs w:val="24"/>
        </w:rPr>
      </w:pPr>
      <w:r>
        <w:rPr>
          <w:rFonts w:hint="eastAsia" w:ascii="宋体" w:hAnsi="宋体" w:eastAsia="宋体"/>
          <w:sz w:val="24"/>
          <w:szCs w:val="24"/>
        </w:rPr>
        <w:t>9.提供终身软件升级、安装调试服务。</w:t>
      </w:r>
    </w:p>
    <w:p w14:paraId="6E25E100">
      <w:pPr>
        <w:spacing w:line="360" w:lineRule="auto"/>
        <w:jc w:val="left"/>
        <w:rPr>
          <w:rFonts w:hint="eastAsia" w:ascii="宋体" w:hAnsi="宋体" w:eastAsia="宋体"/>
          <w:sz w:val="24"/>
          <w:szCs w:val="24"/>
        </w:rPr>
      </w:pPr>
      <w:r>
        <w:rPr>
          <w:rFonts w:hint="eastAsia" w:ascii="宋体" w:hAnsi="宋体" w:eastAsia="宋体"/>
          <w:sz w:val="24"/>
          <w:szCs w:val="24"/>
        </w:rPr>
        <w:t>10.提供原厂技术援助：如提供操作手册，每年技术巡访不少于4次。</w:t>
      </w:r>
    </w:p>
    <w:p w14:paraId="3E35BEA0">
      <w:pPr>
        <w:spacing w:line="360" w:lineRule="auto"/>
        <w:jc w:val="left"/>
        <w:rPr>
          <w:rFonts w:hint="eastAsia" w:ascii="宋体" w:hAnsi="宋体" w:eastAsia="宋体"/>
          <w:sz w:val="24"/>
          <w:szCs w:val="24"/>
        </w:rPr>
      </w:pPr>
      <w:r>
        <w:rPr>
          <w:rFonts w:hint="eastAsia" w:ascii="宋体" w:hAnsi="宋体" w:eastAsia="宋体"/>
          <w:sz w:val="24"/>
          <w:szCs w:val="24"/>
        </w:rPr>
        <w:t>11.投标文件中分别提供随机易损件和易耗件清单（计入投标总价），和质保期结束后的备品备件、易损件和易耗件清单一览表（不计入投标总价）。</w:t>
      </w:r>
    </w:p>
    <w:p w14:paraId="2EDEE342">
      <w:pPr>
        <w:spacing w:line="360" w:lineRule="auto"/>
        <w:jc w:val="left"/>
        <w:rPr>
          <w:rFonts w:hint="eastAsia" w:ascii="宋体" w:hAnsi="宋体" w:eastAsia="宋体"/>
          <w:sz w:val="24"/>
          <w:szCs w:val="24"/>
        </w:rPr>
      </w:pPr>
      <w:r>
        <w:rPr>
          <w:rFonts w:hint="eastAsia" w:ascii="宋体" w:hAnsi="宋体" w:eastAsia="宋体"/>
          <w:sz w:val="24"/>
          <w:szCs w:val="24"/>
        </w:rPr>
        <w:t>12.备品备件供货价格：不得超过市场价格的50%。投标时需填写上述价格，出质保期后，上述产品供货价格以双方最终认定价格为准，且采购人有权更换供货方。配件供应 10 年以上。</w:t>
      </w:r>
    </w:p>
    <w:p w14:paraId="37C11A5E">
      <w:pPr>
        <w:spacing w:line="360" w:lineRule="auto"/>
        <w:jc w:val="left"/>
        <w:rPr>
          <w:rFonts w:hint="eastAsia" w:ascii="宋体" w:hAnsi="宋体" w:eastAsia="宋体"/>
          <w:sz w:val="24"/>
          <w:szCs w:val="24"/>
        </w:rPr>
      </w:pPr>
      <w:r>
        <w:rPr>
          <w:rFonts w:hint="eastAsia" w:ascii="宋体" w:hAnsi="宋体" w:eastAsia="宋体"/>
          <w:sz w:val="24"/>
          <w:szCs w:val="24"/>
        </w:rPr>
        <w:t>13.维保内容与价格：质保期后，维保费用以双方最终认定价格为准，原则上不超过设备总价的</w:t>
      </w:r>
      <w:r>
        <w:rPr>
          <w:rFonts w:ascii="宋体" w:hAnsi="宋体" w:eastAsia="宋体"/>
          <w:sz w:val="24"/>
          <w:szCs w:val="24"/>
        </w:rPr>
        <w:t>5</w:t>
      </w:r>
      <w:r>
        <w:rPr>
          <w:rFonts w:hint="eastAsia" w:ascii="宋体" w:hAnsi="宋体" w:eastAsia="宋体"/>
          <w:sz w:val="24"/>
          <w:szCs w:val="24"/>
        </w:rPr>
        <w:t>%。</w:t>
      </w:r>
    </w:p>
    <w:p w14:paraId="73BAE152">
      <w:pPr>
        <w:spacing w:line="360" w:lineRule="auto"/>
        <w:jc w:val="left"/>
        <w:rPr>
          <w:rFonts w:hint="eastAsia" w:ascii="宋体" w:hAnsi="宋体" w:eastAsia="宋体"/>
          <w:sz w:val="24"/>
          <w:szCs w:val="24"/>
        </w:rPr>
      </w:pPr>
      <w:r>
        <w:rPr>
          <w:rFonts w:hint="eastAsia" w:ascii="宋体" w:hAnsi="宋体" w:eastAsia="宋体"/>
          <w:sz w:val="24"/>
          <w:szCs w:val="24"/>
        </w:rPr>
        <w:t>★14. 试剂配套要求（在投标文件中提供承诺函并盖章）：</w:t>
      </w:r>
    </w:p>
    <w:p w14:paraId="63630A83">
      <w:pPr>
        <w:spacing w:line="360" w:lineRule="auto"/>
        <w:jc w:val="left"/>
        <w:rPr>
          <w:rFonts w:hint="eastAsia" w:ascii="宋体" w:hAnsi="宋体" w:eastAsia="宋体"/>
          <w:sz w:val="24"/>
          <w:szCs w:val="24"/>
        </w:rPr>
      </w:pPr>
      <w:r>
        <w:rPr>
          <w:rFonts w:hint="eastAsia" w:ascii="宋体" w:hAnsi="宋体" w:eastAsia="宋体"/>
          <w:sz w:val="24"/>
          <w:szCs w:val="24"/>
        </w:rPr>
        <w:t>1）. 如本次招标采购相关设备有配套诊断试剂/试剂盒，请在分项报价中注明收费项目名称、配套诊断试剂/试剂盒名称及医保收费编码，并提供配套诊断试剂/试剂盒相应注册证；</w:t>
      </w:r>
    </w:p>
    <w:p w14:paraId="69972A04">
      <w:pPr>
        <w:spacing w:line="360" w:lineRule="auto"/>
        <w:jc w:val="left"/>
        <w:rPr>
          <w:rFonts w:hint="eastAsia" w:ascii="宋体" w:hAnsi="宋体" w:eastAsia="宋体"/>
          <w:sz w:val="24"/>
          <w:szCs w:val="24"/>
        </w:rPr>
      </w:pPr>
      <w:r>
        <w:rPr>
          <w:rFonts w:hint="eastAsia" w:ascii="宋体" w:hAnsi="宋体" w:eastAsia="宋体"/>
          <w:sz w:val="24"/>
          <w:szCs w:val="24"/>
        </w:rPr>
        <w:t>2）.相关试剂的报价不超过医保收费价格的30%，如超过则视为本次投标无效；</w:t>
      </w:r>
    </w:p>
    <w:p w14:paraId="6733C0E7">
      <w:pPr>
        <w:spacing w:line="360" w:lineRule="auto"/>
        <w:jc w:val="left"/>
        <w:rPr>
          <w:rFonts w:hint="eastAsia" w:ascii="宋体" w:hAnsi="宋体" w:eastAsia="宋体"/>
          <w:sz w:val="24"/>
          <w:szCs w:val="24"/>
        </w:rPr>
      </w:pPr>
      <w:r>
        <w:rPr>
          <w:rFonts w:hint="eastAsia" w:ascii="宋体" w:hAnsi="宋体" w:eastAsia="宋体"/>
          <w:sz w:val="24"/>
          <w:szCs w:val="24"/>
        </w:rPr>
        <w:t>3）.如该设备无配套诊断试剂/试剂盒，则须明确“本设备无配套诊断试剂/试剂盒”。</w:t>
      </w:r>
    </w:p>
    <w:p w14:paraId="61C52218">
      <w:pPr>
        <w:adjustRightInd w:val="0"/>
        <w:snapToGrid w:val="0"/>
        <w:spacing w:line="360" w:lineRule="auto"/>
        <w:rPr>
          <w:rFonts w:hint="eastAsia" w:ascii="宋体" w:hAnsi="宋体" w:eastAsia="宋体"/>
          <w:sz w:val="24"/>
          <w:szCs w:val="24"/>
        </w:rPr>
      </w:pPr>
    </w:p>
    <w:p w14:paraId="62B9DC11">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（二）最高限价</w:t>
      </w:r>
    </w:p>
    <w:p w14:paraId="0F3C60D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人民币80</w:t>
      </w:r>
      <w:r>
        <w:rPr>
          <w:rFonts w:ascii="宋体" w:hAnsi="宋体" w:eastAsia="宋体"/>
          <w:sz w:val="24"/>
          <w:szCs w:val="24"/>
        </w:rPr>
        <w:t>.00万元</w:t>
      </w:r>
    </w:p>
    <w:p w14:paraId="468E9D57">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（三）资格条件</w:t>
      </w:r>
    </w:p>
    <w:p w14:paraId="155573A8">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1）具有独立承担民事责任的能力。</w:t>
      </w:r>
    </w:p>
    <w:p w14:paraId="0A42A470">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2）本项目不接受联合体投标；</w:t>
      </w:r>
    </w:p>
    <w:p w14:paraId="39AB1D34">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3）本项目不接受分包、转包；</w:t>
      </w:r>
    </w:p>
    <w:p w14:paraId="748C166D">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4）单位负责人为同一人或者存在直接控股、管理关系的不同供应商，不得参加同一合同项下的采购活动；</w:t>
      </w:r>
    </w:p>
    <w:p w14:paraId="3D4538D4">
      <w:pPr>
        <w:adjustRightInd w:val="0"/>
        <w:snapToGrid w:val="0"/>
        <w:spacing w:line="360" w:lineRule="auto"/>
        <w:rPr>
          <w:rFonts w:hint="eastAsia" w:ascii="宋体" w:hAnsi="宋体" w:eastAsia="宋体"/>
          <w:bCs/>
          <w:sz w:val="24"/>
          <w:szCs w:val="24"/>
        </w:rPr>
      </w:pPr>
      <w:r>
        <w:rPr>
          <w:rFonts w:ascii="宋体" w:hAnsi="宋体" w:eastAsia="宋体"/>
          <w:bCs/>
          <w:sz w:val="24"/>
          <w:szCs w:val="24"/>
        </w:rPr>
        <w:t>5）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A2B7784">
      <w:pPr>
        <w:spacing w:line="360" w:lineRule="auto"/>
        <w:rPr>
          <w:rFonts w:hint="eastAsia" w:ascii="宋体" w:hAnsi="宋体" w:eastAsia="宋体"/>
          <w:bCs/>
          <w:sz w:val="24"/>
          <w:szCs w:val="24"/>
        </w:rPr>
      </w:pPr>
      <w:r>
        <w:rPr>
          <w:rFonts w:hint="eastAsia" w:ascii="宋体" w:hAnsi="宋体" w:eastAsia="宋体"/>
          <w:bCs/>
          <w:sz w:val="24"/>
          <w:szCs w:val="24"/>
        </w:rPr>
        <w:t>6）如果投标人是投标货物制造厂家，应按照国家有关规定提供《中华人民共和国医疗器械生产企业许可证》或《第一类医疗器械生产备案凭证》；如果投标人是经营销售企业，应按照国家有关规定提供《中华人民共和国医疗器械经营企业许可证》或《第二类医疗器械经营备案凭证》。投标人的生产或经营范围应当与国家相关许可保持一致。（投标货物按照医疗器械管理时适用）；</w:t>
      </w:r>
    </w:p>
    <w:p w14:paraId="6094D6F2">
      <w:pPr>
        <w:spacing w:line="360" w:lineRule="auto"/>
        <w:rPr>
          <w:rFonts w:hint="eastAsia" w:ascii="宋体" w:hAnsi="宋体" w:eastAsia="宋体"/>
          <w:bCs/>
          <w:sz w:val="24"/>
          <w:szCs w:val="24"/>
        </w:rPr>
      </w:pPr>
      <w:r>
        <w:rPr>
          <w:rFonts w:hint="eastAsia" w:ascii="宋体" w:hAnsi="宋体" w:eastAsia="宋体"/>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53E2A76D">
      <w:pPr>
        <w:adjustRightInd w:val="0"/>
        <w:snapToGrid w:val="0"/>
        <w:spacing w:line="360" w:lineRule="auto"/>
        <w:rPr>
          <w:rFonts w:hint="eastAsia" w:ascii="宋体" w:hAnsi="宋体" w:eastAsia="宋体"/>
          <w:bCs/>
          <w:sz w:val="24"/>
          <w:szCs w:val="24"/>
        </w:rPr>
      </w:pPr>
      <w:r>
        <w:rPr>
          <w:rFonts w:hint="eastAsia" w:ascii="宋体" w:hAnsi="宋体" w:eastAsia="宋体"/>
          <w:bCs/>
          <w:sz w:val="24"/>
          <w:szCs w:val="24"/>
        </w:rPr>
        <w:t>8）如投标单位是贸易代理商，应提供该设备的制造商出具的本次采购项目唯一代理的授权函。</w:t>
      </w:r>
    </w:p>
    <w:p w14:paraId="1870E6D6">
      <w:pPr>
        <w:adjustRightInd w:val="0"/>
        <w:snapToGrid w:val="0"/>
        <w:spacing w:line="360" w:lineRule="auto"/>
        <w:rPr>
          <w:rFonts w:hint="eastAsia" w:ascii="宋体" w:hAnsi="宋体" w:eastAsia="宋体"/>
          <w:b/>
          <w:sz w:val="24"/>
          <w:szCs w:val="24"/>
        </w:rPr>
      </w:pPr>
      <w:r>
        <w:rPr>
          <w:rFonts w:hint="eastAsia" w:ascii="宋体" w:hAnsi="宋体" w:eastAsia="宋体"/>
          <w:b/>
          <w:sz w:val="24"/>
          <w:szCs w:val="24"/>
        </w:rPr>
        <w:t>（四）商务要求</w:t>
      </w:r>
    </w:p>
    <w:p w14:paraId="3E547190">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1、交付时间：中标单位应在合同生效的30天内，向招标人交付设备。</w:t>
      </w:r>
    </w:p>
    <w:p w14:paraId="5998A745">
      <w:pPr>
        <w:adjustRightInd w:val="0"/>
        <w:snapToGrid w:val="0"/>
        <w:spacing w:line="360" w:lineRule="auto"/>
        <w:rPr>
          <w:rFonts w:hint="eastAsia" w:ascii="宋体" w:hAnsi="宋体" w:eastAsia="宋体"/>
          <w:sz w:val="24"/>
          <w:szCs w:val="24"/>
        </w:rPr>
      </w:pPr>
      <w:r>
        <w:rPr>
          <w:rFonts w:hint="eastAsia" w:ascii="宋体" w:hAnsi="宋体" w:eastAsia="宋体"/>
          <w:sz w:val="24"/>
          <w:szCs w:val="24"/>
        </w:rPr>
        <w:t>2、付款方式：设备安装验收合格后一次性支付合同总价的100%。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2"/>
    <w:multiLevelType w:val="multilevel"/>
    <w:tmpl w:val="00000032"/>
    <w:lvl w:ilvl="0" w:tentative="0">
      <w:start w:val="1"/>
      <w:numFmt w:val="chineseCountingThousand"/>
      <w:pStyle w:val="3"/>
      <w:lvlText w:val="(%1)"/>
      <w:lvlJc w:val="left"/>
      <w:pPr>
        <w:tabs>
          <w:tab w:val="left" w:pos="425"/>
        </w:tabs>
        <w:ind w:left="425" w:hanging="425"/>
      </w:pPr>
      <w:rPr>
        <w:rFonts w:hint="eastAsia"/>
        <w:b/>
        <w:i w:val="0"/>
        <w:sz w:val="24"/>
      </w:rPr>
    </w:lvl>
    <w:lvl w:ilvl="1" w:tentative="0">
      <w:start w:val="1"/>
      <w:numFmt w:val="upperLetter"/>
      <w:lvlText w:val="%2"/>
      <w:lvlJc w:val="left"/>
      <w:pPr>
        <w:tabs>
          <w:tab w:val="left" w:pos="851"/>
        </w:tabs>
        <w:ind w:left="851" w:hanging="426"/>
      </w:pPr>
      <w:rPr>
        <w:rFonts w:hint="eastAsia"/>
        <w:b/>
        <w:i w:val="0"/>
        <w:sz w:val="28"/>
      </w:rPr>
    </w:lvl>
    <w:lvl w:ilvl="2" w:tentative="0">
      <w:start w:val="1"/>
      <w:numFmt w:val="decimal"/>
      <w:lvlText w:val="%3."/>
      <w:lvlJc w:val="left"/>
      <w:pPr>
        <w:tabs>
          <w:tab w:val="left" w:pos="1276"/>
        </w:tabs>
        <w:ind w:left="1276" w:hanging="425"/>
      </w:pPr>
      <w:rPr>
        <w:rFonts w:hint="eastAsia"/>
      </w:rPr>
    </w:lvl>
    <w:lvl w:ilvl="3" w:tentative="0">
      <w:start w:val="1"/>
      <w:numFmt w:val="none"/>
      <w:lvlText w:val=""/>
      <w:lvlJc w:val="left"/>
      <w:pPr>
        <w:tabs>
          <w:tab w:val="left" w:pos="360"/>
        </w:tabs>
      </w:p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0C886CCA"/>
    <w:multiLevelType w:val="multilevel"/>
    <w:tmpl w:val="0C886CCA"/>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021BE"/>
    <w:rsid w:val="0001398C"/>
    <w:rsid w:val="00097888"/>
    <w:rsid w:val="000F486B"/>
    <w:rsid w:val="001460FD"/>
    <w:rsid w:val="001C306A"/>
    <w:rsid w:val="001D1C86"/>
    <w:rsid w:val="00220551"/>
    <w:rsid w:val="002C6367"/>
    <w:rsid w:val="002E581F"/>
    <w:rsid w:val="00310DE0"/>
    <w:rsid w:val="00347015"/>
    <w:rsid w:val="00355A72"/>
    <w:rsid w:val="00364776"/>
    <w:rsid w:val="004A7A67"/>
    <w:rsid w:val="006405C7"/>
    <w:rsid w:val="006510E6"/>
    <w:rsid w:val="00660A80"/>
    <w:rsid w:val="006A76BB"/>
    <w:rsid w:val="00712FBB"/>
    <w:rsid w:val="007C430A"/>
    <w:rsid w:val="00802568"/>
    <w:rsid w:val="008E0DE7"/>
    <w:rsid w:val="0090336E"/>
    <w:rsid w:val="0094303D"/>
    <w:rsid w:val="009D50C6"/>
    <w:rsid w:val="00A91880"/>
    <w:rsid w:val="00B109E1"/>
    <w:rsid w:val="00B43BBE"/>
    <w:rsid w:val="00BA059A"/>
    <w:rsid w:val="00C15676"/>
    <w:rsid w:val="00CB6ED0"/>
    <w:rsid w:val="00CC3BD8"/>
    <w:rsid w:val="00D5723A"/>
    <w:rsid w:val="00D77428"/>
    <w:rsid w:val="00DE6757"/>
    <w:rsid w:val="00E11D1D"/>
    <w:rsid w:val="00E347A7"/>
    <w:rsid w:val="41EC3DB8"/>
    <w:rsid w:val="43EA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9"/>
    <w:pPr>
      <w:keepNext/>
      <w:keepLines/>
      <w:numPr>
        <w:ilvl w:val="0"/>
        <w:numId w:val="1"/>
      </w:numPr>
      <w:adjustRightInd w:val="0"/>
      <w:spacing w:before="180" w:after="60" w:line="400" w:lineRule="atLeast"/>
      <w:textAlignment w:val="baseline"/>
      <w:outlineLvl w:val="1"/>
    </w:pPr>
    <w:rPr>
      <w:rFonts w:ascii="宋体" w:hAnsi="Arial" w:eastAsia="宋体" w:cs="Times New Roman"/>
      <w:spacing w:val="20"/>
      <w:kern w:val="0"/>
      <w:sz w:val="28"/>
      <w:szCs w:val="2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0"/>
    <w:pPr>
      <w:widowControl/>
      <w:jc w:val="left"/>
      <w:textAlignment w:val="baseline"/>
    </w:pPr>
    <w:rPr>
      <w:rFonts w:ascii="Times New Roman" w:hAnsi="Times New Roman" w:eastAsia="宋体" w:cs="Times New Roman"/>
      <w:szCs w:val="24"/>
    </w:rPr>
  </w:style>
  <w:style w:type="paragraph" w:styleId="5">
    <w:name w:val="Balloon Text"/>
    <w:basedOn w:val="1"/>
    <w:link w:val="21"/>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5"/>
    <w:semiHidden/>
    <w:unhideWhenUsed/>
    <w:uiPriority w:val="99"/>
    <w:pPr>
      <w:widowControl w:val="0"/>
      <w:textAlignment w:val="auto"/>
    </w:pPr>
    <w:rPr>
      <w:rFonts w:asciiTheme="minorHAnsi" w:hAnsiTheme="minorHAnsi" w:eastAsiaTheme="minorEastAsia" w:cstheme="minorBidi"/>
      <w:b/>
      <w:bCs/>
      <w:szCs w:val="22"/>
    </w:rPr>
  </w:style>
  <w:style w:type="table" w:styleId="10">
    <w:name w:val="Table Grid"/>
    <w:basedOn w:val="9"/>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qFormat/>
    <w:uiPriority w:val="0"/>
    <w:rPr>
      <w:sz w:val="21"/>
      <w:szCs w:val="21"/>
    </w:rPr>
  </w:style>
  <w:style w:type="character" w:customStyle="1" w:styleId="13">
    <w:name w:val="页眉 字符"/>
    <w:basedOn w:val="11"/>
    <w:link w:val="7"/>
    <w:uiPriority w:val="99"/>
    <w:rPr>
      <w:sz w:val="18"/>
      <w:szCs w:val="18"/>
    </w:rPr>
  </w:style>
  <w:style w:type="character" w:customStyle="1" w:styleId="14">
    <w:name w:val="页脚 字符"/>
    <w:basedOn w:val="11"/>
    <w:link w:val="6"/>
    <w:uiPriority w:val="99"/>
    <w:rPr>
      <w:sz w:val="18"/>
      <w:szCs w:val="18"/>
    </w:rPr>
  </w:style>
  <w:style w:type="character" w:customStyle="1" w:styleId="15">
    <w:name w:val="NormalCharacter"/>
    <w:autoRedefine/>
    <w:qFormat/>
    <w:uiPriority w:val="0"/>
  </w:style>
  <w:style w:type="character" w:customStyle="1" w:styleId="16">
    <w:name w:val="标题 2 字符"/>
    <w:basedOn w:val="11"/>
    <w:link w:val="3"/>
    <w:qFormat/>
    <w:uiPriority w:val="9"/>
    <w:rPr>
      <w:rFonts w:ascii="宋体" w:hAnsi="Arial" w:eastAsia="宋体" w:cs="Times New Roman"/>
      <w:spacing w:val="20"/>
      <w:kern w:val="0"/>
      <w:sz w:val="28"/>
      <w:szCs w:val="20"/>
    </w:rPr>
  </w:style>
  <w:style w:type="character" w:customStyle="1" w:styleId="17">
    <w:name w:val="列表段落 字符"/>
    <w:link w:val="18"/>
    <w:autoRedefine/>
    <w:qFormat/>
    <w:uiPriority w:val="34"/>
  </w:style>
  <w:style w:type="paragraph" w:styleId="18">
    <w:name w:val="List Paragraph"/>
    <w:basedOn w:val="1"/>
    <w:link w:val="17"/>
    <w:autoRedefine/>
    <w:qFormat/>
    <w:uiPriority w:val="34"/>
    <w:pPr>
      <w:widowControl/>
      <w:ind w:firstLine="420" w:firstLineChars="200"/>
      <w:textAlignment w:val="baseline"/>
    </w:pPr>
  </w:style>
  <w:style w:type="character" w:customStyle="1" w:styleId="19">
    <w:name w:val="标题 1 字符"/>
    <w:basedOn w:val="11"/>
    <w:link w:val="2"/>
    <w:qFormat/>
    <w:uiPriority w:val="9"/>
    <w:rPr>
      <w:b/>
      <w:bCs/>
      <w:kern w:val="44"/>
      <w:sz w:val="44"/>
      <w:szCs w:val="44"/>
    </w:rPr>
  </w:style>
  <w:style w:type="character" w:customStyle="1" w:styleId="20">
    <w:name w:val="批注文字 字符"/>
    <w:basedOn w:val="11"/>
    <w:link w:val="4"/>
    <w:qFormat/>
    <w:uiPriority w:val="0"/>
    <w:rPr>
      <w:rFonts w:ascii="Times New Roman" w:hAnsi="Times New Roman" w:eastAsia="宋体" w:cs="Times New Roman"/>
      <w:szCs w:val="24"/>
    </w:rPr>
  </w:style>
  <w:style w:type="character" w:customStyle="1" w:styleId="21">
    <w:name w:val="批注框文本 字符"/>
    <w:basedOn w:val="11"/>
    <w:link w:val="5"/>
    <w:semiHidden/>
    <w:qFormat/>
    <w:uiPriority w:val="99"/>
    <w:rPr>
      <w:sz w:val="18"/>
      <w:szCs w:val="18"/>
    </w:rPr>
  </w:style>
  <w:style w:type="character" w:customStyle="1" w:styleId="22">
    <w:name w:val="批注文字 Char"/>
    <w:qFormat/>
    <w:uiPriority w:val="0"/>
    <w:rPr>
      <w:kern w:val="2"/>
      <w:sz w:val="21"/>
      <w:szCs w:val="24"/>
    </w:rPr>
  </w:style>
  <w:style w:type="paragraph" w:customStyle="1" w:styleId="23">
    <w:name w:val="列出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4">
    <w:name w:val="font21"/>
    <w:basedOn w:val="11"/>
    <w:qFormat/>
    <w:uiPriority w:val="0"/>
    <w:rPr>
      <w:rFonts w:hint="eastAsia" w:ascii="宋体" w:hAnsi="宋体" w:eastAsia="宋体" w:cs="宋体"/>
      <w:color w:val="000000"/>
      <w:sz w:val="24"/>
      <w:szCs w:val="24"/>
      <w:u w:val="none"/>
    </w:rPr>
  </w:style>
  <w:style w:type="character" w:customStyle="1" w:styleId="25">
    <w:name w:val="批注主题 字符"/>
    <w:basedOn w:val="20"/>
    <w:link w:val="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E48F-5AE1-4212-ADA5-8D16C8DBC901}">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2404</Words>
  <Characters>2557</Characters>
  <Lines>19</Lines>
  <Paragraphs>5</Paragraphs>
  <TotalTime>66</TotalTime>
  <ScaleCrop>false</ScaleCrop>
  <LinksUpToDate>false</LinksUpToDate>
  <CharactersWithSpaces>2565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2024-03-28T03:06:00Z</dcterms:created>
  <dc:creator>Windows 用户</dc:creator>
  <cp:lastModifiedBy>杨俐君</cp:lastModifiedBy>
  <dcterms:modified xsi:type="dcterms:W3CDTF">2025-04-07T15:51:44Z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eyJoZGlkIjoiZjlmMDA5MTQ2ZjI1YjA0MjU1YzUzZjU0Y2E5ZDA4ZmMiLCJ1c2VySWQiOiI2NDA4MzE2NjgifQ==</vt:lpwstr>
  </property>
  <property fmtid="{D5CDD505-2E9C-101B-9397-08002B2CF9AE}" pid="3" name="KSOProductBuildVer">
    <vt:lpwstr>2052-12.1.0.20784</vt:lpwstr>
  </property>
  <property fmtid="{D5CDD505-2E9C-101B-9397-08002B2CF9AE}" pid="4" name="ICV">
    <vt:lpwstr>E434BE02348341A08BB78064DF8EBBA4_13</vt:lpwstr>
  </property>
</Properties>
</file>