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177A6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一、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项目概述</w:t>
      </w:r>
    </w:p>
    <w:p w14:paraId="7DB0431D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1、 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设备名称及数量：血栓弹力图检测仪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贰台</w:t>
      </w:r>
    </w:p>
    <w:p w14:paraId="620CF900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2、 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交付日期：合同生效之日起30日内完成。</w:t>
      </w:r>
    </w:p>
    <w:p w14:paraId="307D69F1"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3、 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付款方式：设备安装验收合格后的三个月内付清全款。招标人支付货款前，投标人须向招标人开具数额相等的发票，招标人据此付款。</w:t>
      </w:r>
    </w:p>
    <w:p w14:paraId="5D277901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</w:p>
    <w:p w14:paraId="18C39755"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二、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项目需求</w:t>
      </w:r>
    </w:p>
    <w:p w14:paraId="34D292B7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（一）主要功能及工作原理：全血凝血过程动态监测（普通杯检测），主要用于术前和术中患者凝血功能的变化监测（区 分正常、高凝、低凝）或体检筛查；快速诊断 DIC,区分原发性纤溶亢进和继发性纤溶亢进，指导各类血制品的使用。判断各类肝素的药效（肝素酶杯检测），主要用于术中判断肝素是否适量，指导鱼精蛋白的使用；评估阿司匹林、氯吡格雷、阿昔单抗等抗血小板药物效果（血小板聚集功能检测），自动算出 AA、ADP 受体通道的抑制率（AA%，ADP%），用于评估抗血小板药物的疗效。</w:t>
      </w:r>
    </w:p>
    <w:p w14:paraId="380DAA96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（二）应用场景：检验科门急诊及住院患者</w:t>
      </w:r>
    </w:p>
    <w:p w14:paraId="57017DE4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（三）设备需求参数</w:t>
      </w:r>
    </w:p>
    <w:p w14:paraId="00E40B4C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1★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样本位：≥30个，配备独立急诊样本架，可设定急诊预留通道，保证急诊样本优先检测，实现随到随测</w:t>
      </w:r>
    </w:p>
    <w:p w14:paraId="2FAFD321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 ≥10个试剂位</w:t>
      </w:r>
    </w:p>
    <w:p w14:paraId="2A20B07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3★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通道数： ≥8个，独立运行</w:t>
      </w:r>
    </w:p>
    <w:p w14:paraId="6285C870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进样方式：推架式，带流水线接口，支持原始采血管直接上机，闭盖穿刺，兼容不同高度的采血管。</w:t>
      </w:r>
    </w:p>
    <w:p w14:paraId="19BB860F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数据连接：支持LIS系统双通模式连接功能，与LIS系统实现数据与图像传输</w:t>
      </w:r>
    </w:p>
    <w:p w14:paraId="394A9EA0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6▲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报告模式：数据+图形，支持自定义参数输出及打印，参数可调。参数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要求至少</w:t>
      </w:r>
      <w:r>
        <w:rPr>
          <w:rFonts w:hint="eastAsia" w:ascii="宋体" w:hAnsi="宋体" w:eastAsia="宋体" w:cs="Times New Roman"/>
          <w:sz w:val="24"/>
          <w:szCs w:val="24"/>
        </w:rPr>
        <w:t>包括R/min、Angle/度、MA/mm等检测项目必要参数。</w:t>
      </w:r>
    </w:p>
    <w:p w14:paraId="2CC0DCF6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7试剂配备原厂反应杯，支持在线不停机随时添加</w:t>
      </w:r>
    </w:p>
    <w:p w14:paraId="32BCCB9F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8 生物安全：配备紫外消毒灯</w:t>
      </w:r>
    </w:p>
    <w:p w14:paraId="682978E8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9▲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智能检测：智能感应，开门自动停针，保证操作安全</w:t>
      </w:r>
    </w:p>
    <w:p w14:paraId="76736FFD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10▲质控：可上机自动化质控</w:t>
      </w:r>
    </w:p>
    <w:p w14:paraId="04D8F950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11样本孵育：样本位自带孵育功能</w:t>
      </w:r>
    </w:p>
    <w:p w14:paraId="3F23708C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12▲精确度：R/min的CV值在≤8％，Angle/度、MA/mm的CV值≤6％</w:t>
      </w:r>
    </w:p>
    <w:p w14:paraId="3C7FF92C">
      <w:pPr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13▲稳定性：</w:t>
      </w:r>
      <w:bookmarkStart w:id="0" w:name="OLE_LINK2"/>
      <w:r>
        <w:rPr>
          <w:rFonts w:hint="eastAsia" w:ascii="宋体" w:hAnsi="宋体" w:eastAsia="宋体" w:cs="Times New Roman"/>
          <w:sz w:val="24"/>
          <w:szCs w:val="24"/>
        </w:rPr>
        <w:t>R/min的CV值在≤8％，Angle/度、MA/mm的CV</w:t>
      </w:r>
      <w:bookmarkEnd w:id="0"/>
      <w:r>
        <w:rPr>
          <w:rFonts w:hint="eastAsia" w:ascii="宋体" w:hAnsi="宋体" w:eastAsia="宋体" w:cs="Times New Roman"/>
          <w:sz w:val="24"/>
          <w:szCs w:val="24"/>
        </w:rPr>
        <w:t>值≤6％</w:t>
      </w:r>
      <w:r>
        <w:rPr>
          <w:rFonts w:hint="eastAsia" w:ascii="宋体" w:hAnsi="宋体" w:eastAsia="宋体" w:cs="Times New Roman"/>
          <w:sz w:val="24"/>
          <w:szCs w:val="24"/>
        </w:rPr>
        <w:tab/>
      </w:r>
    </w:p>
    <w:p w14:paraId="51A547D6">
      <w:pPr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14 试剂仓控温精度：±1℃及以内</w:t>
      </w:r>
    </w:p>
    <w:p w14:paraId="4AC25373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15 检测速度：≥16测试/小时</w:t>
      </w:r>
    </w:p>
    <w:p w14:paraId="0645E438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</w:p>
    <w:p w14:paraId="5A58E483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color w:val="00B05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三、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配置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要求（单台）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3012"/>
        <w:gridCol w:w="4129"/>
      </w:tblGrid>
      <w:tr w14:paraId="7ECD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</w:tcPr>
          <w:p w14:paraId="37AC0DE4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767" w:type="pct"/>
          </w:tcPr>
          <w:p w14:paraId="04A13F6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2422" w:type="pct"/>
          </w:tcPr>
          <w:p w14:paraId="71542E2D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数量</w:t>
            </w:r>
          </w:p>
        </w:tc>
      </w:tr>
      <w:tr w14:paraId="4FA3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</w:tcPr>
          <w:p w14:paraId="0A1157CD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67" w:type="pct"/>
          </w:tcPr>
          <w:p w14:paraId="04E8F191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主机</w:t>
            </w:r>
          </w:p>
        </w:tc>
        <w:tc>
          <w:tcPr>
            <w:tcW w:w="2422" w:type="pct"/>
          </w:tcPr>
          <w:p w14:paraId="24C229C7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1台</w:t>
            </w:r>
          </w:p>
        </w:tc>
      </w:tr>
      <w:tr w14:paraId="6D9B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09" w:type="pct"/>
          </w:tcPr>
          <w:p w14:paraId="2A1CB69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67" w:type="pct"/>
          </w:tcPr>
          <w:p w14:paraId="475D8044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电源适配器及电源线</w:t>
            </w:r>
          </w:p>
        </w:tc>
        <w:tc>
          <w:tcPr>
            <w:tcW w:w="2422" w:type="pct"/>
          </w:tcPr>
          <w:p w14:paraId="6D5DD4F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1件</w:t>
            </w:r>
          </w:p>
        </w:tc>
      </w:tr>
      <w:tr w14:paraId="7CAF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</w:tcPr>
          <w:p w14:paraId="1D893D21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67" w:type="pct"/>
          </w:tcPr>
          <w:p w14:paraId="34BA72EC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无线鼠标键盘</w:t>
            </w:r>
          </w:p>
        </w:tc>
        <w:tc>
          <w:tcPr>
            <w:tcW w:w="2422" w:type="pct"/>
          </w:tcPr>
          <w:p w14:paraId="374E65A9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1套</w:t>
            </w:r>
          </w:p>
        </w:tc>
      </w:tr>
      <w:tr w14:paraId="5AF5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</w:tcPr>
          <w:p w14:paraId="528AD82C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67" w:type="pct"/>
          </w:tcPr>
          <w:p w14:paraId="35656668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调节笔</w:t>
            </w:r>
          </w:p>
        </w:tc>
        <w:tc>
          <w:tcPr>
            <w:tcW w:w="2422" w:type="pct"/>
          </w:tcPr>
          <w:p w14:paraId="3A78B2F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</w:tr>
      <w:tr w14:paraId="3C4A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</w:tcPr>
          <w:p w14:paraId="6B37EA3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67" w:type="pct"/>
          </w:tcPr>
          <w:p w14:paraId="6A8FB42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洗液桶</w:t>
            </w:r>
          </w:p>
        </w:tc>
        <w:tc>
          <w:tcPr>
            <w:tcW w:w="2422" w:type="pct"/>
          </w:tcPr>
          <w:p w14:paraId="6EB271A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</w:tr>
      <w:tr w14:paraId="165A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</w:tcPr>
          <w:p w14:paraId="10E59D1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67" w:type="pct"/>
          </w:tcPr>
          <w:p w14:paraId="2495EDB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废液桶</w:t>
            </w:r>
          </w:p>
        </w:tc>
        <w:tc>
          <w:tcPr>
            <w:tcW w:w="2422" w:type="pct"/>
          </w:tcPr>
          <w:p w14:paraId="7EAA1ADC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</w:tr>
      <w:tr w14:paraId="09B8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</w:tcPr>
          <w:p w14:paraId="21550728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767" w:type="pct"/>
          </w:tcPr>
          <w:p w14:paraId="4E5FF9E4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样本载架</w:t>
            </w:r>
          </w:p>
        </w:tc>
        <w:tc>
          <w:tcPr>
            <w:tcW w:w="2422" w:type="pct"/>
          </w:tcPr>
          <w:p w14:paraId="037A1BF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3个</w:t>
            </w:r>
          </w:p>
        </w:tc>
      </w:tr>
    </w:tbl>
    <w:p w14:paraId="6C883EC0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</w:p>
    <w:p w14:paraId="3ACFF1A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四、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售后服务要求</w:t>
      </w:r>
    </w:p>
    <w:p w14:paraId="24CE9C38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1. 响应时间：2小时内响应，24小时内到达现场</w:t>
      </w:r>
    </w:p>
    <w:p w14:paraId="1A57F9BB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★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原厂保修年限：≥5年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ab/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　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　</w:t>
      </w:r>
    </w:p>
    <w:p w14:paraId="0C69829B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 ★该设备所有涉及与院内LIS、HIS等信息系统对接，所产生的信息服务费用，由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Times New Roman"/>
          <w:sz w:val="24"/>
          <w:szCs w:val="24"/>
        </w:rPr>
        <w:t>承担。</w:t>
      </w:r>
    </w:p>
    <w:p w14:paraId="013B73F0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</w:p>
    <w:p w14:paraId="17473BA1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五、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伴随服务要求</w:t>
      </w:r>
    </w:p>
    <w:p w14:paraId="387A67A3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 安装：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上门安装</w:t>
      </w:r>
    </w:p>
    <w:p w14:paraId="170CF490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 调试：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上门调试</w:t>
      </w:r>
      <w:r>
        <w:rPr>
          <w:rFonts w:hint="eastAsia" w:ascii="宋体" w:hAnsi="宋体" w:eastAsia="宋体" w:cs="Times New Roman"/>
          <w:sz w:val="24"/>
          <w:szCs w:val="24"/>
        </w:rPr>
        <w:tab/>
      </w:r>
    </w:p>
    <w:p w14:paraId="10BB124F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3. 提供技术援助：24小时厂家支援。 </w:t>
      </w:r>
    </w:p>
    <w:p w14:paraId="0A51DEA3">
      <w:pPr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4. 培训：安装时进行设备培训，每年提供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不少于</w:t>
      </w:r>
      <w:r>
        <w:rPr>
          <w:rFonts w:hint="eastAsia" w:ascii="宋体" w:hAnsi="宋体" w:eastAsia="宋体" w:cs="Times New Roman"/>
          <w:sz w:val="24"/>
          <w:szCs w:val="24"/>
        </w:rPr>
        <w:t>2次免费培训</w:t>
      </w:r>
      <w:r>
        <w:rPr>
          <w:rFonts w:hint="eastAsia" w:ascii="宋体" w:hAnsi="宋体" w:eastAsia="宋体" w:cs="Times New Roman"/>
          <w:sz w:val="24"/>
          <w:szCs w:val="24"/>
        </w:rPr>
        <w:tab/>
      </w:r>
    </w:p>
    <w:p w14:paraId="598935F5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5.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自带显示屏</w:t>
      </w:r>
    </w:p>
    <w:p w14:paraId="098CB5EF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bookmarkStart w:id="1" w:name="_GoBack"/>
      <w:bookmarkEnd w:id="1"/>
    </w:p>
    <w:p w14:paraId="14A6FEC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、 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最高限价：人民币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</w:rPr>
        <w:t>万元</w:t>
      </w:r>
    </w:p>
    <w:p w14:paraId="1833759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350FE7C"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、 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资格条件</w:t>
      </w:r>
    </w:p>
    <w:p w14:paraId="696765C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（1）具有</w:t>
      </w:r>
      <w:r>
        <w:rPr>
          <w:rFonts w:ascii="宋体" w:hAnsi="宋体" w:eastAsia="宋体" w:cs="宋体"/>
          <w:sz w:val="24"/>
          <w:szCs w:val="24"/>
        </w:rPr>
        <w:t>合法经营资质的独立法人、其他组织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0827EBF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果投标人是投标货物制造厂家，应按照国家有关规定提供《中华人民共和国医疗器械生产企业许可证》或《第一类医疗器械生产备案凭证》；如果投标人是经营销售企业，应按照国家有关规定提供《中华人民共和国医疗器械经营企业许可证》或《第二类医疗器械经营备案凭证》。投标人的生产或经营范围应当与国家相关许可保持一致。（投标货物按照医疗器械管理时适用）</w:t>
      </w:r>
    </w:p>
    <w:p w14:paraId="2A0B3BD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提供投标货物《中华人民共和国医疗器械注册证》或《第一类医疗器械备案凭证》。投标货物的规格型号应当与《中华人民共和国医疗器械注册证》或者《第一类医疗器械备案凭证》中的规格型号保持一致。（投标货物按照医疗器械管理时适用）</w:t>
      </w:r>
    </w:p>
    <w:p w14:paraId="2A373A4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（4）为投标货物制造厂家，或具备合法代理资质的经营销售企业；</w:t>
      </w:r>
    </w:p>
    <w:p w14:paraId="67EAADE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（5）投标人须提供《商誉声明》；</w:t>
      </w:r>
    </w:p>
    <w:p w14:paraId="5639F5D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未被“信用中国”网站（www.creditchina.gov.cn）列入失信被执行人名单、重大税收违法案件当事人名单。</w:t>
      </w:r>
    </w:p>
    <w:p w14:paraId="187C4A29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（7）本项目不接受联合体投标。</w:t>
      </w:r>
    </w:p>
    <w:p w14:paraId="6FD96E97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 w:eastAsia="宋体" w:cs="宋体"/>
          <w:color w:val="000000" w:themeColor="text1"/>
          <w:sz w:val="24"/>
          <w:szCs w:val="24"/>
        </w:rPr>
      </w:pPr>
    </w:p>
    <w:p w14:paraId="38568886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hN2YyNGE3MGRmODA3YWUxMTEzMzYyNzE2N2EyZGMifQ=="/>
  </w:docVars>
  <w:rsids>
    <w:rsidRoot w:val="00802568"/>
    <w:rsid w:val="00097888"/>
    <w:rsid w:val="000B35DF"/>
    <w:rsid w:val="0013594E"/>
    <w:rsid w:val="001B75E0"/>
    <w:rsid w:val="001C1877"/>
    <w:rsid w:val="001D1C86"/>
    <w:rsid w:val="002E581F"/>
    <w:rsid w:val="00442A8D"/>
    <w:rsid w:val="004F708D"/>
    <w:rsid w:val="007E4B52"/>
    <w:rsid w:val="00802568"/>
    <w:rsid w:val="0090336E"/>
    <w:rsid w:val="00996064"/>
    <w:rsid w:val="009D50C6"/>
    <w:rsid w:val="00B43BBE"/>
    <w:rsid w:val="00BE15FC"/>
    <w:rsid w:val="00C6537D"/>
    <w:rsid w:val="00D51132"/>
    <w:rsid w:val="00DE00A7"/>
    <w:rsid w:val="00E327F1"/>
    <w:rsid w:val="00F33866"/>
    <w:rsid w:val="053076BF"/>
    <w:rsid w:val="060614D7"/>
    <w:rsid w:val="0D995E8D"/>
    <w:rsid w:val="14094B03"/>
    <w:rsid w:val="1DC57AE4"/>
    <w:rsid w:val="1F0A03FC"/>
    <w:rsid w:val="21B06347"/>
    <w:rsid w:val="25F11A01"/>
    <w:rsid w:val="296B79F4"/>
    <w:rsid w:val="31785D43"/>
    <w:rsid w:val="49B50201"/>
    <w:rsid w:val="54294421"/>
    <w:rsid w:val="582D1057"/>
    <w:rsid w:val="59D9400C"/>
    <w:rsid w:val="65E840C9"/>
    <w:rsid w:val="6A0F705A"/>
    <w:rsid w:val="6D3A0424"/>
    <w:rsid w:val="795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99"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NormalCharacter"/>
    <w:autoRedefine/>
    <w:semiHidden/>
    <w:qFormat/>
    <w:uiPriority w:val="0"/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文字 Char"/>
    <w:basedOn w:val="10"/>
    <w:link w:val="2"/>
    <w:autoRedefine/>
    <w:semiHidden/>
    <w:qFormat/>
    <w:uiPriority w:val="99"/>
  </w:style>
  <w:style w:type="character" w:customStyle="1" w:styleId="18">
    <w:name w:val="批注主题 Char"/>
    <w:basedOn w:val="17"/>
    <w:link w:val="7"/>
    <w:autoRedefine/>
    <w:semiHidden/>
    <w:qFormat/>
    <w:uiPriority w:val="99"/>
    <w:rPr>
      <w:b/>
      <w:bCs/>
    </w:rPr>
  </w:style>
  <w:style w:type="character" w:customStyle="1" w:styleId="19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paragraph" w:customStyle="1" w:styleId="20">
    <w:name w:val="列表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1373</Words>
  <Characters>1477</Characters>
  <Lines>37</Lines>
  <Paragraphs>10</Paragraphs>
  <TotalTime>0</TotalTime>
  <ScaleCrop>false</ScaleCrop>
  <LinksUpToDate>false</LinksUpToDate>
  <CharactersWithSpaces>1527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2024-04-02T07:56:00Z</dcterms:created>
  <dc:creator>Windows 用户</dc:creator>
  <cp:lastModifiedBy>小胖老虎</cp:lastModifiedBy>
  <dcterms:modified xsi:type="dcterms:W3CDTF">2025-04-14T09:02:06Z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5BA4D0E65F324D6CAF1CDD63B8D3D2DE_12</vt:lpwstr>
  </property>
  <property fmtid="{D5CDD505-2E9C-101B-9397-08002B2CF9AE}" pid="4" name="KSOTemplateDocerSaveRecord">
    <vt:lpwstr>eyJoZGlkIjoiNmEzNTc1YWI2NWM3ZWQyYzFhN2M3Y2ExNWEyOTJlMGQiLCJ1c2VySWQiOiI1Mjc4MjAyOTQifQ==</vt:lpwstr>
  </property>
</Properties>
</file>