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上海交通大学医学院附属新华医院病房床单元一批项目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病房床单元一批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:rsidR="00212082" w:rsidRDefault="004342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74.96万元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1）投标人须具有独立承担民事责任的能力；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2）投标人须具有良好的商业信誉和健全的财务会计制度；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3）投标人须具有履行合同所必需的设备和专业技术能力；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 xml:space="preserve">4）投标人须有依法缴纳税收和社会保障资金的良好记录； 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5）投标人参加政府采购活动前三年内，在经营活动中没有重大违法记录；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6）投标人在近三年内未被国家财政部指定的“信用中国”网站（www.creditchina.gov.cn）、“中国政府采购网”（www.ccgp.gov.cn）列入失信被执行人、重大税收违法案件当事人名单、政府采购严重违法失信名单；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7）单位负责人为同一人或者存在直接控股、管理关系的不同单位，不得参加同一包件的竞争或者未划分包件的同一采购项目的竞争；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8）本项目不接受联合体投标；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9）法律、行政法规规定的其他条件。</w:t>
      </w: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lastRenderedPageBreak/>
        <w:t>（四）功能及技术参数：</w:t>
      </w:r>
    </w:p>
    <w:p w:rsidR="00212082" w:rsidRDefault="00434259">
      <w:pPr>
        <w:adjustRightInd w:val="0"/>
        <w:snapToGrid w:val="0"/>
        <w:spacing w:line="360" w:lineRule="auto"/>
        <w:ind w:firstLineChars="100" w:firstLine="24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、技术要求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700"/>
        <w:gridCol w:w="1096"/>
        <w:gridCol w:w="1371"/>
        <w:gridCol w:w="1059"/>
        <w:gridCol w:w="638"/>
        <w:gridCol w:w="1059"/>
        <w:gridCol w:w="1723"/>
        <w:gridCol w:w="4250"/>
      </w:tblGrid>
      <w:tr w:rsidR="00CD11ED" w:rsidTr="00CD11ED">
        <w:trPr>
          <w:trHeight w:val="360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83" w:type="pct"/>
            <w:vAlign w:val="center"/>
          </w:tcPr>
          <w:p w:rsidR="0054163B" w:rsidRDefault="0054163B">
            <w:pPr>
              <w:pStyle w:val="TableText"/>
              <w:spacing w:before="91" w:line="380" w:lineRule="exact"/>
              <w:jc w:val="center"/>
              <w:rPr>
                <w:b/>
                <w:bCs/>
                <w:spacing w:val="-6"/>
                <w:sz w:val="21"/>
                <w:szCs w:val="21"/>
              </w:rPr>
            </w:pPr>
            <w:r w:rsidRPr="0054163B">
              <w:rPr>
                <w:rFonts w:hint="eastAsia"/>
                <w:b/>
                <w:bCs/>
                <w:spacing w:val="-6"/>
                <w:sz w:val="21"/>
                <w:szCs w:val="21"/>
              </w:rPr>
              <w:t>图例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pStyle w:val="TableText"/>
              <w:spacing w:before="91" w:line="3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6"/>
                <w:sz w:val="21"/>
                <w:szCs w:val="21"/>
              </w:rPr>
              <w:t>参考规格</w:t>
            </w:r>
          </w:p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Cs w:val="21"/>
              </w:rPr>
              <w:t>(长×宽×高)mm</w:t>
            </w:r>
            <w:r>
              <w:rPr>
                <w:rStyle w:val="a9"/>
                <w:rFonts w:ascii="宋体" w:eastAsia="宋体" w:hAnsi="宋体" w:cs="宋体" w:hint="eastAsia"/>
              </w:rPr>
              <w:t>±5MM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预估数量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pStyle w:val="TableText"/>
              <w:spacing w:before="91" w:line="38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基本组成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54163B" w:rsidRDefault="0054163B">
            <w:pPr>
              <w:pStyle w:val="TableText"/>
              <w:spacing w:before="91" w:line="38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基本材质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4163B" w:rsidRDefault="0054163B">
            <w:pPr>
              <w:pStyle w:val="TableText"/>
              <w:spacing w:before="91" w:line="38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工艺质量标准</w:t>
            </w:r>
          </w:p>
        </w:tc>
      </w:tr>
      <w:tr w:rsidR="00CD11ED" w:rsidTr="00CD11ED">
        <w:trPr>
          <w:trHeight w:val="1137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单人陪护沙发</w:t>
            </w:r>
          </w:p>
        </w:tc>
        <w:tc>
          <w:tcPr>
            <w:tcW w:w="383" w:type="pct"/>
            <w:vMerge w:val="restart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562E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8BD0917" wp14:editId="171296BE">
                  <wp:simplePos x="0" y="0"/>
                  <wp:positionH relativeFrom="column">
                    <wp:posOffset>-3352</wp:posOffset>
                  </wp:positionH>
                  <wp:positionV relativeFrom="paragraph">
                    <wp:posOffset>1396365</wp:posOffset>
                  </wp:positionV>
                  <wp:extent cx="504825" cy="638175"/>
                  <wp:effectExtent l="0" t="0" r="9525" b="9525"/>
                  <wp:wrapNone/>
                  <wp:docPr id="2188" name="图片 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950*910*880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54163B" w:rsidRDefault="0054163B">
            <w:pPr>
              <w:pStyle w:val="TableText"/>
              <w:spacing w:before="94" w:line="380" w:lineRule="exact"/>
              <w:ind w:right="203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皮料+钢架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54163B" w:rsidRPr="00434259" w:rsidRDefault="0054163B">
            <w:pPr>
              <w:pStyle w:val="TableText"/>
              <w:spacing w:before="94" w:line="380" w:lineRule="exact"/>
              <w:ind w:right="203"/>
              <w:rPr>
                <w:spacing w:val="2"/>
                <w:sz w:val="21"/>
                <w:szCs w:val="21"/>
              </w:rPr>
            </w:pPr>
            <w:r w:rsidRPr="00434259">
              <w:rPr>
                <w:rFonts w:hint="eastAsia"/>
                <w:spacing w:val="2"/>
                <w:sz w:val="21"/>
                <w:szCs w:val="21"/>
              </w:rPr>
              <w:t>1.有机硅皮面</w:t>
            </w:r>
          </w:p>
          <w:p w:rsidR="0054163B" w:rsidRPr="00434259" w:rsidRDefault="0054163B">
            <w:pPr>
              <w:pStyle w:val="TableText"/>
              <w:spacing w:before="94" w:line="380" w:lineRule="exact"/>
              <w:ind w:right="203"/>
              <w:rPr>
                <w:spacing w:val="2"/>
                <w:sz w:val="21"/>
                <w:szCs w:val="21"/>
              </w:rPr>
            </w:pPr>
            <w:r w:rsidRPr="00434259">
              <w:rPr>
                <w:rFonts w:hint="eastAsia"/>
                <w:spacing w:val="2"/>
                <w:sz w:val="21"/>
                <w:szCs w:val="21"/>
              </w:rPr>
              <w:t>2.定型海绵</w:t>
            </w:r>
          </w:p>
          <w:p w:rsidR="0054163B" w:rsidRPr="00434259" w:rsidRDefault="0054163B">
            <w:pPr>
              <w:pStyle w:val="TableText"/>
              <w:spacing w:before="94" w:line="380" w:lineRule="exact"/>
              <w:ind w:left="214" w:right="203" w:hangingChars="100" w:hanging="214"/>
              <w:rPr>
                <w:spacing w:val="2"/>
                <w:sz w:val="21"/>
                <w:szCs w:val="21"/>
              </w:rPr>
            </w:pPr>
            <w:r w:rsidRPr="00434259">
              <w:rPr>
                <w:rFonts w:hint="eastAsia"/>
                <w:spacing w:val="2"/>
                <w:sz w:val="21"/>
                <w:szCs w:val="21"/>
              </w:rPr>
              <w:t>3.内置钢架</w:t>
            </w:r>
          </w:p>
          <w:p w:rsidR="0054163B" w:rsidRPr="00434259" w:rsidRDefault="0054163B">
            <w:pPr>
              <w:pStyle w:val="TableText"/>
              <w:spacing w:before="94" w:line="380" w:lineRule="exact"/>
              <w:ind w:right="203"/>
              <w:rPr>
                <w:spacing w:val="2"/>
                <w:sz w:val="21"/>
                <w:szCs w:val="21"/>
              </w:rPr>
            </w:pPr>
            <w:r w:rsidRPr="00434259">
              <w:rPr>
                <w:rFonts w:hint="eastAsia"/>
                <w:spacing w:val="2"/>
                <w:sz w:val="21"/>
                <w:szCs w:val="21"/>
              </w:rPr>
              <w:t>4.</w:t>
            </w:r>
            <w:r w:rsidRPr="00434259">
              <w:rPr>
                <w:rFonts w:hint="eastAsia"/>
                <w:sz w:val="21"/>
                <w:szCs w:val="21"/>
              </w:rPr>
              <w:t>颜色：5色可选，满足医疗环境整体风格</w:t>
            </w:r>
            <w:r w:rsidRPr="00434259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54163B" w:rsidRPr="00434259" w:rsidRDefault="0054163B">
            <w:pPr>
              <w:pStyle w:val="TableText"/>
              <w:spacing w:before="62" w:line="380" w:lineRule="exact"/>
              <w:rPr>
                <w:spacing w:val="1"/>
                <w:position w:val="10"/>
                <w:sz w:val="21"/>
                <w:szCs w:val="21"/>
              </w:rPr>
            </w:pPr>
            <w:r w:rsidRPr="00434259">
              <w:rPr>
                <w:rFonts w:hint="eastAsia"/>
                <w:spacing w:val="1"/>
                <w:position w:val="10"/>
                <w:sz w:val="21"/>
                <w:szCs w:val="21"/>
              </w:rPr>
              <w:t>1.椅面：医用级有机硅皮，具有防污易打理、阻燃性、耐候性、耐磨耐用，耐臭氧、氮氧环境，具有良好的耐酸、碱、盐雾和有机溶剂等化学品腐蚀，安全无毒等性能。</w:t>
            </w:r>
          </w:p>
          <w:p w:rsidR="0054163B" w:rsidRPr="00434259" w:rsidRDefault="0054163B">
            <w:pPr>
              <w:pStyle w:val="TableText"/>
              <w:spacing w:line="360" w:lineRule="auto"/>
              <w:rPr>
                <w:spacing w:val="1"/>
                <w:position w:val="10"/>
                <w:sz w:val="21"/>
                <w:szCs w:val="21"/>
              </w:rPr>
            </w:pPr>
            <w:r w:rsidRPr="00434259">
              <w:rPr>
                <w:rFonts w:hint="eastAsia"/>
                <w:spacing w:val="1"/>
                <w:position w:val="10"/>
                <w:sz w:val="21"/>
                <w:szCs w:val="21"/>
              </w:rPr>
              <w:t>2.海绵：采用PU成型55度以上密度发泡海绵，软硬适中，回弹性能好，不变形，75%压缩永久变形≤8%，回弹率≥35%。</w:t>
            </w:r>
          </w:p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4259">
              <w:rPr>
                <w:rFonts w:ascii="宋体" w:eastAsia="宋体" w:hAnsi="宋体" w:cs="宋体" w:hint="eastAsia"/>
                <w:spacing w:val="1"/>
                <w:position w:val="10"/>
                <w:szCs w:val="21"/>
              </w:rPr>
              <w:t>3.钢架喷塑结构，内置气弹簧伸缩，根据需求收放自如，可座可睡。</w:t>
            </w:r>
          </w:p>
        </w:tc>
      </w:tr>
      <w:tr w:rsidR="00CD11ED" w:rsidTr="00CD11ED">
        <w:trPr>
          <w:trHeight w:val="844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单人陪护沙发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950*910*880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11ED" w:rsidTr="00CD11ED">
        <w:trPr>
          <w:trHeight w:val="1105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单人陪护沙发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950*910*880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11ED" w:rsidTr="00CD11ED">
        <w:trPr>
          <w:trHeight w:val="997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单人陪护沙发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950*910*880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11ED" w:rsidTr="00CD11ED">
        <w:trPr>
          <w:trHeight w:val="915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单人陪护沙发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950*910*880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11ED" w:rsidTr="00CD11ED">
        <w:trPr>
          <w:trHeight w:val="875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单人陪护沙发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950*910*880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2层门急诊留观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陪客椅</w:t>
            </w:r>
          </w:p>
        </w:tc>
        <w:tc>
          <w:tcPr>
            <w:tcW w:w="383" w:type="pct"/>
            <w:vMerge w:val="restart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562E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FCBEEC1" wp14:editId="4D9350A2">
                  <wp:simplePos x="0" y="0"/>
                  <wp:positionH relativeFrom="column">
                    <wp:posOffset>37199</wp:posOffset>
                  </wp:positionH>
                  <wp:positionV relativeFrom="paragraph">
                    <wp:posOffset>1188720</wp:posOffset>
                  </wp:positionV>
                  <wp:extent cx="514350" cy="742950"/>
                  <wp:effectExtent l="0" t="0" r="0" b="0"/>
                  <wp:wrapNone/>
                  <wp:docPr id="2189" name="图片 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E243C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560*500*830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2"/>
                <w:szCs w:val="21"/>
              </w:rPr>
              <w:t>椅背+椅面+椅架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spacing w:val="2"/>
                <w:szCs w:val="21"/>
              </w:rPr>
            </w:pPr>
            <w:r w:rsidRPr="00434259">
              <w:rPr>
                <w:rFonts w:ascii="宋体" w:eastAsia="宋体" w:hAnsi="宋体" w:cs="宋体" w:hint="eastAsia"/>
                <w:spacing w:val="2"/>
                <w:szCs w:val="21"/>
              </w:rPr>
              <w:t>1.椅背：</w:t>
            </w:r>
            <w:r w:rsidRPr="004342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PP加玻纤塑背</w:t>
            </w:r>
          </w:p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spacing w:val="2"/>
                <w:szCs w:val="21"/>
              </w:rPr>
            </w:pPr>
            <w:r w:rsidRPr="00434259">
              <w:rPr>
                <w:rFonts w:ascii="宋体" w:eastAsia="宋体" w:hAnsi="宋体" w:cs="宋体" w:hint="eastAsia"/>
                <w:spacing w:val="2"/>
                <w:szCs w:val="21"/>
              </w:rPr>
              <w:t>2.椅面：有机硅皮</w:t>
            </w:r>
          </w:p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434259">
              <w:rPr>
                <w:rFonts w:ascii="宋体" w:eastAsia="宋体" w:hAnsi="宋体" w:cs="宋体" w:hint="eastAsia"/>
                <w:spacing w:val="2"/>
                <w:szCs w:val="21"/>
              </w:rPr>
              <w:t>3.椅架：</w:t>
            </w:r>
            <w:r w:rsidRPr="004342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∮22*T1.5圆管</w:t>
            </w:r>
            <w:r w:rsidRPr="00434259"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</w:p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54163B" w:rsidRPr="00434259" w:rsidRDefault="0054163B">
            <w:pPr>
              <w:pStyle w:val="TableText"/>
              <w:spacing w:before="62" w:line="380" w:lineRule="exact"/>
              <w:rPr>
                <w:spacing w:val="1"/>
                <w:position w:val="10"/>
                <w:sz w:val="21"/>
                <w:szCs w:val="21"/>
              </w:rPr>
            </w:pPr>
            <w:r w:rsidRPr="00434259">
              <w:rPr>
                <w:rFonts w:hint="eastAsia"/>
                <w:spacing w:val="1"/>
                <w:position w:val="10"/>
                <w:sz w:val="21"/>
                <w:szCs w:val="21"/>
              </w:rPr>
              <w:t>1.椅面：医用级有机硅皮，具有防污易打理、阻燃性、耐候性、耐磨耐用，耐臭氧、氮氧环境，具有良好的耐酸、碱、盐雾和有机溶剂等化学品腐蚀，安全无毒等性能。</w:t>
            </w:r>
          </w:p>
          <w:p w:rsidR="0054163B" w:rsidRPr="00434259" w:rsidRDefault="0054163B">
            <w:pPr>
              <w:pStyle w:val="TableText"/>
              <w:spacing w:line="360" w:lineRule="auto"/>
              <w:rPr>
                <w:spacing w:val="1"/>
                <w:position w:val="10"/>
                <w:sz w:val="21"/>
                <w:szCs w:val="21"/>
              </w:rPr>
            </w:pPr>
            <w:r w:rsidRPr="00434259">
              <w:rPr>
                <w:rFonts w:hint="eastAsia"/>
                <w:spacing w:val="1"/>
                <w:position w:val="10"/>
                <w:sz w:val="21"/>
                <w:szCs w:val="21"/>
              </w:rPr>
              <w:t>2.海绵：采用PU成型55度以上密度发泡海绵，软硬适中，回弹性能好，不变形，75%压缩永久变形≤8%，回弹率≥35%。</w:t>
            </w:r>
          </w:p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spacing w:val="1"/>
                <w:position w:val="10"/>
                <w:szCs w:val="21"/>
              </w:rPr>
            </w:pPr>
            <w:r w:rsidRPr="00434259">
              <w:rPr>
                <w:rFonts w:ascii="宋体" w:eastAsia="宋体" w:hAnsi="宋体" w:cs="宋体" w:hint="eastAsia"/>
                <w:spacing w:val="1"/>
                <w:position w:val="10"/>
                <w:szCs w:val="21"/>
              </w:rPr>
              <w:t>3.椅背：采用全新PP加玻纤塑背。</w:t>
            </w:r>
          </w:p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42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4.椅脚：钢管压弯而成，∮22*T1.5圆管，表面静电粉末喷涂。</w:t>
            </w:r>
          </w:p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42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5.喷涂：表面采用环保室内型环氧树脂静电粉末喷涂，经脱脂、水洗、酸洗、水洗中和、表调、磷化、干燥等工艺处理</w:t>
            </w:r>
            <w:r w:rsidRPr="00434259">
              <w:rPr>
                <w:rFonts w:ascii="宋体" w:eastAsia="宋体" w:hAnsi="宋体" w:cs="宋体" w:hint="eastAsia"/>
                <w:szCs w:val="21"/>
              </w:rPr>
              <w:t>，</w:t>
            </w:r>
            <w:r w:rsidRPr="004342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漆膜硬度≥2H；附着力不低于2级。</w:t>
            </w:r>
          </w:p>
        </w:tc>
      </w:tr>
      <w:tr w:rsidR="00CD11ED" w:rsidTr="00CD11ED">
        <w:trPr>
          <w:trHeight w:val="728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3层日间病房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E243C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560*500*830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E243C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560*500*830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E243C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560*500*830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E243C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560*500*830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E243C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560*500*830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E243C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560*500*830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E243C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560*500*830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E243C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560*500*830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E243C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560*500*830</w:t>
            </w:r>
            <w:bookmarkStart w:id="0" w:name="_GoBack"/>
            <w:bookmarkEnd w:id="0"/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2层日间病房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 w:val="restart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562E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928E0C4" wp14:editId="0043639F">
                  <wp:simplePos x="0" y="0"/>
                  <wp:positionH relativeFrom="column">
                    <wp:posOffset>38306</wp:posOffset>
                  </wp:positionH>
                  <wp:positionV relativeFrom="paragraph">
                    <wp:posOffset>164332</wp:posOffset>
                  </wp:positionV>
                  <wp:extent cx="466725" cy="552450"/>
                  <wp:effectExtent l="0" t="0" r="9525" b="0"/>
                  <wp:wrapNone/>
                  <wp:docPr id="2191" name="图片 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54163B" w:rsidRDefault="0054163B">
            <w:pPr>
              <w:pStyle w:val="TableText"/>
              <w:spacing w:before="94" w:line="360" w:lineRule="auto"/>
              <w:ind w:right="203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椅面+实木椅架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54163B" w:rsidRPr="00434259" w:rsidRDefault="0054163B">
            <w:pPr>
              <w:pStyle w:val="TableText"/>
              <w:spacing w:before="94" w:line="360" w:lineRule="auto"/>
              <w:ind w:right="203"/>
              <w:rPr>
                <w:spacing w:val="2"/>
                <w:sz w:val="21"/>
                <w:szCs w:val="21"/>
              </w:rPr>
            </w:pPr>
            <w:r w:rsidRPr="00434259">
              <w:rPr>
                <w:rFonts w:hint="eastAsia"/>
                <w:spacing w:val="2"/>
                <w:sz w:val="21"/>
                <w:szCs w:val="21"/>
              </w:rPr>
              <w:t>1.椅座：皮面</w:t>
            </w:r>
          </w:p>
          <w:p w:rsidR="0054163B" w:rsidRPr="00434259" w:rsidRDefault="0054163B">
            <w:pPr>
              <w:pStyle w:val="TableText"/>
              <w:spacing w:before="94" w:line="360" w:lineRule="auto"/>
              <w:ind w:right="203"/>
              <w:rPr>
                <w:spacing w:val="2"/>
                <w:sz w:val="21"/>
                <w:szCs w:val="21"/>
              </w:rPr>
            </w:pPr>
            <w:r w:rsidRPr="00434259">
              <w:rPr>
                <w:rFonts w:hint="eastAsia"/>
                <w:spacing w:val="2"/>
                <w:sz w:val="21"/>
                <w:szCs w:val="21"/>
              </w:rPr>
              <w:t>2.实木脚</w:t>
            </w:r>
          </w:p>
          <w:p w:rsidR="0054163B" w:rsidRPr="00434259" w:rsidRDefault="0054163B">
            <w:pPr>
              <w:pStyle w:val="TableText"/>
              <w:spacing w:before="94" w:line="360" w:lineRule="auto"/>
              <w:ind w:right="203"/>
              <w:rPr>
                <w:spacing w:val="2"/>
                <w:sz w:val="21"/>
                <w:szCs w:val="21"/>
              </w:rPr>
            </w:pPr>
            <w:r w:rsidRPr="00434259">
              <w:rPr>
                <w:rFonts w:hint="eastAsia"/>
                <w:spacing w:val="2"/>
                <w:sz w:val="21"/>
                <w:szCs w:val="21"/>
              </w:rPr>
              <w:t>3.环保漆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54163B" w:rsidRPr="00434259" w:rsidRDefault="0054163B">
            <w:pPr>
              <w:pStyle w:val="TableText"/>
              <w:spacing w:before="62" w:line="380" w:lineRule="exact"/>
              <w:rPr>
                <w:spacing w:val="1"/>
                <w:position w:val="10"/>
                <w:sz w:val="21"/>
                <w:szCs w:val="21"/>
              </w:rPr>
            </w:pPr>
            <w:r w:rsidRPr="00434259">
              <w:rPr>
                <w:rFonts w:hint="eastAsia"/>
                <w:spacing w:val="1"/>
                <w:position w:val="10"/>
                <w:sz w:val="21"/>
                <w:szCs w:val="21"/>
              </w:rPr>
              <w:t>1.椅面：医用级有机硅皮，具有防污易打理、阻燃性、耐候性、耐磨耐用，耐臭氧、氮氧环境，具有良好的耐酸、碱、盐雾和有机溶剂等化学品腐蚀，安全无毒等性能。</w:t>
            </w:r>
          </w:p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spacing w:val="1"/>
                <w:position w:val="10"/>
                <w:szCs w:val="21"/>
              </w:rPr>
            </w:pPr>
            <w:r w:rsidRPr="00434259">
              <w:rPr>
                <w:rFonts w:ascii="宋体" w:eastAsia="宋体" w:hAnsi="宋体" w:cs="宋体" w:hint="eastAsia"/>
                <w:spacing w:val="1"/>
                <w:position w:val="10"/>
                <w:szCs w:val="21"/>
              </w:rPr>
              <w:t>2.海绵：采用PU成型55度以上密度发泡海绵，软硬适中，回弹性能好，不变形，75%压缩永久变形≤8%，回弹率≥35%。</w:t>
            </w:r>
          </w:p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42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3.椅架：实木橡木</w:t>
            </w:r>
          </w:p>
          <w:p w:rsidR="0054163B" w:rsidRPr="00434259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342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4.油漆：五底三面油漆工艺，表面光滑平整，无颗粒、无气泡、无渣点，颜色均匀，硬度高。</w:t>
            </w: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2层发热门诊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3层日间病房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5层干保病房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6楼NICU家化监护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402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D11ED" w:rsidTr="00CD11ED">
        <w:trPr>
          <w:trHeight w:val="159"/>
        </w:trPr>
        <w:tc>
          <w:tcPr>
            <w:tcW w:w="4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13层病房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实木陪客椅</w:t>
            </w:r>
          </w:p>
        </w:tc>
        <w:tc>
          <w:tcPr>
            <w:tcW w:w="383" w:type="pct"/>
            <w:vMerge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570*630*910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4163B" w:rsidRDefault="0054163B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370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pct"/>
            <w:vMerge/>
            <w:vAlign w:val="center"/>
          </w:tcPr>
          <w:p w:rsidR="0054163B" w:rsidRDefault="0054163B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34259" w:rsidRDefault="00434259" w:rsidP="0043425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</w:t>
      </w:r>
      <w:r>
        <w:rPr>
          <w:rFonts w:ascii="宋体" w:eastAsia="宋体" w:hAnsi="宋体" w:hint="eastAsia"/>
          <w:b/>
          <w:sz w:val="24"/>
          <w:szCs w:val="24"/>
        </w:rPr>
        <w:t>、材料要求</w:t>
      </w:r>
    </w:p>
    <w:p w:rsidR="00212082" w:rsidRDefault="00434259" w:rsidP="00434259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（一）有机硅皮：</w:t>
      </w:r>
      <w:r>
        <w:rPr>
          <w:rFonts w:ascii="宋体" w:eastAsia="宋体" w:hAnsi="宋体" w:cs="宋体" w:hint="eastAsia"/>
        </w:rPr>
        <w:t>符合GB/T 20944.3-2008 纺织品 抗菌性能的评价 第3部分:振荡法、GB/T 2912.1-2009 纺织品 甲醛的测定 第1部分:游离和水解的甲醛(水萃取法)检测标准，金黄色葡萄球菌抗菌率≥99%。甲醛≤20mg/kg。（提供具备CNAS或CMA标志的检测报告）</w:t>
      </w:r>
    </w:p>
    <w:p w:rsidR="00212082" w:rsidRDefault="00434259">
      <w:pPr>
        <w:spacing w:line="440" w:lineRule="exact"/>
        <w:ind w:leftChars="200" w:left="420"/>
        <w:rPr>
          <w:rFonts w:ascii="宋体" w:eastAsia="宋体" w:hAnsi="宋体" w:cs="宋体"/>
        </w:rPr>
      </w:pPr>
      <w:r w:rsidRPr="004769BA">
        <w:rPr>
          <w:rFonts w:ascii="宋体" w:eastAsia="宋体" w:hAnsi="宋体" w:cs="宋体" w:hint="eastAsia"/>
          <w:b/>
          <w:bCs/>
        </w:rPr>
        <w:t>（二）喷涂：</w:t>
      </w:r>
      <w:r>
        <w:rPr>
          <w:rFonts w:ascii="宋体" w:eastAsia="宋体" w:hAnsi="宋体" w:cs="宋体" w:hint="eastAsia"/>
        </w:rPr>
        <w:t>符合GB/T 3325-2024金属家具通用技术条件检测标准，可溶性铅≤90mg/kg、可溶性镉≤75mg/kg、可溶性铬≤60mg/kg。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漆膜硬度≥2H；附着力≥2级。</w:t>
      </w:r>
      <w:r>
        <w:rPr>
          <w:rFonts w:ascii="宋体" w:eastAsia="宋体" w:hAnsi="宋体" w:cs="宋体" w:hint="eastAsia"/>
        </w:rPr>
        <w:t>（提供具备CNAS或CMA标志的检测报告）</w:t>
      </w:r>
    </w:p>
    <w:p w:rsidR="00212082" w:rsidRDefault="00434259">
      <w:pPr>
        <w:spacing w:line="440" w:lineRule="exact"/>
        <w:ind w:leftChars="200" w:left="420"/>
        <w:rPr>
          <w:rFonts w:ascii="宋体" w:eastAsia="宋体" w:hAnsi="宋体" w:cs="宋体"/>
          <w:b/>
          <w:bCs/>
          <w:spacing w:val="1"/>
          <w:position w:val="10"/>
        </w:rPr>
      </w:pPr>
      <w:r>
        <w:rPr>
          <w:rFonts w:ascii="宋体" w:eastAsia="宋体" w:hAnsi="宋体" w:cs="宋体" w:hint="eastAsia"/>
          <w:b/>
          <w:bCs/>
          <w:spacing w:val="1"/>
          <w:position w:val="10"/>
        </w:rPr>
        <w:t>（三）海绵：</w:t>
      </w:r>
      <w:r>
        <w:rPr>
          <w:rFonts w:ascii="宋体" w:eastAsia="宋体" w:hAnsi="宋体" w:cs="宋体" w:hint="eastAsia"/>
          <w:spacing w:val="1"/>
          <w:position w:val="10"/>
        </w:rPr>
        <w:t>符合QB/T 10802-2006通用软质聚醚型聚氨酯泡沫塑料检测标准，75%压缩永久变形≤8%，回弹率≥35%。（提供具备CNAS或CMA标志的检测报告）</w:t>
      </w:r>
    </w:p>
    <w:p w:rsidR="00212082" w:rsidRDefault="00212082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434259" w:rsidRDefault="00434259" w:rsidP="0043425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三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>样品</w:t>
      </w:r>
    </w:p>
    <w:p w:rsidR="00212082" w:rsidRDefault="00434259" w:rsidP="004342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投标人需要按以下要求提交样品，中标样品交由采购人作为履约验收参考，最终产品使用的原辅材料不得低于样品的标准。</w:t>
      </w:r>
    </w:p>
    <w:p w:rsidR="00212082" w:rsidRDefault="00434259" w:rsidP="00434259">
      <w:pPr>
        <w:spacing w:before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样品清单</w:t>
      </w:r>
      <w:r>
        <w:rPr>
          <w:rFonts w:ascii="宋体" w:eastAsia="宋体" w:hAnsi="宋体" w:hint="eastAsia"/>
          <w:sz w:val="24"/>
          <w:szCs w:val="24"/>
        </w:rPr>
        <w:t>：</w:t>
      </w:r>
    </w:p>
    <w:tbl>
      <w:tblPr>
        <w:tblStyle w:val="TableNormal"/>
        <w:tblW w:w="131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6"/>
        <w:gridCol w:w="6472"/>
      </w:tblGrid>
      <w:tr w:rsidR="00212082" w:rsidRPr="00434259" w:rsidTr="00434259">
        <w:trPr>
          <w:trHeight w:val="850"/>
          <w:jc w:val="center"/>
        </w:trPr>
        <w:tc>
          <w:tcPr>
            <w:tcW w:w="6706" w:type="dxa"/>
            <w:vAlign w:val="center"/>
          </w:tcPr>
          <w:p w:rsidR="00212082" w:rsidRPr="00434259" w:rsidRDefault="00434259">
            <w:pPr>
              <w:pStyle w:val="TableText"/>
              <w:spacing w:before="246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4259">
              <w:rPr>
                <w:rFonts w:hint="eastAsia"/>
                <w:b/>
                <w:bCs/>
                <w:spacing w:val="-8"/>
                <w:sz w:val="24"/>
                <w:szCs w:val="24"/>
              </w:rPr>
              <w:t>样品名称</w:t>
            </w:r>
          </w:p>
        </w:tc>
        <w:tc>
          <w:tcPr>
            <w:tcW w:w="6472" w:type="dxa"/>
            <w:vAlign w:val="center"/>
          </w:tcPr>
          <w:p w:rsidR="00212082" w:rsidRPr="00434259" w:rsidRDefault="00434259">
            <w:pPr>
              <w:pStyle w:val="TableText"/>
              <w:spacing w:before="246" w:line="360" w:lineRule="auto"/>
              <w:ind w:left="132"/>
              <w:jc w:val="center"/>
              <w:rPr>
                <w:b/>
                <w:bCs/>
                <w:sz w:val="24"/>
                <w:szCs w:val="24"/>
              </w:rPr>
            </w:pPr>
            <w:r w:rsidRPr="00434259">
              <w:rPr>
                <w:rFonts w:hint="eastAsia"/>
                <w:b/>
                <w:bCs/>
                <w:spacing w:val="3"/>
                <w:sz w:val="24"/>
                <w:szCs w:val="24"/>
              </w:rPr>
              <w:t>样品要求</w:t>
            </w:r>
          </w:p>
        </w:tc>
      </w:tr>
      <w:tr w:rsidR="00212082" w:rsidRPr="00434259" w:rsidTr="00434259">
        <w:trPr>
          <w:trHeight w:val="371"/>
          <w:jc w:val="center"/>
        </w:trPr>
        <w:tc>
          <w:tcPr>
            <w:tcW w:w="6706" w:type="dxa"/>
            <w:vAlign w:val="center"/>
          </w:tcPr>
          <w:p w:rsidR="00212082" w:rsidRPr="00434259" w:rsidRDefault="0043425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单人陪护沙发</w:t>
            </w:r>
          </w:p>
        </w:tc>
        <w:tc>
          <w:tcPr>
            <w:tcW w:w="6472" w:type="dxa"/>
            <w:shd w:val="clear" w:color="auto" w:fill="auto"/>
            <w:vAlign w:val="center"/>
          </w:tcPr>
          <w:p w:rsidR="00212082" w:rsidRPr="00434259" w:rsidRDefault="00434259">
            <w:pPr>
              <w:pStyle w:val="TableText"/>
              <w:spacing w:before="140" w:line="360" w:lineRule="auto"/>
              <w:ind w:left="106"/>
              <w:jc w:val="center"/>
              <w:rPr>
                <w:sz w:val="24"/>
                <w:szCs w:val="24"/>
              </w:rPr>
            </w:pPr>
            <w:r w:rsidRPr="00434259">
              <w:rPr>
                <w:rFonts w:hint="eastAsia"/>
                <w:spacing w:val="-13"/>
                <w:sz w:val="24"/>
                <w:szCs w:val="24"/>
              </w:rPr>
              <w:t>详见技术参数</w:t>
            </w:r>
          </w:p>
        </w:tc>
      </w:tr>
      <w:tr w:rsidR="00212082" w:rsidRPr="00434259" w:rsidTr="00434259">
        <w:trPr>
          <w:trHeight w:val="401"/>
          <w:jc w:val="center"/>
        </w:trPr>
        <w:tc>
          <w:tcPr>
            <w:tcW w:w="6706" w:type="dxa"/>
            <w:vAlign w:val="center"/>
          </w:tcPr>
          <w:p w:rsidR="00212082" w:rsidRPr="00434259" w:rsidRDefault="0043425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42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陪客椅</w:t>
            </w:r>
          </w:p>
        </w:tc>
        <w:tc>
          <w:tcPr>
            <w:tcW w:w="6472" w:type="dxa"/>
            <w:shd w:val="clear" w:color="auto" w:fill="auto"/>
            <w:vAlign w:val="center"/>
          </w:tcPr>
          <w:p w:rsidR="00212082" w:rsidRPr="00434259" w:rsidRDefault="00434259">
            <w:pPr>
              <w:pStyle w:val="TableText"/>
              <w:spacing w:before="306" w:line="360" w:lineRule="auto"/>
              <w:ind w:left="106"/>
              <w:jc w:val="center"/>
              <w:rPr>
                <w:spacing w:val="-7"/>
                <w:sz w:val="24"/>
                <w:szCs w:val="24"/>
              </w:rPr>
            </w:pPr>
            <w:r w:rsidRPr="00434259">
              <w:rPr>
                <w:rFonts w:hint="eastAsia"/>
                <w:spacing w:val="-13"/>
                <w:sz w:val="24"/>
                <w:szCs w:val="24"/>
              </w:rPr>
              <w:t>详见技术参数</w:t>
            </w:r>
          </w:p>
        </w:tc>
      </w:tr>
      <w:tr w:rsidR="00212082" w:rsidRPr="00434259" w:rsidTr="00434259">
        <w:trPr>
          <w:trHeight w:val="384"/>
          <w:jc w:val="center"/>
        </w:trPr>
        <w:tc>
          <w:tcPr>
            <w:tcW w:w="6706" w:type="dxa"/>
            <w:vAlign w:val="center"/>
          </w:tcPr>
          <w:p w:rsidR="00212082" w:rsidRPr="00434259" w:rsidRDefault="00434259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spacing w:val="4"/>
                <w:sz w:val="24"/>
                <w:szCs w:val="24"/>
              </w:rPr>
            </w:pPr>
            <w:r w:rsidRPr="004342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实木陪客椅</w:t>
            </w:r>
          </w:p>
        </w:tc>
        <w:tc>
          <w:tcPr>
            <w:tcW w:w="6472" w:type="dxa"/>
            <w:shd w:val="clear" w:color="auto" w:fill="auto"/>
            <w:vAlign w:val="center"/>
          </w:tcPr>
          <w:p w:rsidR="00212082" w:rsidRPr="00434259" w:rsidRDefault="00434259">
            <w:pPr>
              <w:pStyle w:val="TableText"/>
              <w:spacing w:before="260" w:line="360" w:lineRule="auto"/>
              <w:ind w:left="106"/>
              <w:jc w:val="center"/>
              <w:rPr>
                <w:spacing w:val="-13"/>
                <w:sz w:val="24"/>
                <w:szCs w:val="24"/>
              </w:rPr>
            </w:pPr>
            <w:r w:rsidRPr="00434259">
              <w:rPr>
                <w:rFonts w:hint="eastAsia"/>
                <w:spacing w:val="-13"/>
                <w:sz w:val="24"/>
                <w:szCs w:val="24"/>
              </w:rPr>
              <w:t>详见技术参数</w:t>
            </w:r>
          </w:p>
        </w:tc>
      </w:tr>
    </w:tbl>
    <w:p w:rsidR="00212082" w:rsidRDefault="00434259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286385</wp:posOffset>
            </wp:positionV>
            <wp:extent cx="7315200" cy="4268470"/>
            <wp:effectExtent l="0" t="0" r="38100" b="55880"/>
            <wp:wrapTight wrapText="bothSides">
              <wp:wrapPolygon edited="0">
                <wp:start x="0" y="0"/>
                <wp:lineTo x="0" y="21497"/>
                <wp:lineTo x="21544" y="21497"/>
                <wp:lineTo x="2154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2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  <w:sz w:val="24"/>
          <w:szCs w:val="24"/>
        </w:rPr>
        <w:t>四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>空间设计要求</w:t>
      </w:r>
    </w:p>
    <w:p w:rsidR="00212082" w:rsidRDefault="00212082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434259">
      <w:pPr>
        <w:ind w:leftChars="342" w:left="718" w:firstLineChars="200" w:firstLine="480"/>
        <w:rPr>
          <w:rFonts w:ascii="宋体" w:eastAsia="宋体" w:hAnsi="宋体"/>
          <w:b/>
          <w:sz w:val="24"/>
          <w:szCs w:val="24"/>
          <w:highlight w:val="cyan"/>
        </w:rPr>
      </w:pPr>
      <w:r>
        <w:rPr>
          <w:rFonts w:ascii="宋体" w:eastAsia="宋体" w:hAnsi="宋体" w:cs="宋体" w:hint="eastAsia"/>
          <w:sz w:val="24"/>
          <w:szCs w:val="24"/>
        </w:rPr>
        <w:t>病房包含3款家具：单人陪护沙发（1组）、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实木陪客椅（</w:t>
      </w:r>
      <w:r>
        <w:rPr>
          <w:rFonts w:ascii="宋体" w:eastAsia="宋体" w:hAnsi="宋体" w:cs="宋体" w:hint="eastAsia"/>
          <w:sz w:val="24"/>
          <w:szCs w:val="24"/>
        </w:rPr>
        <w:t>1把）、陪客椅（1把）。</w:t>
      </w:r>
    </w:p>
    <w:p w:rsidR="00212082" w:rsidRDefault="00212082">
      <w:pPr>
        <w:rPr>
          <w:rFonts w:ascii="宋体" w:eastAsia="宋体" w:hAnsi="宋体"/>
          <w:b/>
          <w:sz w:val="24"/>
          <w:szCs w:val="24"/>
          <w:highlight w:val="cyan"/>
        </w:rPr>
      </w:pPr>
    </w:p>
    <w:p w:rsidR="00212082" w:rsidRDefault="0043425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:rsidR="00212082" w:rsidRDefault="0043425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一、供货及验收要求</w:t>
      </w:r>
    </w:p>
    <w:p w:rsidR="00212082" w:rsidRDefault="004342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验收要求：</w:t>
      </w:r>
      <w:r>
        <w:rPr>
          <w:rFonts w:ascii="宋体" w:eastAsia="宋体" w:hAnsi="宋体"/>
          <w:sz w:val="24"/>
          <w:szCs w:val="24"/>
        </w:rPr>
        <w:t>验收包括清点型号、数量、检查外观等，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应当提供清单(各类分项开立并标注详细数量)、原产地证明、具出厂日期证明、环保证明等文件。</w:t>
      </w:r>
    </w:p>
    <w:p w:rsidR="00212082" w:rsidRDefault="004342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检测要求：</w:t>
      </w:r>
      <w:r>
        <w:rPr>
          <w:rFonts w:ascii="宋体" w:eastAsia="宋体" w:hAnsi="宋体"/>
          <w:sz w:val="24"/>
          <w:szCs w:val="24"/>
        </w:rPr>
        <w:t>正式验收前，采购人委托第三方机构对家具（抽样不超过10件套）进行质量和环保相关检测，费用由中标人承担，检验不合格不予验收。</w:t>
      </w:r>
    </w:p>
    <w:p w:rsidR="00212082" w:rsidRDefault="0043425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>服务要求</w:t>
      </w:r>
    </w:p>
    <w:p w:rsidR="00212082" w:rsidRDefault="004342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1. 原厂</w:t>
      </w:r>
      <w:r>
        <w:rPr>
          <w:rFonts w:ascii="宋体" w:eastAsia="宋体" w:hAnsi="宋体" w:hint="eastAsia"/>
          <w:sz w:val="24"/>
          <w:szCs w:val="24"/>
        </w:rPr>
        <w:t>质保：≥</w:t>
      </w:r>
      <w:r>
        <w:rPr>
          <w:rFonts w:ascii="宋体" w:eastAsia="宋体" w:hAnsi="宋体"/>
          <w:sz w:val="24"/>
          <w:szCs w:val="24"/>
        </w:rPr>
        <w:t>10年（提供售后服务承诺函）</w:t>
      </w:r>
      <w:r>
        <w:rPr>
          <w:rFonts w:ascii="宋体" w:eastAsia="宋体" w:hAnsi="宋体" w:hint="eastAsia"/>
          <w:sz w:val="24"/>
          <w:szCs w:val="24"/>
        </w:rPr>
        <w:t>。免费保修期内，除采购人因非正</w:t>
      </w:r>
      <w:r>
        <w:rPr>
          <w:rFonts w:ascii="宋体" w:eastAsia="宋体" w:hAnsi="宋体"/>
          <w:sz w:val="24"/>
          <w:szCs w:val="24"/>
        </w:rPr>
        <w:t>常使用造成损坏外，损坏维修以及所涉及的零部件更换，应当由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免费提供，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应当承诺每年对所供</w:t>
      </w:r>
      <w:r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/>
          <w:sz w:val="24"/>
          <w:szCs w:val="24"/>
        </w:rPr>
        <w:t>进行巡检。免费保修期满后，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保证以优惠价格提供所需零配件和维修服务。</w:t>
      </w:r>
    </w:p>
    <w:p w:rsidR="00212082" w:rsidRDefault="004342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应急能力：</w:t>
      </w:r>
      <w:r>
        <w:rPr>
          <w:rFonts w:ascii="宋体" w:eastAsia="宋体" w:hAnsi="宋体"/>
          <w:sz w:val="24"/>
          <w:szCs w:val="24"/>
        </w:rPr>
        <w:t>供应商应当拥有维修服务能力，提供售后服务支持。如遇质量问题，供应商应当在接到通知2小时内予以响应，并于8小时内解决完毕或提供代用产品。</w:t>
      </w:r>
    </w:p>
    <w:p w:rsidR="00212082" w:rsidRDefault="004342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其他能力要求：</w:t>
      </w:r>
      <w:r>
        <w:rPr>
          <w:rFonts w:ascii="宋体" w:eastAsia="宋体" w:hAnsi="宋体"/>
          <w:sz w:val="24"/>
          <w:szCs w:val="24"/>
        </w:rPr>
        <w:t>成品保护要求：遵循医院管理部门相关规定，在运输、安装过程中不得损坏其他物品，且做好成品保护，如有运输、安装过程中的损坏或对其他物品造成的损坏，均由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承担；</w:t>
      </w:r>
      <w:r>
        <w:rPr>
          <w:rFonts w:ascii="宋体" w:eastAsia="宋体" w:hAnsi="宋体" w:hint="eastAsia"/>
          <w:sz w:val="24"/>
          <w:szCs w:val="24"/>
        </w:rPr>
        <w:t>运输到院区后，涉及到多次转运的情况，相关费用全部由投标人承担；短期驻场要求：需配置</w:t>
      </w:r>
      <w:r>
        <w:rPr>
          <w:rFonts w:ascii="宋体" w:eastAsia="宋体" w:hAnsi="宋体"/>
          <w:sz w:val="24"/>
          <w:szCs w:val="24"/>
        </w:rPr>
        <w:t>1-2名固定驻场人员负责协调、维修、维护等工作配合完成采购人要求，驻场期限不少于3个月</w:t>
      </w:r>
    </w:p>
    <w:p w:rsidR="00212082" w:rsidRDefault="0043425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:rsidR="00212082" w:rsidRDefault="004342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交货期：投标人应当在合同签订后于</w:t>
      </w:r>
      <w:r w:rsidR="0054163B"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>个自然日内生产供货及安装完毕。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所提供的货物应符合国家相关质量标准；货物名称、型号规格、数量、颜色、外观等符合采购人要求，不得有损毁或损坏。</w:t>
      </w:r>
    </w:p>
    <w:p w:rsidR="00212082" w:rsidRDefault="004342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交货地点：中标方应根据采购方要求送到指定地点。</w:t>
      </w:r>
    </w:p>
    <w:p w:rsidR="00212082" w:rsidRDefault="0043425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2120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63B" w:rsidRDefault="0054163B" w:rsidP="0054163B">
      <w:r>
        <w:separator/>
      </w:r>
    </w:p>
  </w:endnote>
  <w:endnote w:type="continuationSeparator" w:id="0">
    <w:p w:rsidR="0054163B" w:rsidRDefault="0054163B" w:rsidP="0054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63B" w:rsidRDefault="0054163B" w:rsidP="0054163B">
      <w:r>
        <w:separator/>
      </w:r>
    </w:p>
  </w:footnote>
  <w:footnote w:type="continuationSeparator" w:id="0">
    <w:p w:rsidR="0054163B" w:rsidRDefault="0054163B" w:rsidP="0054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97888"/>
    <w:rsid w:val="000B138C"/>
    <w:rsid w:val="000C798E"/>
    <w:rsid w:val="000E4368"/>
    <w:rsid w:val="00115458"/>
    <w:rsid w:val="00145847"/>
    <w:rsid w:val="00150413"/>
    <w:rsid w:val="001A7C54"/>
    <w:rsid w:val="001D1C86"/>
    <w:rsid w:val="00212082"/>
    <w:rsid w:val="0026155C"/>
    <w:rsid w:val="002643CA"/>
    <w:rsid w:val="002808B7"/>
    <w:rsid w:val="002A6DB5"/>
    <w:rsid w:val="002B1484"/>
    <w:rsid w:val="002F0739"/>
    <w:rsid w:val="002F5F14"/>
    <w:rsid w:val="00301302"/>
    <w:rsid w:val="00306152"/>
    <w:rsid w:val="00333823"/>
    <w:rsid w:val="00352562"/>
    <w:rsid w:val="0036190B"/>
    <w:rsid w:val="003625E3"/>
    <w:rsid w:val="00365F4B"/>
    <w:rsid w:val="003955BB"/>
    <w:rsid w:val="00397E7E"/>
    <w:rsid w:val="003B3347"/>
    <w:rsid w:val="00434259"/>
    <w:rsid w:val="00472C68"/>
    <w:rsid w:val="0047562E"/>
    <w:rsid w:val="004769BA"/>
    <w:rsid w:val="00490F70"/>
    <w:rsid w:val="004A101B"/>
    <w:rsid w:val="004A6E86"/>
    <w:rsid w:val="004E60FA"/>
    <w:rsid w:val="005112AE"/>
    <w:rsid w:val="00514860"/>
    <w:rsid w:val="0053752F"/>
    <w:rsid w:val="0054163B"/>
    <w:rsid w:val="00574C27"/>
    <w:rsid w:val="005807D8"/>
    <w:rsid w:val="00594265"/>
    <w:rsid w:val="005A3790"/>
    <w:rsid w:val="005B3B19"/>
    <w:rsid w:val="005B3CCC"/>
    <w:rsid w:val="005D09C5"/>
    <w:rsid w:val="005F20AF"/>
    <w:rsid w:val="005F7DBE"/>
    <w:rsid w:val="00603927"/>
    <w:rsid w:val="00603A51"/>
    <w:rsid w:val="00630603"/>
    <w:rsid w:val="00670A86"/>
    <w:rsid w:val="006744AA"/>
    <w:rsid w:val="00715DAB"/>
    <w:rsid w:val="007315AB"/>
    <w:rsid w:val="00760FC2"/>
    <w:rsid w:val="007717F1"/>
    <w:rsid w:val="00787CE8"/>
    <w:rsid w:val="007A5F36"/>
    <w:rsid w:val="007B1498"/>
    <w:rsid w:val="007E1F3C"/>
    <w:rsid w:val="00802568"/>
    <w:rsid w:val="00806914"/>
    <w:rsid w:val="00836540"/>
    <w:rsid w:val="008D5DB8"/>
    <w:rsid w:val="008E347E"/>
    <w:rsid w:val="008F700E"/>
    <w:rsid w:val="008F717F"/>
    <w:rsid w:val="00924E02"/>
    <w:rsid w:val="00930AC7"/>
    <w:rsid w:val="00971D6D"/>
    <w:rsid w:val="009A065C"/>
    <w:rsid w:val="009C1A4C"/>
    <w:rsid w:val="009D50C6"/>
    <w:rsid w:val="009E010D"/>
    <w:rsid w:val="00A00A96"/>
    <w:rsid w:val="00A17493"/>
    <w:rsid w:val="00A30423"/>
    <w:rsid w:val="00A63763"/>
    <w:rsid w:val="00AB5B6D"/>
    <w:rsid w:val="00AC34A3"/>
    <w:rsid w:val="00AC4E37"/>
    <w:rsid w:val="00B377F4"/>
    <w:rsid w:val="00B43BBE"/>
    <w:rsid w:val="00B60224"/>
    <w:rsid w:val="00B672A4"/>
    <w:rsid w:val="00B86B30"/>
    <w:rsid w:val="00BB616E"/>
    <w:rsid w:val="00BB6E41"/>
    <w:rsid w:val="00BC60A8"/>
    <w:rsid w:val="00BF2D29"/>
    <w:rsid w:val="00BF6D2C"/>
    <w:rsid w:val="00C17BD4"/>
    <w:rsid w:val="00C33414"/>
    <w:rsid w:val="00C4104A"/>
    <w:rsid w:val="00C62112"/>
    <w:rsid w:val="00C7792A"/>
    <w:rsid w:val="00C9340B"/>
    <w:rsid w:val="00CA391D"/>
    <w:rsid w:val="00CA4C4A"/>
    <w:rsid w:val="00CD11ED"/>
    <w:rsid w:val="00CD2410"/>
    <w:rsid w:val="00CD751F"/>
    <w:rsid w:val="00D10CBA"/>
    <w:rsid w:val="00D16B83"/>
    <w:rsid w:val="00D5452D"/>
    <w:rsid w:val="00DA11A1"/>
    <w:rsid w:val="00DA1A0A"/>
    <w:rsid w:val="00DA3C51"/>
    <w:rsid w:val="00DB078A"/>
    <w:rsid w:val="00DE044F"/>
    <w:rsid w:val="00DF5BC9"/>
    <w:rsid w:val="00DF785F"/>
    <w:rsid w:val="00E011A6"/>
    <w:rsid w:val="00E10974"/>
    <w:rsid w:val="00E243C9"/>
    <w:rsid w:val="00E36A2B"/>
    <w:rsid w:val="00E426DF"/>
    <w:rsid w:val="00E450A9"/>
    <w:rsid w:val="00E45967"/>
    <w:rsid w:val="00E66849"/>
    <w:rsid w:val="00E7502A"/>
    <w:rsid w:val="00EA28FC"/>
    <w:rsid w:val="00EA7751"/>
    <w:rsid w:val="00EC322D"/>
    <w:rsid w:val="00ED1003"/>
    <w:rsid w:val="00ED2B91"/>
    <w:rsid w:val="00F155AB"/>
    <w:rsid w:val="00F1738B"/>
    <w:rsid w:val="00F20011"/>
    <w:rsid w:val="00F32F60"/>
    <w:rsid w:val="00F531C7"/>
    <w:rsid w:val="00F53508"/>
    <w:rsid w:val="00FA1454"/>
    <w:rsid w:val="00FC4C7F"/>
    <w:rsid w:val="027125E7"/>
    <w:rsid w:val="12C85ECC"/>
    <w:rsid w:val="16F92EFC"/>
    <w:rsid w:val="1B4D19EC"/>
    <w:rsid w:val="2366293A"/>
    <w:rsid w:val="2A1E75FC"/>
    <w:rsid w:val="3BC76709"/>
    <w:rsid w:val="4AF87CF5"/>
    <w:rsid w:val="6C7157FB"/>
    <w:rsid w:val="73C14165"/>
    <w:rsid w:val="775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AAFE7D5E-E1FE-44A1-B798-D4F92370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6">
    <w:name w:val="index 6"/>
    <w:basedOn w:val="a"/>
    <w:next w:val="a"/>
    <w:uiPriority w:val="99"/>
    <w:qFormat/>
    <w:pPr>
      <w:ind w:left="2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517</Words>
  <Characters>2952</Characters>
  <Application>Microsoft Office Word</Application>
  <DocSecurity>0</DocSecurity>
  <Lines>24</Lines>
  <Paragraphs>6</Paragraphs>
  <ScaleCrop>false</ScaleCrop>
  <Company>Organization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7</cp:revision>
  <dcterms:created xsi:type="dcterms:W3CDTF">2024-03-28T03:06:00Z</dcterms:created>
  <dcterms:modified xsi:type="dcterms:W3CDTF">2025-04-23T01:31:00Z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54FC709339A14505979DD15EEAB5EA98_13</vt:lpwstr>
  </property>
  <property fmtid="{D5CDD505-2E9C-101B-9397-08002B2CF9AE}" pid="4" name="KSOTemplateDocerSaveRecord">
    <vt:lpwstr>eyJoZGlkIjoiZWQ4ZmMyM2VkYTkxN2Y0MWZkY2ZjNDk2MjBjOTAyZGQiLCJ1c2VySWQiOiI0OTg5MDk5NzgifQ==</vt:lpwstr>
  </property>
</Properties>
</file>