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DD90C">
      <w:pPr>
        <w:adjustRightInd w:val="0"/>
        <w:snapToGrid w:val="0"/>
        <w:spacing w:line="360" w:lineRule="auto"/>
        <w:jc w:val="left"/>
        <w:rPr>
          <w:rFonts w:hint="eastAsia" w:ascii="宋体" w:hAnsi="宋体"/>
          <w:b/>
          <w:sz w:val="24"/>
        </w:rPr>
      </w:pPr>
      <w:r>
        <w:rPr>
          <w:rFonts w:hint="eastAsia" w:ascii="宋体" w:hAnsi="宋体"/>
          <w:b/>
          <w:sz w:val="24"/>
        </w:rPr>
        <w:t>一、项目概述</w:t>
      </w:r>
    </w:p>
    <w:p w14:paraId="233DD20E">
      <w:pPr>
        <w:adjustRightInd w:val="0"/>
        <w:snapToGrid w:val="0"/>
        <w:spacing w:line="360" w:lineRule="auto"/>
        <w:jc w:val="left"/>
        <w:rPr>
          <w:rFonts w:hint="eastAsia" w:ascii="宋体" w:hAnsi="宋体"/>
          <w:sz w:val="24"/>
        </w:rPr>
      </w:pPr>
      <w:r>
        <w:rPr>
          <w:rFonts w:hint="eastAsia" w:ascii="宋体" w:hAnsi="宋体"/>
          <w:sz w:val="24"/>
        </w:rPr>
        <w:t>1、项目名称：临床药学服务智能体采购</w:t>
      </w:r>
    </w:p>
    <w:p w14:paraId="05619EC5">
      <w:pPr>
        <w:adjustRightInd w:val="0"/>
        <w:snapToGrid w:val="0"/>
        <w:spacing w:line="360" w:lineRule="auto"/>
        <w:jc w:val="left"/>
        <w:rPr>
          <w:rFonts w:hint="eastAsia" w:ascii="宋体" w:hAnsi="宋体"/>
          <w:sz w:val="24"/>
        </w:rPr>
      </w:pPr>
      <w:r>
        <w:rPr>
          <w:rFonts w:ascii="宋体" w:hAnsi="宋体"/>
          <w:sz w:val="24"/>
        </w:rPr>
        <w:t>2</w:t>
      </w:r>
      <w:r>
        <w:rPr>
          <w:rFonts w:hint="eastAsia" w:ascii="宋体" w:hAnsi="宋体"/>
          <w:sz w:val="24"/>
        </w:rPr>
        <w:t>、服务地点：</w:t>
      </w:r>
      <w:r>
        <w:rPr>
          <w:rFonts w:hint="eastAsia" w:ascii="宋体" w:hAnsi="宋体" w:cs="宋体"/>
          <w:sz w:val="24"/>
        </w:rPr>
        <w:t>上海交通大学医学院附属新华医院</w:t>
      </w:r>
    </w:p>
    <w:p w14:paraId="3E6BCAD6">
      <w:pPr>
        <w:adjustRightInd w:val="0"/>
        <w:snapToGrid w:val="0"/>
        <w:spacing w:line="360" w:lineRule="auto"/>
        <w:jc w:val="left"/>
        <w:rPr>
          <w:rFonts w:ascii="宋体" w:hAnsi="宋体"/>
          <w:sz w:val="24"/>
        </w:rPr>
      </w:pPr>
      <w:r>
        <w:rPr>
          <w:rFonts w:ascii="宋体" w:hAnsi="宋体"/>
          <w:sz w:val="24"/>
        </w:rPr>
        <w:t>3</w:t>
      </w:r>
      <w:r>
        <w:rPr>
          <w:rFonts w:hint="eastAsia" w:ascii="宋体" w:hAnsi="宋体"/>
          <w:sz w:val="24"/>
        </w:rPr>
        <w:t>、服务期限：</w:t>
      </w:r>
    </w:p>
    <w:p w14:paraId="33ED05AE">
      <w:pPr>
        <w:adjustRightInd w:val="0"/>
        <w:snapToGrid w:val="0"/>
        <w:spacing w:line="360" w:lineRule="auto"/>
        <w:jc w:val="left"/>
        <w:rPr>
          <w:rFonts w:hint="eastAsia" w:ascii="宋体" w:hAnsi="宋体"/>
          <w:bCs/>
          <w:sz w:val="24"/>
        </w:rPr>
      </w:pPr>
      <w:r>
        <w:rPr>
          <w:rFonts w:hint="eastAsia" w:ascii="宋体" w:hAnsi="宋体"/>
          <w:sz w:val="24"/>
        </w:rPr>
        <w:t>（1）项目建设周期：合同签订后90个工作日</w:t>
      </w:r>
      <w:r>
        <w:rPr>
          <w:rFonts w:hint="eastAsia" w:ascii="宋体" w:hAnsi="宋体"/>
          <w:bCs/>
          <w:sz w:val="24"/>
        </w:rPr>
        <w:t>完成所有产品功能上线</w:t>
      </w:r>
    </w:p>
    <w:p w14:paraId="7499F9DD">
      <w:pPr>
        <w:adjustRightInd w:val="0"/>
        <w:snapToGrid w:val="0"/>
        <w:spacing w:line="360" w:lineRule="auto"/>
        <w:jc w:val="left"/>
        <w:rPr>
          <w:rFonts w:ascii="宋体" w:hAnsi="宋体"/>
          <w:sz w:val="24"/>
        </w:rPr>
      </w:pPr>
      <w:r>
        <w:rPr>
          <w:rFonts w:hint="eastAsia" w:ascii="宋体" w:hAnsi="宋体"/>
          <w:sz w:val="24"/>
        </w:rPr>
        <w:t>（2）运维期：</w:t>
      </w:r>
      <w:r>
        <w:rPr>
          <w:rFonts w:hint="eastAsia" w:ascii="宋体" w:hAnsi="宋体"/>
          <w:bCs/>
          <w:sz w:val="24"/>
        </w:rPr>
        <w:t>自所有产品功能验收后</w:t>
      </w:r>
      <w:r>
        <w:rPr>
          <w:rFonts w:hint="eastAsia" w:ascii="宋体" w:hAnsi="宋体"/>
          <w:sz w:val="24"/>
        </w:rPr>
        <w:t>12个月</w:t>
      </w:r>
    </w:p>
    <w:p w14:paraId="1BC3A01D">
      <w:pPr>
        <w:adjustRightInd w:val="0"/>
        <w:snapToGrid w:val="0"/>
        <w:spacing w:line="360" w:lineRule="auto"/>
        <w:jc w:val="left"/>
        <w:rPr>
          <w:rFonts w:hint="eastAsia" w:ascii="宋体" w:hAnsi="宋体"/>
          <w:sz w:val="24"/>
        </w:rPr>
      </w:pPr>
      <w:r>
        <w:rPr>
          <w:rFonts w:ascii="宋体" w:hAnsi="宋体"/>
          <w:sz w:val="24"/>
        </w:rPr>
        <w:t>4</w:t>
      </w:r>
      <w:r>
        <w:rPr>
          <w:rFonts w:hint="eastAsia" w:ascii="宋体" w:hAnsi="宋体"/>
          <w:sz w:val="24"/>
        </w:rPr>
        <w:t>、付款方式：</w:t>
      </w:r>
    </w:p>
    <w:p w14:paraId="4637E18F">
      <w:pPr>
        <w:adjustRightInd w:val="0"/>
        <w:snapToGrid w:val="0"/>
        <w:spacing w:line="360" w:lineRule="auto"/>
        <w:jc w:val="left"/>
        <w:rPr>
          <w:rFonts w:hint="eastAsia" w:ascii="宋体" w:hAnsi="宋体"/>
          <w:sz w:val="24"/>
        </w:rPr>
      </w:pPr>
      <w:r>
        <w:rPr>
          <w:rFonts w:hint="eastAsia" w:ascii="宋体" w:hAnsi="宋体"/>
          <w:sz w:val="24"/>
        </w:rPr>
        <w:t>（1）本项目自合同签订签约后开始实施，中标人按照项目实施计划进行项目实施工作，并经过招标人阶段性验收后（所有产品功能上线），根据医院付款流程，招标人向中标人支付本合同项目总金额</w:t>
      </w:r>
      <w:r>
        <w:rPr>
          <w:rFonts w:hint="eastAsia" w:ascii="宋体" w:hAnsi="宋体"/>
          <w:sz w:val="24"/>
          <w:lang w:val="en-US" w:eastAsia="zh-CN"/>
        </w:rPr>
        <w:t>4</w:t>
      </w:r>
      <w:r>
        <w:rPr>
          <w:rFonts w:hint="eastAsia" w:ascii="宋体" w:hAnsi="宋体"/>
          <w:sz w:val="24"/>
        </w:rPr>
        <w:t>0%的合同款。</w:t>
      </w:r>
    </w:p>
    <w:p w14:paraId="507A0C00">
      <w:pPr>
        <w:adjustRightInd w:val="0"/>
        <w:snapToGrid w:val="0"/>
        <w:spacing w:line="360" w:lineRule="auto"/>
        <w:jc w:val="left"/>
        <w:rPr>
          <w:rFonts w:hint="eastAsia" w:ascii="宋体" w:hAnsi="宋体"/>
          <w:sz w:val="24"/>
        </w:rPr>
      </w:pPr>
      <w:r>
        <w:rPr>
          <w:rFonts w:hint="eastAsia" w:ascii="宋体" w:hAnsi="宋体"/>
          <w:sz w:val="24"/>
        </w:rPr>
        <w:t>（2）本项目自所有产品功能验收合格之日起，且招标人在收到中标人开具的有效发票后，根据医院付款流程，向中标人支付本合同项目总金额50%的合同款。</w:t>
      </w:r>
    </w:p>
    <w:p w14:paraId="029401AD">
      <w:pPr>
        <w:adjustRightInd w:val="0"/>
        <w:snapToGrid w:val="0"/>
        <w:spacing w:line="360" w:lineRule="auto"/>
        <w:jc w:val="left"/>
        <w:rPr>
          <w:rFonts w:ascii="宋体" w:hAnsi="宋体"/>
          <w:sz w:val="24"/>
        </w:rPr>
      </w:pPr>
      <w:r>
        <w:rPr>
          <w:rFonts w:hint="eastAsia" w:ascii="宋体" w:hAnsi="宋体"/>
          <w:sz w:val="24"/>
        </w:rPr>
        <w:t>（3）本项目剩余的合同款按实际维保期月份数/合同约定维保月份数折算，实际未维保月份不予支付。本项目运维期结束后，招标人在收到中标人开具的有效发票后，根据医院付款流程，向中标人支付剩余合同款项。</w:t>
      </w:r>
    </w:p>
    <w:p w14:paraId="2DECC56F">
      <w:pPr>
        <w:adjustRightInd w:val="0"/>
        <w:snapToGrid w:val="0"/>
        <w:spacing w:line="360" w:lineRule="auto"/>
        <w:jc w:val="left"/>
        <w:rPr>
          <w:rFonts w:hAnsi="宋体"/>
          <w:sz w:val="24"/>
        </w:rPr>
      </w:pPr>
      <w:r>
        <w:rPr>
          <w:rFonts w:ascii="宋体" w:hAnsi="宋体"/>
          <w:sz w:val="24"/>
        </w:rPr>
        <w:t>5</w:t>
      </w:r>
      <w:r>
        <w:rPr>
          <w:rFonts w:hint="eastAsia" w:ascii="宋体" w:hAnsi="宋体"/>
          <w:sz w:val="24"/>
        </w:rPr>
        <w:t>、总体要求</w:t>
      </w:r>
      <w:r>
        <w:rPr>
          <w:rFonts w:hint="eastAsia" w:hAnsi="宋体"/>
          <w:sz w:val="24"/>
        </w:rPr>
        <w:t>：</w:t>
      </w:r>
    </w:p>
    <w:p w14:paraId="78E86E23">
      <w:pPr>
        <w:adjustRightInd w:val="0"/>
        <w:snapToGrid w:val="0"/>
        <w:spacing w:line="360" w:lineRule="auto"/>
        <w:jc w:val="left"/>
        <w:rPr>
          <w:rFonts w:hint="eastAsia" w:hAnsi="宋体"/>
          <w:sz w:val="24"/>
        </w:rPr>
      </w:pPr>
      <w:r>
        <w:rPr>
          <w:rFonts w:hint="eastAsia" w:hAnsi="宋体"/>
          <w:sz w:val="24"/>
        </w:rPr>
        <w:t>临床药学服务智能体包含以下模块：</w:t>
      </w:r>
    </w:p>
    <w:p w14:paraId="69E51FBE">
      <w:pPr>
        <w:adjustRightInd w:val="0"/>
        <w:snapToGrid w:val="0"/>
        <w:spacing w:line="360" w:lineRule="auto"/>
        <w:jc w:val="left"/>
        <w:rPr>
          <w:rFonts w:hint="eastAsia" w:hAnsi="宋体"/>
          <w:sz w:val="24"/>
        </w:rPr>
      </w:pPr>
      <w:r>
        <w:rPr>
          <w:rFonts w:hint="eastAsia" w:hAnsi="宋体"/>
          <w:sz w:val="24"/>
        </w:rPr>
        <w:t>（1）药物治疗管理模块：应用于药学门诊和居家药学服务的场景，利用知识图谱、实体链指、自然语言识别等人工智能技术，自动匹配生成精准的合理用药策略，提升用药重整、不良反应识别与预警、多重用药风险管控等工作效能。</w:t>
      </w:r>
    </w:p>
    <w:p w14:paraId="3A02E92B">
      <w:pPr>
        <w:adjustRightInd w:val="0"/>
        <w:snapToGrid w:val="0"/>
        <w:spacing w:line="360" w:lineRule="auto"/>
        <w:jc w:val="left"/>
        <w:rPr>
          <w:rFonts w:hint="eastAsia" w:hAnsi="宋体"/>
          <w:sz w:val="24"/>
        </w:rPr>
      </w:pPr>
      <w:r>
        <w:rPr>
          <w:rFonts w:hint="eastAsia" w:hAnsi="宋体"/>
          <w:sz w:val="24"/>
        </w:rPr>
        <w:t>（2）住院药学监护模块：满足临床药师针对住院患者从入院评估到查房直至出院的全流程监护工作需求。系统要求内置监护计划、用药重整、监护日志、监护评级、电子药历等项目。通过与院内HIS、LIS、EMR等业务系统对接，实现用药诊断、检验等信息的自动抓取。</w:t>
      </w:r>
    </w:p>
    <w:p w14:paraId="6282E0C6">
      <w:pPr>
        <w:adjustRightInd w:val="0"/>
        <w:snapToGrid w:val="0"/>
        <w:spacing w:line="360" w:lineRule="auto"/>
        <w:jc w:val="left"/>
        <w:rPr>
          <w:rFonts w:hint="eastAsia" w:hAnsi="宋体"/>
          <w:sz w:val="24"/>
        </w:rPr>
      </w:pPr>
      <w:r>
        <w:rPr>
          <w:rFonts w:hint="eastAsia" w:hAnsi="宋体"/>
          <w:sz w:val="24"/>
        </w:rPr>
        <w:t>（3）药学服务大模型：依托于院内本地部署的</w:t>
      </w:r>
      <w:r>
        <w:rPr>
          <w:rFonts w:hint="eastAsia" w:ascii="宋体" w:hAnsi="宋体"/>
          <w:sz w:val="24"/>
          <w:lang w:val="es-AR"/>
        </w:rPr>
        <w:t>DeepSeek</w:t>
      </w:r>
      <w:r>
        <w:rPr>
          <w:rFonts w:hint="eastAsia" w:hAnsi="宋体"/>
          <w:sz w:val="24"/>
        </w:rPr>
        <w:t>基座，构建药学专业数据集完成检索增强生成，搭载于门诊和住院系统中即时回答各类临床用药问题并提供参考来源。</w:t>
      </w:r>
    </w:p>
    <w:p w14:paraId="065C1FDC">
      <w:pPr>
        <w:adjustRightInd w:val="0"/>
        <w:snapToGrid w:val="0"/>
        <w:spacing w:line="360" w:lineRule="auto"/>
        <w:jc w:val="left"/>
        <w:rPr>
          <w:rFonts w:hint="eastAsia" w:hAnsi="宋体"/>
          <w:sz w:val="24"/>
        </w:rPr>
      </w:pPr>
      <w:r>
        <w:rPr>
          <w:rFonts w:hAnsi="宋体"/>
          <w:sz w:val="24"/>
        </w:rPr>
        <w:t>6</w:t>
      </w:r>
      <w:r>
        <w:rPr>
          <w:rFonts w:hint="eastAsia" w:hAnsi="宋体"/>
          <w:sz w:val="24"/>
        </w:rPr>
        <w:t>、与现有系统对接要求：</w:t>
      </w:r>
    </w:p>
    <w:p w14:paraId="7A3BD1E0">
      <w:pPr>
        <w:adjustRightInd w:val="0"/>
        <w:snapToGrid w:val="0"/>
        <w:spacing w:line="360" w:lineRule="auto"/>
        <w:jc w:val="left"/>
        <w:rPr>
          <w:rFonts w:hAnsi="宋体"/>
          <w:sz w:val="24"/>
        </w:rPr>
      </w:pPr>
      <w:r>
        <w:rPr>
          <w:rFonts w:hint="eastAsia" w:hAnsi="宋体"/>
          <w:sz w:val="24"/>
        </w:rPr>
        <w:t>通过数据接口服务/中间库/视图的方式获取临床数据，包含患者用药、诊断、检验等信息，同时与医生工作站对接，实现药师的管理建议向医生反馈。</w:t>
      </w:r>
    </w:p>
    <w:p w14:paraId="18533935">
      <w:pPr>
        <w:adjustRightInd w:val="0"/>
        <w:snapToGrid w:val="0"/>
        <w:spacing w:line="360" w:lineRule="auto"/>
        <w:jc w:val="left"/>
        <w:rPr>
          <w:rFonts w:hint="eastAsia" w:ascii="宋体" w:hAnsi="宋体"/>
          <w:b/>
          <w:sz w:val="24"/>
        </w:rPr>
      </w:pPr>
      <w:r>
        <w:rPr>
          <w:rFonts w:hint="eastAsia" w:ascii="宋体" w:hAnsi="宋体"/>
          <w:b/>
          <w:sz w:val="24"/>
        </w:rPr>
        <w:t>二、项目实施要求</w:t>
      </w:r>
    </w:p>
    <w:p w14:paraId="39241025">
      <w:pPr>
        <w:adjustRightInd w:val="0"/>
        <w:snapToGrid w:val="0"/>
        <w:spacing w:line="360" w:lineRule="auto"/>
        <w:jc w:val="left"/>
        <w:rPr>
          <w:rFonts w:hint="eastAsia" w:ascii="宋体" w:hAnsi="宋体"/>
          <w:sz w:val="24"/>
        </w:rPr>
      </w:pPr>
      <w:r>
        <w:rPr>
          <w:rFonts w:hint="eastAsia" w:ascii="宋体" w:hAnsi="宋体"/>
          <w:sz w:val="24"/>
        </w:rPr>
        <w:t>1、性能要求：</w:t>
      </w:r>
    </w:p>
    <w:p w14:paraId="041B0F7F">
      <w:pPr>
        <w:adjustRightInd w:val="0"/>
        <w:snapToGrid w:val="0"/>
        <w:spacing w:line="360" w:lineRule="auto"/>
        <w:jc w:val="left"/>
        <w:rPr>
          <w:rFonts w:hint="eastAsia" w:ascii="宋体" w:hAnsi="宋体"/>
          <w:sz w:val="24"/>
        </w:rPr>
      </w:pPr>
      <w:r>
        <w:rPr>
          <w:rFonts w:hint="eastAsia" w:ascii="宋体" w:hAnsi="宋体"/>
          <w:sz w:val="24"/>
        </w:rPr>
        <w:t>1）系统响应速度：系统应具备高并发处理能力，确保在多用户同时操作时响应时间不超过规定阈值（如页面加载时间≤2秒）。</w:t>
      </w:r>
    </w:p>
    <w:p w14:paraId="2B623D79">
      <w:pPr>
        <w:adjustRightInd w:val="0"/>
        <w:snapToGrid w:val="0"/>
        <w:spacing w:line="360" w:lineRule="auto"/>
        <w:jc w:val="left"/>
        <w:rPr>
          <w:rFonts w:hint="eastAsia" w:ascii="宋体" w:hAnsi="宋体"/>
          <w:sz w:val="24"/>
        </w:rPr>
      </w:pPr>
      <w:r>
        <w:rPr>
          <w:rFonts w:hint="eastAsia" w:ascii="宋体" w:hAnsi="宋体"/>
          <w:sz w:val="24"/>
        </w:rPr>
        <w:t>2）稳定性：系统应支持7×24小时不间断运行，年故障时间不超过规定标准（≥99.9%的可用性）。</w:t>
      </w:r>
    </w:p>
    <w:p w14:paraId="14686151">
      <w:pPr>
        <w:adjustRightInd w:val="0"/>
        <w:snapToGrid w:val="0"/>
        <w:spacing w:line="360" w:lineRule="auto"/>
        <w:jc w:val="left"/>
        <w:rPr>
          <w:rFonts w:hint="eastAsia" w:ascii="宋体" w:hAnsi="宋体"/>
          <w:sz w:val="24"/>
        </w:rPr>
      </w:pPr>
      <w:r>
        <w:rPr>
          <w:rFonts w:hint="eastAsia" w:ascii="宋体" w:hAnsi="宋体"/>
          <w:sz w:val="24"/>
        </w:rPr>
        <w:t>3）扩展性：系统应支持横向和纵向扩展，能够根据业务需求灵活增加硬件资源或功能模块。</w:t>
      </w:r>
    </w:p>
    <w:p w14:paraId="195D5841">
      <w:pPr>
        <w:adjustRightInd w:val="0"/>
        <w:snapToGrid w:val="0"/>
        <w:spacing w:line="360" w:lineRule="auto"/>
        <w:jc w:val="left"/>
        <w:rPr>
          <w:rFonts w:hint="eastAsia" w:ascii="宋体" w:hAnsi="宋体"/>
          <w:sz w:val="24"/>
        </w:rPr>
      </w:pPr>
      <w:r>
        <w:rPr>
          <w:rFonts w:hint="eastAsia" w:ascii="宋体" w:hAnsi="宋体"/>
          <w:sz w:val="24"/>
        </w:rPr>
        <w:t>4）兼容性：系统应兼容不同操作系统、浏览器。</w:t>
      </w:r>
    </w:p>
    <w:p w14:paraId="522210F4">
      <w:pPr>
        <w:adjustRightInd w:val="0"/>
        <w:snapToGrid w:val="0"/>
        <w:spacing w:line="360" w:lineRule="auto"/>
        <w:jc w:val="left"/>
        <w:rPr>
          <w:rFonts w:hint="eastAsia" w:ascii="宋体" w:hAnsi="宋体"/>
          <w:sz w:val="24"/>
        </w:rPr>
      </w:pPr>
      <w:r>
        <w:rPr>
          <w:rFonts w:hint="eastAsia" w:ascii="宋体" w:hAnsi="宋体"/>
          <w:sz w:val="24"/>
        </w:rPr>
        <w:t>5）负载能力：系统应支持一定数量的并发用户（≥1000+用户同时在线）。</w:t>
      </w:r>
    </w:p>
    <w:p w14:paraId="0E69AD44">
      <w:pPr>
        <w:adjustRightInd w:val="0"/>
        <w:snapToGrid w:val="0"/>
        <w:spacing w:line="360" w:lineRule="auto"/>
        <w:jc w:val="left"/>
        <w:rPr>
          <w:rFonts w:hint="eastAsia" w:ascii="宋体" w:hAnsi="宋体"/>
          <w:sz w:val="24"/>
        </w:rPr>
      </w:pPr>
      <w:r>
        <w:rPr>
          <w:rFonts w:hint="eastAsia" w:ascii="宋体" w:hAnsi="宋体"/>
          <w:sz w:val="24"/>
        </w:rPr>
        <w:t>2、安全性要求：</w:t>
      </w:r>
    </w:p>
    <w:p w14:paraId="44A58E9F">
      <w:pPr>
        <w:adjustRightInd w:val="0"/>
        <w:snapToGrid w:val="0"/>
        <w:spacing w:line="360" w:lineRule="auto"/>
        <w:jc w:val="left"/>
        <w:rPr>
          <w:rFonts w:hint="eastAsia" w:ascii="宋体" w:hAnsi="宋体"/>
          <w:sz w:val="24"/>
        </w:rPr>
      </w:pPr>
      <w:r>
        <w:rPr>
          <w:rFonts w:hint="eastAsia" w:ascii="宋体" w:hAnsi="宋体"/>
          <w:sz w:val="24"/>
        </w:rPr>
        <w:t>1）数据加密：敏感数据需采用加密存储和传输。</w:t>
      </w:r>
    </w:p>
    <w:p w14:paraId="66CC196E">
      <w:pPr>
        <w:adjustRightInd w:val="0"/>
        <w:snapToGrid w:val="0"/>
        <w:spacing w:line="360" w:lineRule="auto"/>
        <w:jc w:val="left"/>
        <w:rPr>
          <w:rFonts w:hint="eastAsia" w:ascii="宋体" w:hAnsi="宋体"/>
          <w:sz w:val="24"/>
        </w:rPr>
      </w:pPr>
      <w:r>
        <w:rPr>
          <w:rFonts w:hint="eastAsia" w:ascii="宋体" w:hAnsi="宋体"/>
          <w:sz w:val="24"/>
        </w:rPr>
        <w:t>2）访问控制：系统应支持基于角色的权限管理，确保不同用户只能访问授权范围内的功能。</w:t>
      </w:r>
    </w:p>
    <w:p w14:paraId="4FAA07FE">
      <w:pPr>
        <w:adjustRightInd w:val="0"/>
        <w:snapToGrid w:val="0"/>
        <w:spacing w:line="360" w:lineRule="auto"/>
        <w:jc w:val="left"/>
        <w:rPr>
          <w:rFonts w:hint="eastAsia" w:ascii="宋体" w:hAnsi="宋体"/>
          <w:sz w:val="24"/>
        </w:rPr>
      </w:pPr>
      <w:r>
        <w:rPr>
          <w:rFonts w:ascii="宋体" w:hAnsi="宋体"/>
          <w:sz w:val="24"/>
        </w:rPr>
        <w:t>3</w:t>
      </w:r>
      <w:r>
        <w:rPr>
          <w:rFonts w:hint="eastAsia" w:ascii="宋体" w:hAnsi="宋体"/>
          <w:sz w:val="24"/>
        </w:rPr>
        <w:t>）日志记录：系统需记录用户操作日志，支持追溯。</w:t>
      </w:r>
    </w:p>
    <w:p w14:paraId="5C44A89F">
      <w:pPr>
        <w:adjustRightInd w:val="0"/>
        <w:snapToGrid w:val="0"/>
        <w:spacing w:line="360" w:lineRule="auto"/>
        <w:jc w:val="left"/>
        <w:rPr>
          <w:rFonts w:hint="eastAsia" w:ascii="宋体" w:hAnsi="宋体"/>
          <w:sz w:val="24"/>
        </w:rPr>
      </w:pPr>
      <w:r>
        <w:rPr>
          <w:rFonts w:hint="eastAsia" w:ascii="宋体" w:hAnsi="宋体"/>
          <w:sz w:val="24"/>
        </w:rPr>
        <w:t>3、验收要求：</w:t>
      </w:r>
    </w:p>
    <w:p w14:paraId="1EA51909">
      <w:pPr>
        <w:adjustRightInd w:val="0"/>
        <w:snapToGrid w:val="0"/>
        <w:spacing w:line="360" w:lineRule="auto"/>
        <w:jc w:val="left"/>
        <w:rPr>
          <w:rFonts w:hint="eastAsia" w:ascii="宋体" w:hAnsi="宋体"/>
          <w:sz w:val="24"/>
        </w:rPr>
      </w:pPr>
      <w:r>
        <w:rPr>
          <w:rFonts w:hint="eastAsia" w:ascii="宋体" w:hAnsi="宋体"/>
          <w:sz w:val="24"/>
        </w:rPr>
        <w:t>1）功能验收：系统需通过功能测试，确保所有功能模块符合需求文档要求。</w:t>
      </w:r>
    </w:p>
    <w:p w14:paraId="5F84C4AB">
      <w:pPr>
        <w:adjustRightInd w:val="0"/>
        <w:snapToGrid w:val="0"/>
        <w:spacing w:line="360" w:lineRule="auto"/>
        <w:jc w:val="left"/>
        <w:rPr>
          <w:rFonts w:hint="eastAsia" w:ascii="宋体" w:hAnsi="宋体"/>
          <w:sz w:val="24"/>
        </w:rPr>
      </w:pPr>
      <w:r>
        <w:rPr>
          <w:rFonts w:hint="eastAsia" w:ascii="宋体" w:hAnsi="宋体"/>
          <w:sz w:val="24"/>
        </w:rPr>
        <w:t>2）性能验收：系统需通过性能测试，确保在高并发场景下满足性能指标。</w:t>
      </w:r>
    </w:p>
    <w:p w14:paraId="2F6FB092">
      <w:pPr>
        <w:adjustRightInd w:val="0"/>
        <w:snapToGrid w:val="0"/>
        <w:spacing w:line="360" w:lineRule="auto"/>
        <w:jc w:val="left"/>
        <w:rPr>
          <w:rFonts w:hint="eastAsia" w:ascii="宋体" w:hAnsi="宋体"/>
          <w:sz w:val="24"/>
        </w:rPr>
      </w:pPr>
      <w:r>
        <w:rPr>
          <w:rFonts w:hint="eastAsia" w:ascii="宋体" w:hAnsi="宋体"/>
          <w:sz w:val="24"/>
        </w:rPr>
        <w:t>3）文档验收：投标人需提供完整的项目文档，包括建设方案、实施文档、测试报告、用户手册等。</w:t>
      </w:r>
    </w:p>
    <w:p w14:paraId="7882A717">
      <w:pPr>
        <w:adjustRightInd w:val="0"/>
        <w:snapToGrid w:val="0"/>
        <w:spacing w:line="360" w:lineRule="auto"/>
        <w:jc w:val="left"/>
        <w:rPr>
          <w:rFonts w:hint="eastAsia" w:ascii="宋体" w:hAnsi="宋体"/>
          <w:sz w:val="24"/>
        </w:rPr>
      </w:pPr>
      <w:r>
        <w:rPr>
          <w:rFonts w:hint="eastAsia" w:ascii="宋体" w:hAnsi="宋体"/>
          <w:sz w:val="24"/>
        </w:rPr>
        <w:t>4）试运行验收：系统需经过一个月的试运行，确保稳定性和可靠性。</w:t>
      </w:r>
    </w:p>
    <w:p w14:paraId="4336805F">
      <w:pPr>
        <w:adjustRightInd w:val="0"/>
        <w:snapToGrid w:val="0"/>
        <w:spacing w:line="360" w:lineRule="auto"/>
        <w:jc w:val="left"/>
        <w:rPr>
          <w:rFonts w:ascii="宋体" w:hAnsi="宋体"/>
          <w:sz w:val="24"/>
        </w:rPr>
      </w:pPr>
      <w:r>
        <w:rPr>
          <w:rFonts w:hint="eastAsia" w:ascii="宋体" w:hAnsi="宋体"/>
          <w:sz w:val="24"/>
        </w:rPr>
        <w:t>5）运维服务验收：根据运维服务合同，对服务质量进行验收，包括故障处理时效、系统稳定性、用户满意度等。</w:t>
      </w:r>
    </w:p>
    <w:p w14:paraId="15013590">
      <w:pPr>
        <w:adjustRightInd w:val="0"/>
        <w:snapToGrid w:val="0"/>
        <w:spacing w:line="360" w:lineRule="auto"/>
        <w:jc w:val="left"/>
        <w:rPr>
          <w:rFonts w:ascii="宋体" w:hAnsi="宋体"/>
          <w:sz w:val="24"/>
        </w:rPr>
      </w:pPr>
      <w:r>
        <w:rPr>
          <w:rFonts w:hint="eastAsia" w:ascii="宋体" w:hAnsi="宋体"/>
          <w:sz w:val="24"/>
        </w:rPr>
        <w:t>4、运维要求：</w:t>
      </w:r>
    </w:p>
    <w:p w14:paraId="4F3021F5">
      <w:pPr>
        <w:adjustRightInd w:val="0"/>
        <w:snapToGrid w:val="0"/>
        <w:spacing w:line="360" w:lineRule="auto"/>
        <w:jc w:val="left"/>
        <w:rPr>
          <w:rFonts w:ascii="宋体" w:hAnsi="宋体"/>
          <w:sz w:val="24"/>
        </w:rPr>
      </w:pPr>
      <w:r>
        <w:rPr>
          <w:rFonts w:hint="eastAsia" w:ascii="宋体" w:hAnsi="宋体"/>
          <w:sz w:val="24"/>
        </w:rPr>
        <w:t>1）运维期：</w:t>
      </w:r>
      <w:r>
        <w:rPr>
          <w:rFonts w:hint="eastAsia" w:ascii="宋体" w:hAnsi="宋体"/>
          <w:bCs/>
          <w:sz w:val="24"/>
        </w:rPr>
        <w:t>自所有产品功能验收后</w:t>
      </w:r>
      <w:r>
        <w:rPr>
          <w:rFonts w:hint="eastAsia" w:ascii="宋体" w:hAnsi="宋体"/>
          <w:sz w:val="24"/>
        </w:rPr>
        <w:t>12个月</w:t>
      </w:r>
    </w:p>
    <w:p w14:paraId="3F420095">
      <w:pPr>
        <w:adjustRightInd w:val="0"/>
        <w:snapToGrid w:val="0"/>
        <w:spacing w:line="360" w:lineRule="auto"/>
        <w:jc w:val="left"/>
        <w:rPr>
          <w:rFonts w:hint="eastAsia" w:ascii="宋体" w:hAnsi="宋体"/>
          <w:sz w:val="24"/>
        </w:rPr>
      </w:pPr>
      <w:r>
        <w:rPr>
          <w:rFonts w:hint="eastAsia" w:ascii="宋体" w:hAnsi="宋体"/>
          <w:sz w:val="24"/>
        </w:rPr>
        <w:t>2）服务范围：包括系统监控、故障处理、性能优化、数据备份、安全防护等。</w:t>
      </w:r>
    </w:p>
    <w:p w14:paraId="5DF03D14">
      <w:pPr>
        <w:adjustRightInd w:val="0"/>
        <w:snapToGrid w:val="0"/>
        <w:spacing w:line="360" w:lineRule="auto"/>
        <w:jc w:val="left"/>
        <w:rPr>
          <w:rFonts w:hint="eastAsia" w:ascii="宋体" w:hAnsi="宋体"/>
          <w:sz w:val="24"/>
        </w:rPr>
      </w:pPr>
      <w:r>
        <w:rPr>
          <w:rFonts w:hint="eastAsia" w:ascii="宋体" w:hAnsi="宋体"/>
          <w:sz w:val="24"/>
        </w:rPr>
        <w:t>3）服务时间：提供7*24小时及时响应服务。</w:t>
      </w:r>
    </w:p>
    <w:p w14:paraId="55866A5A">
      <w:pPr>
        <w:adjustRightInd w:val="0"/>
        <w:snapToGrid w:val="0"/>
        <w:spacing w:line="360" w:lineRule="auto"/>
        <w:jc w:val="left"/>
        <w:rPr>
          <w:rFonts w:hint="eastAsia" w:ascii="宋体" w:hAnsi="宋体"/>
          <w:sz w:val="24"/>
        </w:rPr>
      </w:pPr>
      <w:r>
        <w:rPr>
          <w:rFonts w:hint="eastAsia" w:ascii="宋体" w:hAnsi="宋体"/>
          <w:sz w:val="24"/>
        </w:rPr>
        <w:t>4）服务响应：工作日：故障响应时间（30分钟内响应）和解决时间（2小时内解决）；节假日：故障响应时间（1小时内响应）和解决时间（4小时内解决）。</w:t>
      </w:r>
    </w:p>
    <w:p w14:paraId="5426C58C">
      <w:pPr>
        <w:adjustRightInd w:val="0"/>
        <w:snapToGrid w:val="0"/>
        <w:spacing w:line="360" w:lineRule="auto"/>
        <w:jc w:val="left"/>
        <w:rPr>
          <w:rFonts w:hint="eastAsia" w:ascii="宋体" w:hAnsi="宋体"/>
          <w:sz w:val="24"/>
        </w:rPr>
      </w:pPr>
      <w:r>
        <w:rPr>
          <w:rFonts w:hint="eastAsia" w:ascii="宋体" w:hAnsi="宋体"/>
          <w:sz w:val="24"/>
        </w:rPr>
        <w:t>5）服务报告：每季度提供运维报告，包括系统运行状态、故障处理情况、性能优化建议等。</w:t>
      </w:r>
    </w:p>
    <w:p w14:paraId="008D3954">
      <w:pPr>
        <w:adjustRightInd w:val="0"/>
        <w:snapToGrid w:val="0"/>
        <w:spacing w:line="360" w:lineRule="auto"/>
        <w:jc w:val="left"/>
        <w:rPr>
          <w:rFonts w:hint="eastAsia" w:ascii="宋体" w:hAnsi="宋体"/>
          <w:sz w:val="24"/>
        </w:rPr>
      </w:pPr>
      <w:r>
        <w:rPr>
          <w:rFonts w:hint="eastAsia" w:ascii="宋体" w:hAnsi="宋体"/>
          <w:sz w:val="24"/>
        </w:rPr>
        <w:t>5、驻场要求：</w:t>
      </w:r>
    </w:p>
    <w:p w14:paraId="0D513920">
      <w:pPr>
        <w:adjustRightInd w:val="0"/>
        <w:snapToGrid w:val="0"/>
        <w:spacing w:line="360" w:lineRule="auto"/>
        <w:jc w:val="left"/>
        <w:rPr>
          <w:rFonts w:hint="eastAsia" w:ascii="宋体" w:hAnsi="宋体"/>
          <w:sz w:val="24"/>
        </w:rPr>
      </w:pPr>
      <w:r>
        <w:rPr>
          <w:rFonts w:hint="eastAsia" w:ascii="宋体" w:hAnsi="宋体"/>
          <w:sz w:val="24"/>
        </w:rPr>
        <w:t>1）根据招标人要求及实际情况提供驻场服务</w:t>
      </w:r>
      <w:r>
        <w:rPr>
          <w:rFonts w:hint="eastAsia"/>
        </w:rPr>
        <w:t>，</w:t>
      </w:r>
      <w:r>
        <w:rPr>
          <w:rFonts w:hint="eastAsia"/>
          <w:sz w:val="24"/>
        </w:rPr>
        <w:t>提供至少一名工程师驻场，不少于15天驻场时间</w:t>
      </w:r>
      <w:r>
        <w:rPr>
          <w:rFonts w:hint="eastAsia" w:ascii="宋体" w:hAnsi="宋体"/>
          <w:sz w:val="24"/>
        </w:rPr>
        <w:t>。</w:t>
      </w:r>
    </w:p>
    <w:p w14:paraId="2045D207">
      <w:pPr>
        <w:adjustRightInd w:val="0"/>
        <w:snapToGrid w:val="0"/>
        <w:spacing w:line="360" w:lineRule="auto"/>
        <w:jc w:val="left"/>
        <w:rPr>
          <w:rFonts w:hint="eastAsia" w:ascii="宋体" w:hAnsi="宋体"/>
          <w:sz w:val="24"/>
        </w:rPr>
      </w:pPr>
      <w:r>
        <w:rPr>
          <w:rFonts w:hint="eastAsia" w:ascii="宋体" w:hAnsi="宋体"/>
          <w:sz w:val="24"/>
        </w:rPr>
        <w:t>2）驻场人员资质要求：投标人派遣的驻场人员需具备相关行业2年以上经验.</w:t>
      </w:r>
    </w:p>
    <w:p w14:paraId="0D6309E2">
      <w:pPr>
        <w:adjustRightInd w:val="0"/>
        <w:snapToGrid w:val="0"/>
        <w:spacing w:line="360" w:lineRule="auto"/>
        <w:jc w:val="left"/>
        <w:rPr>
          <w:rFonts w:hint="eastAsia" w:ascii="宋体" w:hAnsi="宋体"/>
          <w:sz w:val="24"/>
        </w:rPr>
      </w:pPr>
      <w:r>
        <w:rPr>
          <w:rFonts w:hint="eastAsia" w:ascii="宋体" w:hAnsi="宋体"/>
          <w:sz w:val="24"/>
        </w:rPr>
        <w:t>3）驻场工作内容与职责：系统运维、技术支持、需求对接、开发调试等。</w:t>
      </w:r>
    </w:p>
    <w:p w14:paraId="62FD2C11">
      <w:pPr>
        <w:adjustRightInd w:val="0"/>
        <w:snapToGrid w:val="0"/>
        <w:spacing w:line="360" w:lineRule="auto"/>
        <w:jc w:val="left"/>
        <w:rPr>
          <w:rFonts w:hint="eastAsia" w:ascii="宋体" w:hAnsi="宋体"/>
          <w:sz w:val="24"/>
        </w:rPr>
      </w:pPr>
      <w:r>
        <w:rPr>
          <w:rFonts w:hint="eastAsia" w:ascii="宋体" w:hAnsi="宋体"/>
          <w:sz w:val="24"/>
        </w:rPr>
        <w:t>4）需提供7×24小时应急响应服务，确保在系统出现故障时能够及时处理。</w:t>
      </w:r>
    </w:p>
    <w:p w14:paraId="4F6E28B1">
      <w:pPr>
        <w:adjustRightInd w:val="0"/>
        <w:snapToGrid w:val="0"/>
        <w:spacing w:line="360" w:lineRule="auto"/>
        <w:jc w:val="left"/>
        <w:rPr>
          <w:rFonts w:hint="eastAsia" w:ascii="宋体" w:hAnsi="宋体"/>
          <w:sz w:val="24"/>
        </w:rPr>
      </w:pPr>
      <w:r>
        <w:rPr>
          <w:rFonts w:hint="eastAsia" w:ascii="宋体" w:hAnsi="宋体"/>
          <w:sz w:val="24"/>
        </w:rPr>
        <w:t>5）遵守招标人的信息安全、保密协议及办公纪律，不得擅自接触与工作无关的招标人内部</w:t>
      </w:r>
      <w:r>
        <w:rPr>
          <w:rFonts w:hint="eastAsia" w:ascii="宋体" w:hAnsi="宋体"/>
          <w:sz w:val="24"/>
          <w:lang w:val="en-US" w:eastAsia="zh-CN"/>
        </w:rPr>
        <w:t>+</w:t>
      </w:r>
      <w:r>
        <w:rPr>
          <w:rFonts w:hint="eastAsia" w:ascii="宋体" w:hAnsi="宋体"/>
          <w:sz w:val="24"/>
        </w:rPr>
        <w:t>数据或设备，提供承诺函。</w:t>
      </w:r>
    </w:p>
    <w:p w14:paraId="180913EB">
      <w:pPr>
        <w:adjustRightInd w:val="0"/>
        <w:snapToGrid w:val="0"/>
        <w:spacing w:line="360" w:lineRule="auto"/>
        <w:jc w:val="left"/>
        <w:rPr>
          <w:rFonts w:hint="eastAsia" w:ascii="宋体" w:hAnsi="宋体"/>
          <w:sz w:val="24"/>
        </w:rPr>
      </w:pPr>
      <w:r>
        <w:rPr>
          <w:rFonts w:hint="eastAsia" w:ascii="宋体" w:hAnsi="宋体"/>
          <w:sz w:val="24"/>
        </w:rPr>
        <w:t>6）差旅、住宿、餐饮等费用由投标人承担。</w:t>
      </w:r>
    </w:p>
    <w:p w14:paraId="33FE112B">
      <w:pPr>
        <w:adjustRightInd w:val="0"/>
        <w:snapToGrid w:val="0"/>
        <w:spacing w:line="360" w:lineRule="auto"/>
        <w:jc w:val="left"/>
        <w:rPr>
          <w:rFonts w:hint="eastAsia" w:ascii="宋体" w:hAnsi="宋体"/>
          <w:sz w:val="24"/>
        </w:rPr>
      </w:pPr>
      <w:r>
        <w:rPr>
          <w:rFonts w:hint="eastAsia" w:ascii="宋体" w:hAnsi="宋体"/>
          <w:sz w:val="24"/>
        </w:rPr>
        <w:t>7）招标人可定期对驻场人员的工作质量进行考核。若考核不达标时，投标人需调整人员或改进服务。</w:t>
      </w:r>
    </w:p>
    <w:p w14:paraId="34A6DC4C">
      <w:pPr>
        <w:adjustRightInd w:val="0"/>
        <w:snapToGrid w:val="0"/>
        <w:spacing w:line="360" w:lineRule="auto"/>
        <w:jc w:val="left"/>
        <w:rPr>
          <w:rFonts w:hint="eastAsia" w:ascii="宋体" w:hAnsi="宋体"/>
          <w:sz w:val="24"/>
        </w:rPr>
      </w:pPr>
      <w:r>
        <w:rPr>
          <w:rFonts w:hint="eastAsia" w:ascii="宋体" w:hAnsi="宋体"/>
          <w:sz w:val="24"/>
        </w:rPr>
        <w:t>6、数据要求：</w:t>
      </w:r>
    </w:p>
    <w:p w14:paraId="69AE7690">
      <w:pPr>
        <w:adjustRightInd w:val="0"/>
        <w:snapToGrid w:val="0"/>
        <w:spacing w:line="360" w:lineRule="auto"/>
        <w:jc w:val="left"/>
        <w:rPr>
          <w:rFonts w:hint="eastAsia" w:ascii="宋体" w:hAnsi="宋体"/>
          <w:sz w:val="24"/>
        </w:rPr>
      </w:pPr>
      <w:r>
        <w:rPr>
          <w:rFonts w:hint="eastAsia" w:ascii="宋体" w:hAnsi="宋体"/>
          <w:sz w:val="24"/>
        </w:rPr>
        <w:t>1）数据准确性：系统需确保数据的准确性和完整性，避免数据丢失或错误。</w:t>
      </w:r>
    </w:p>
    <w:p w14:paraId="75847110">
      <w:pPr>
        <w:adjustRightInd w:val="0"/>
        <w:snapToGrid w:val="0"/>
        <w:spacing w:line="360" w:lineRule="auto"/>
        <w:jc w:val="left"/>
        <w:rPr>
          <w:rFonts w:hint="eastAsia" w:ascii="宋体" w:hAnsi="宋体"/>
          <w:sz w:val="24"/>
        </w:rPr>
      </w:pPr>
      <w:r>
        <w:rPr>
          <w:rFonts w:hint="eastAsia" w:ascii="宋体" w:hAnsi="宋体"/>
          <w:sz w:val="24"/>
        </w:rPr>
        <w:t>2）数据一致性：系统需支持多数据源的数据同步，确保数据一致性。</w:t>
      </w:r>
    </w:p>
    <w:p w14:paraId="36535BBD">
      <w:pPr>
        <w:adjustRightInd w:val="0"/>
        <w:snapToGrid w:val="0"/>
        <w:spacing w:line="360" w:lineRule="auto"/>
        <w:jc w:val="left"/>
        <w:rPr>
          <w:rFonts w:hint="eastAsia" w:ascii="宋体" w:hAnsi="宋体"/>
          <w:sz w:val="24"/>
        </w:rPr>
      </w:pPr>
      <w:r>
        <w:rPr>
          <w:rFonts w:hint="eastAsia" w:ascii="宋体" w:hAnsi="宋体"/>
          <w:sz w:val="24"/>
        </w:rPr>
        <w:t>3）数据备份：系统需提供定期数据备份功能，支持灾难恢复。</w:t>
      </w:r>
    </w:p>
    <w:p w14:paraId="74C34CDA">
      <w:pPr>
        <w:adjustRightInd w:val="0"/>
        <w:snapToGrid w:val="0"/>
        <w:spacing w:line="360" w:lineRule="auto"/>
        <w:jc w:val="left"/>
        <w:rPr>
          <w:rFonts w:hint="eastAsia" w:ascii="宋体" w:hAnsi="宋体"/>
          <w:sz w:val="24"/>
        </w:rPr>
      </w:pPr>
      <w:r>
        <w:rPr>
          <w:rFonts w:hint="eastAsia" w:ascii="宋体" w:hAnsi="宋体"/>
          <w:sz w:val="24"/>
        </w:rPr>
        <w:t>4）数据接口：系统需提供标准化的数据接口，支持与其他系统进行数据交互。</w:t>
      </w:r>
    </w:p>
    <w:p w14:paraId="6BA44119">
      <w:pPr>
        <w:adjustRightInd w:val="0"/>
        <w:snapToGrid w:val="0"/>
        <w:spacing w:line="360" w:lineRule="auto"/>
        <w:jc w:val="left"/>
        <w:rPr>
          <w:rFonts w:hint="eastAsia" w:ascii="宋体" w:hAnsi="宋体"/>
          <w:sz w:val="24"/>
        </w:rPr>
      </w:pPr>
      <w:r>
        <w:rPr>
          <w:rFonts w:hint="eastAsia" w:ascii="宋体" w:hAnsi="宋体"/>
          <w:sz w:val="24"/>
        </w:rPr>
        <w:t>5）数据隐私：系统需确保用户隐私数据的安全。</w:t>
      </w:r>
    </w:p>
    <w:p w14:paraId="7217C7FA">
      <w:pPr>
        <w:adjustRightInd w:val="0"/>
        <w:snapToGrid w:val="0"/>
        <w:spacing w:line="360" w:lineRule="auto"/>
        <w:jc w:val="left"/>
        <w:rPr>
          <w:rFonts w:hint="eastAsia" w:ascii="宋体" w:hAnsi="宋体"/>
          <w:sz w:val="24"/>
        </w:rPr>
      </w:pPr>
      <w:r>
        <w:rPr>
          <w:rFonts w:hint="eastAsia" w:ascii="宋体" w:hAnsi="宋体"/>
          <w:sz w:val="24"/>
        </w:rPr>
        <w:t>7、服务满意度要求：</w:t>
      </w:r>
    </w:p>
    <w:p w14:paraId="34D65D1D">
      <w:pPr>
        <w:adjustRightInd w:val="0"/>
        <w:snapToGrid w:val="0"/>
        <w:spacing w:line="360" w:lineRule="auto"/>
        <w:jc w:val="left"/>
        <w:rPr>
          <w:rFonts w:hint="eastAsia" w:ascii="宋体" w:hAnsi="宋体"/>
          <w:sz w:val="24"/>
        </w:rPr>
      </w:pPr>
      <w:r>
        <w:rPr>
          <w:rFonts w:hint="eastAsia" w:ascii="宋体" w:hAnsi="宋体"/>
          <w:sz w:val="24"/>
        </w:rPr>
        <w:t>1）满意度调查：定期进行用户满意度调查，收集用户反馈并改进服务。</w:t>
      </w:r>
    </w:p>
    <w:p w14:paraId="4F7A1BA2">
      <w:pPr>
        <w:adjustRightInd w:val="0"/>
        <w:snapToGrid w:val="0"/>
        <w:spacing w:line="360" w:lineRule="auto"/>
        <w:jc w:val="left"/>
        <w:rPr>
          <w:rFonts w:hint="eastAsia" w:ascii="宋体" w:hAnsi="宋体"/>
          <w:sz w:val="24"/>
        </w:rPr>
      </w:pPr>
      <w:r>
        <w:rPr>
          <w:rFonts w:hint="eastAsia" w:ascii="宋体" w:hAnsi="宋体"/>
          <w:sz w:val="24"/>
        </w:rPr>
        <w:t>8、数据保密要求：</w:t>
      </w:r>
    </w:p>
    <w:p w14:paraId="409A0048">
      <w:pPr>
        <w:adjustRightInd w:val="0"/>
        <w:snapToGrid w:val="0"/>
        <w:spacing w:line="360" w:lineRule="auto"/>
        <w:jc w:val="left"/>
        <w:rPr>
          <w:rFonts w:hint="eastAsia" w:ascii="宋体" w:hAnsi="宋体"/>
          <w:sz w:val="24"/>
        </w:rPr>
      </w:pPr>
      <w:r>
        <w:rPr>
          <w:rFonts w:hint="eastAsia" w:ascii="宋体" w:hAnsi="宋体"/>
          <w:sz w:val="24"/>
        </w:rPr>
        <w:t>1）保密协议：运维人员需签署保密协议，确保不泄露系统数据及用户信息。</w:t>
      </w:r>
    </w:p>
    <w:p w14:paraId="5F0DB555">
      <w:pPr>
        <w:adjustRightInd w:val="0"/>
        <w:snapToGrid w:val="0"/>
        <w:spacing w:line="360" w:lineRule="auto"/>
        <w:jc w:val="left"/>
        <w:rPr>
          <w:rFonts w:hint="eastAsia" w:ascii="宋体" w:hAnsi="宋体"/>
          <w:sz w:val="24"/>
        </w:rPr>
      </w:pPr>
      <w:r>
        <w:rPr>
          <w:rFonts w:hint="eastAsia" w:ascii="宋体" w:hAnsi="宋体"/>
          <w:sz w:val="24"/>
        </w:rPr>
        <w:t>2）数据访问控制：运维人员只能访问与其工作相关的数据，禁止越权访问。</w:t>
      </w:r>
    </w:p>
    <w:p w14:paraId="0124C781">
      <w:pPr>
        <w:adjustRightInd w:val="0"/>
        <w:snapToGrid w:val="0"/>
        <w:spacing w:line="360" w:lineRule="auto"/>
        <w:jc w:val="left"/>
        <w:rPr>
          <w:rFonts w:hint="eastAsia" w:ascii="宋体" w:hAnsi="宋体"/>
          <w:sz w:val="24"/>
        </w:rPr>
      </w:pPr>
      <w:r>
        <w:rPr>
          <w:rFonts w:hint="eastAsia" w:ascii="宋体" w:hAnsi="宋体"/>
          <w:sz w:val="24"/>
        </w:rPr>
        <w:t>3）数据加密：运维过程中涉及的数据传输和存储需采用加密措施。</w:t>
      </w:r>
    </w:p>
    <w:p w14:paraId="553A4698">
      <w:pPr>
        <w:adjustRightInd w:val="0"/>
        <w:snapToGrid w:val="0"/>
        <w:spacing w:line="360" w:lineRule="auto"/>
        <w:jc w:val="left"/>
        <w:rPr>
          <w:rFonts w:hint="eastAsia" w:ascii="宋体" w:hAnsi="宋体"/>
          <w:sz w:val="24"/>
        </w:rPr>
      </w:pPr>
      <w:r>
        <w:rPr>
          <w:rFonts w:hint="eastAsia" w:ascii="宋体" w:hAnsi="宋体"/>
          <w:sz w:val="24"/>
        </w:rPr>
        <w:t>4）日志记录：记录运维人员的操作日志，支持追溯。</w:t>
      </w:r>
    </w:p>
    <w:p w14:paraId="2E5F125F">
      <w:pPr>
        <w:adjustRightInd w:val="0"/>
        <w:snapToGrid w:val="0"/>
        <w:spacing w:line="360" w:lineRule="auto"/>
        <w:jc w:val="left"/>
        <w:rPr>
          <w:rFonts w:hint="eastAsia" w:ascii="宋体" w:hAnsi="宋体"/>
          <w:sz w:val="24"/>
        </w:rPr>
      </w:pPr>
      <w:r>
        <w:rPr>
          <w:rFonts w:hint="eastAsia" w:ascii="宋体" w:hAnsi="宋体"/>
          <w:sz w:val="24"/>
        </w:rPr>
        <w:t>9、软著/专利归属</w:t>
      </w:r>
    </w:p>
    <w:p w14:paraId="0CFDF423">
      <w:pPr>
        <w:adjustRightInd w:val="0"/>
        <w:snapToGrid w:val="0"/>
        <w:spacing w:line="360" w:lineRule="auto"/>
        <w:jc w:val="left"/>
        <w:rPr>
          <w:rFonts w:hint="eastAsia" w:ascii="宋体" w:hAnsi="宋体"/>
          <w:sz w:val="24"/>
        </w:rPr>
      </w:pPr>
      <w:r>
        <w:rPr>
          <w:rFonts w:hint="eastAsia" w:ascii="宋体" w:hAnsi="宋体"/>
          <w:sz w:val="24"/>
        </w:rPr>
        <w:t>1）专利归属：采用"共同申请"模式，双方将作为共同专利权人出现在专利文件中。</w:t>
      </w:r>
    </w:p>
    <w:p w14:paraId="7BF2AA08">
      <w:pPr>
        <w:adjustRightInd w:val="0"/>
        <w:snapToGrid w:val="0"/>
        <w:spacing w:line="360" w:lineRule="auto"/>
        <w:jc w:val="left"/>
        <w:rPr>
          <w:rFonts w:hint="eastAsia" w:ascii="宋体" w:hAnsi="宋体"/>
          <w:sz w:val="24"/>
        </w:rPr>
      </w:pPr>
      <w:r>
        <w:rPr>
          <w:rFonts w:hint="eastAsia" w:ascii="宋体" w:hAnsi="宋体"/>
          <w:sz w:val="24"/>
        </w:rPr>
        <w:t>2）软件著作权：明确归属投标人所有，投标人将作为唯一著作权人。</w:t>
      </w:r>
    </w:p>
    <w:p w14:paraId="17960B70">
      <w:pPr>
        <w:adjustRightInd w:val="0"/>
        <w:snapToGrid w:val="0"/>
        <w:spacing w:line="360" w:lineRule="auto"/>
        <w:jc w:val="left"/>
        <w:rPr>
          <w:rFonts w:ascii="宋体" w:hAnsi="宋体"/>
          <w:b/>
          <w:sz w:val="24"/>
        </w:rPr>
      </w:pPr>
      <w:r>
        <w:rPr>
          <w:rFonts w:hint="eastAsia" w:ascii="宋体" w:hAnsi="宋体"/>
          <w:b/>
          <w:sz w:val="24"/>
        </w:rPr>
        <w:t>三、具体功能技术要求</w:t>
      </w:r>
    </w:p>
    <w:p w14:paraId="4BB62B33">
      <w:pPr>
        <w:adjustRightInd w:val="0"/>
        <w:snapToGrid w:val="0"/>
        <w:spacing w:line="360" w:lineRule="auto"/>
        <w:jc w:val="left"/>
        <w:rPr>
          <w:rFonts w:ascii="宋体" w:hAnsi="宋体"/>
          <w:b/>
          <w:sz w:val="24"/>
        </w:rPr>
      </w:pPr>
      <w:r>
        <w:rPr>
          <w:rFonts w:ascii="宋体" w:hAnsi="宋体"/>
          <w:sz w:val="24"/>
          <w:szCs w:val="21"/>
        </w:rPr>
        <w:t>1</w:t>
      </w:r>
      <w:r>
        <w:rPr>
          <w:rFonts w:hint="eastAsia" w:ascii="宋体" w:hAnsi="宋体"/>
          <w:sz w:val="24"/>
          <w:szCs w:val="21"/>
        </w:rPr>
        <w:t>、药物治疗管理模块</w:t>
      </w:r>
    </w:p>
    <w:tbl>
      <w:tblPr>
        <w:tblStyle w:val="9"/>
        <w:tblW w:w="9549"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448"/>
      </w:tblGrid>
      <w:tr w14:paraId="6826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bottom w:val="single" w:color="auto" w:sz="4" w:space="0"/>
              <w:right w:val="single" w:color="auto" w:sz="4" w:space="0"/>
            </w:tcBorders>
            <w:noWrap w:val="0"/>
            <w:vAlign w:val="top"/>
          </w:tcPr>
          <w:p w14:paraId="45ACB526">
            <w:pPr>
              <w:spacing w:line="360" w:lineRule="auto"/>
              <w:jc w:val="center"/>
              <w:rPr>
                <w:rFonts w:ascii="宋体" w:hAnsi="宋体"/>
                <w:sz w:val="24"/>
                <w:lang w:bidi="ne-NP"/>
              </w:rPr>
            </w:pPr>
            <w:r>
              <w:rPr>
                <w:rFonts w:hint="eastAsia" w:ascii="宋体" w:hAnsi="宋体"/>
                <w:sz w:val="24"/>
                <w:lang w:bidi="ne-NP"/>
              </w:rPr>
              <w:t>序号</w:t>
            </w:r>
          </w:p>
        </w:tc>
        <w:tc>
          <w:tcPr>
            <w:tcW w:w="8448" w:type="dxa"/>
            <w:tcBorders>
              <w:top w:val="single" w:color="auto" w:sz="4" w:space="0"/>
              <w:left w:val="single" w:color="auto" w:sz="4" w:space="0"/>
              <w:bottom w:val="single" w:color="auto" w:sz="4" w:space="0"/>
              <w:right w:val="single" w:color="auto" w:sz="4" w:space="0"/>
            </w:tcBorders>
            <w:noWrap w:val="0"/>
            <w:vAlign w:val="top"/>
          </w:tcPr>
          <w:p w14:paraId="44EB0901">
            <w:pPr>
              <w:spacing w:line="360" w:lineRule="auto"/>
              <w:jc w:val="center"/>
              <w:rPr>
                <w:rFonts w:ascii="宋体" w:hAnsi="宋体"/>
                <w:sz w:val="24"/>
                <w:lang w:bidi="ne-NP"/>
              </w:rPr>
            </w:pPr>
            <w:r>
              <w:rPr>
                <w:rFonts w:hint="eastAsia" w:ascii="宋体" w:hAnsi="宋体"/>
                <w:sz w:val="24"/>
                <w:lang w:bidi="ne-NP"/>
              </w:rPr>
              <w:t>具体功能技术要求</w:t>
            </w:r>
          </w:p>
        </w:tc>
      </w:tr>
      <w:tr w14:paraId="761C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bottom w:val="single" w:color="auto" w:sz="4" w:space="0"/>
              <w:right w:val="single" w:color="auto" w:sz="4" w:space="0"/>
            </w:tcBorders>
            <w:noWrap w:val="0"/>
            <w:vAlign w:val="top"/>
          </w:tcPr>
          <w:p w14:paraId="1BC42EC8">
            <w:pPr>
              <w:spacing w:line="360" w:lineRule="auto"/>
              <w:rPr>
                <w:rFonts w:ascii="宋体" w:hAnsi="宋体"/>
                <w:sz w:val="24"/>
                <w:lang w:bidi="ne-NP"/>
              </w:rPr>
            </w:pPr>
            <w:r>
              <w:rPr>
                <w:rFonts w:hint="eastAsia" w:ascii="宋体" w:hAnsi="宋体"/>
                <w:sz w:val="24"/>
                <w:lang w:eastAsia="zh-Hans"/>
              </w:rPr>
              <w:t>1</w:t>
            </w:r>
          </w:p>
        </w:tc>
        <w:tc>
          <w:tcPr>
            <w:tcW w:w="8448" w:type="dxa"/>
            <w:tcBorders>
              <w:top w:val="single" w:color="auto" w:sz="4" w:space="0"/>
              <w:left w:val="single" w:color="auto" w:sz="4" w:space="0"/>
              <w:bottom w:val="single" w:color="auto" w:sz="4" w:space="0"/>
              <w:right w:val="single" w:color="auto" w:sz="4" w:space="0"/>
            </w:tcBorders>
            <w:noWrap w:val="0"/>
            <w:vAlign w:val="top"/>
          </w:tcPr>
          <w:p w14:paraId="7864E152">
            <w:pPr>
              <w:spacing w:line="360" w:lineRule="auto"/>
              <w:rPr>
                <w:rFonts w:ascii="宋体" w:hAnsi="宋体"/>
                <w:sz w:val="24"/>
                <w:lang w:val="es-AR"/>
              </w:rPr>
            </w:pPr>
            <w:r>
              <w:rPr>
                <w:rFonts w:hint="eastAsia" w:ascii="宋体" w:hAnsi="宋体"/>
                <w:sz w:val="24"/>
                <w:lang w:val="es-AR"/>
              </w:rPr>
              <w:t>系统架构</w:t>
            </w:r>
          </w:p>
          <w:p w14:paraId="74014501">
            <w:pPr>
              <w:spacing w:line="360" w:lineRule="auto"/>
              <w:rPr>
                <w:rFonts w:ascii="宋体" w:hAnsi="宋体"/>
                <w:sz w:val="24"/>
                <w:lang w:val="es-AR"/>
              </w:rPr>
            </w:pPr>
            <w:r>
              <w:rPr>
                <w:rFonts w:hint="eastAsia" w:ascii="宋体" w:hAnsi="宋体"/>
                <w:sz w:val="24"/>
                <w:lang w:val="es-AR"/>
              </w:rPr>
              <w:t>采用B/S架构，内网部署。</w:t>
            </w:r>
          </w:p>
          <w:p w14:paraId="70D29BC5">
            <w:pPr>
              <w:spacing w:line="360" w:lineRule="auto"/>
              <w:rPr>
                <w:rFonts w:ascii="宋体" w:hAnsi="宋体" w:cs="宋体"/>
                <w:b/>
                <w:bCs/>
                <w:sz w:val="24"/>
                <w:lang w:bidi="ne-NP"/>
              </w:rPr>
            </w:pPr>
            <w:r>
              <w:rPr>
                <w:rFonts w:hint="eastAsia" w:ascii="宋体" w:hAnsi="宋体"/>
                <w:sz w:val="24"/>
                <w:lang w:val="es-AR"/>
              </w:rPr>
              <w:t>通过设置好的账号和密码进行登录。</w:t>
            </w:r>
          </w:p>
        </w:tc>
      </w:tr>
      <w:tr w14:paraId="4F6C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bottom w:val="single" w:color="auto" w:sz="4" w:space="0"/>
              <w:right w:val="single" w:color="auto" w:sz="4" w:space="0"/>
            </w:tcBorders>
            <w:noWrap w:val="0"/>
            <w:vAlign w:val="top"/>
          </w:tcPr>
          <w:p w14:paraId="04134E97">
            <w:pPr>
              <w:spacing w:line="360" w:lineRule="auto"/>
              <w:rPr>
                <w:rFonts w:ascii="宋体" w:hAnsi="宋体"/>
                <w:sz w:val="24"/>
                <w:lang w:bidi="ne-NP"/>
              </w:rPr>
            </w:pPr>
            <w:r>
              <w:rPr>
                <w:rFonts w:hint="eastAsia" w:ascii="宋体" w:hAnsi="宋体"/>
                <w:sz w:val="24"/>
                <w:lang w:eastAsia="zh-Hans"/>
              </w:rPr>
              <w:t>2</w:t>
            </w:r>
          </w:p>
        </w:tc>
        <w:tc>
          <w:tcPr>
            <w:tcW w:w="8448" w:type="dxa"/>
            <w:tcBorders>
              <w:top w:val="single" w:color="auto" w:sz="4" w:space="0"/>
              <w:left w:val="single" w:color="auto" w:sz="4" w:space="0"/>
              <w:bottom w:val="single" w:color="auto" w:sz="4" w:space="0"/>
              <w:right w:val="single" w:color="auto" w:sz="4" w:space="0"/>
            </w:tcBorders>
            <w:noWrap w:val="0"/>
            <w:vAlign w:val="top"/>
          </w:tcPr>
          <w:p w14:paraId="0054DAEA">
            <w:pPr>
              <w:spacing w:line="360" w:lineRule="auto"/>
              <w:rPr>
                <w:rFonts w:ascii="宋体" w:hAnsi="宋体"/>
                <w:sz w:val="24"/>
                <w:lang w:val="es-AR"/>
              </w:rPr>
            </w:pPr>
            <w:r>
              <w:rPr>
                <w:rFonts w:hint="eastAsia" w:ascii="宋体" w:hAnsi="宋体"/>
                <w:sz w:val="24"/>
                <w:lang w:val="es-AR"/>
              </w:rPr>
              <w:t>系统管理</w:t>
            </w:r>
          </w:p>
          <w:p w14:paraId="2B9A709C">
            <w:pPr>
              <w:spacing w:line="360" w:lineRule="auto"/>
              <w:rPr>
                <w:rFonts w:ascii="宋体" w:hAnsi="宋体"/>
                <w:sz w:val="24"/>
                <w:lang w:val="es-AR"/>
              </w:rPr>
            </w:pPr>
            <w:r>
              <w:rPr>
                <w:rFonts w:hint="eastAsia" w:ascii="宋体" w:hAnsi="宋体"/>
                <w:sz w:val="24"/>
                <w:lang w:val="es-AR"/>
              </w:rPr>
              <w:t>用户管理，对系统的用户进行管理，支持增删改。</w:t>
            </w:r>
          </w:p>
          <w:p w14:paraId="23B274A1">
            <w:pPr>
              <w:spacing w:line="360" w:lineRule="auto"/>
              <w:rPr>
                <w:rFonts w:ascii="宋体" w:hAnsi="宋体"/>
                <w:sz w:val="24"/>
                <w:lang w:val="es-AR"/>
              </w:rPr>
            </w:pPr>
            <w:r>
              <w:rPr>
                <w:rFonts w:hint="eastAsia" w:ascii="宋体" w:hAnsi="宋体"/>
                <w:sz w:val="24"/>
                <w:lang w:val="es-AR"/>
              </w:rPr>
              <w:t>角色管理，设置角色和分配权限，支持增删改。</w:t>
            </w:r>
          </w:p>
          <w:p w14:paraId="0A681416">
            <w:pPr>
              <w:spacing w:line="360" w:lineRule="auto"/>
              <w:rPr>
                <w:rFonts w:ascii="宋体" w:hAnsi="宋体"/>
                <w:sz w:val="24"/>
              </w:rPr>
            </w:pPr>
            <w:r>
              <w:rPr>
                <w:rFonts w:hint="eastAsia" w:ascii="宋体" w:hAnsi="宋体"/>
                <w:sz w:val="24"/>
                <w:lang w:val="es-AR"/>
              </w:rPr>
              <w:t>科室管理，</w:t>
            </w:r>
            <w:r>
              <w:rPr>
                <w:rFonts w:hint="eastAsia" w:ascii="宋体" w:hAnsi="宋体"/>
                <w:sz w:val="24"/>
              </w:rPr>
              <w:t>对科室信息进行管理</w:t>
            </w:r>
            <w:r>
              <w:rPr>
                <w:rFonts w:hint="eastAsia" w:ascii="宋体" w:hAnsi="宋体"/>
                <w:sz w:val="24"/>
                <w:lang w:val="es-AR"/>
              </w:rPr>
              <w:t>，支持增删改</w:t>
            </w:r>
            <w:r>
              <w:rPr>
                <w:rFonts w:hint="eastAsia" w:ascii="宋体" w:hAnsi="宋体"/>
                <w:sz w:val="24"/>
              </w:rPr>
              <w:t>。</w:t>
            </w:r>
          </w:p>
          <w:p w14:paraId="774AF583">
            <w:pPr>
              <w:spacing w:line="360" w:lineRule="auto"/>
              <w:rPr>
                <w:rFonts w:ascii="宋体" w:hAnsi="宋体" w:cs="宋体"/>
                <w:b/>
                <w:bCs/>
                <w:sz w:val="24"/>
                <w:lang w:bidi="ne-NP"/>
              </w:rPr>
            </w:pPr>
            <w:r>
              <w:rPr>
                <w:rFonts w:hint="eastAsia" w:ascii="宋体" w:hAnsi="宋体"/>
                <w:sz w:val="24"/>
                <w:lang w:val="es-AR"/>
              </w:rPr>
              <w:t>资源管理，对菜单及其他功能按键进行管理。</w:t>
            </w:r>
          </w:p>
        </w:tc>
      </w:tr>
      <w:tr w14:paraId="3BD5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right w:val="single" w:color="auto" w:sz="4" w:space="0"/>
            </w:tcBorders>
            <w:noWrap w:val="0"/>
            <w:vAlign w:val="top"/>
          </w:tcPr>
          <w:p w14:paraId="18D3A4E1">
            <w:pPr>
              <w:spacing w:line="360" w:lineRule="auto"/>
              <w:rPr>
                <w:rFonts w:ascii="宋体" w:hAnsi="宋体"/>
                <w:sz w:val="24"/>
                <w:lang w:val="es-AR" w:eastAsia="zh-Hans"/>
              </w:rPr>
            </w:pPr>
            <w:r>
              <w:rPr>
                <w:rFonts w:hint="eastAsia" w:ascii="宋体" w:hAnsi="宋体" w:cs="宋体"/>
                <w:sz w:val="24"/>
                <w:lang w:val="es-AR"/>
              </w:rPr>
              <w:t>★</w:t>
            </w:r>
            <w:r>
              <w:rPr>
                <w:rFonts w:hint="eastAsia" w:ascii="宋体" w:hAnsi="宋体"/>
                <w:sz w:val="24"/>
              </w:rPr>
              <w:t>3</w:t>
            </w:r>
          </w:p>
        </w:tc>
        <w:tc>
          <w:tcPr>
            <w:tcW w:w="8448" w:type="dxa"/>
            <w:tcBorders>
              <w:top w:val="single" w:color="auto" w:sz="4" w:space="0"/>
              <w:left w:val="single" w:color="auto" w:sz="4" w:space="0"/>
              <w:bottom w:val="single" w:color="auto" w:sz="4" w:space="0"/>
              <w:right w:val="single" w:color="auto" w:sz="4" w:space="0"/>
            </w:tcBorders>
            <w:noWrap w:val="0"/>
            <w:vAlign w:val="top"/>
          </w:tcPr>
          <w:p w14:paraId="33120465">
            <w:pPr>
              <w:spacing w:line="360" w:lineRule="auto"/>
              <w:rPr>
                <w:rFonts w:ascii="宋体" w:hAnsi="宋体"/>
                <w:sz w:val="24"/>
              </w:rPr>
            </w:pPr>
            <w:r>
              <w:rPr>
                <w:rFonts w:hint="eastAsia" w:ascii="宋体" w:hAnsi="宋体"/>
                <w:sz w:val="24"/>
              </w:rPr>
              <w:t>患者建档</w:t>
            </w:r>
          </w:p>
          <w:p w14:paraId="03839377">
            <w:pPr>
              <w:spacing w:line="360" w:lineRule="auto"/>
              <w:rPr>
                <w:rFonts w:hint="eastAsia" w:ascii="宋体" w:hAnsi="宋体"/>
                <w:sz w:val="24"/>
                <w:lang w:val="es-AR"/>
              </w:rPr>
            </w:pPr>
            <w:r>
              <w:rPr>
                <w:rFonts w:hint="eastAsia" w:ascii="宋体" w:hAnsi="宋体"/>
                <w:sz w:val="24"/>
                <w:lang w:eastAsia="zh-Hans"/>
              </w:rPr>
              <w:t>通过与医院信息系统对接，</w:t>
            </w:r>
            <w:r>
              <w:rPr>
                <w:rFonts w:hint="eastAsia" w:ascii="宋体" w:hAnsi="宋体"/>
                <w:sz w:val="24"/>
              </w:rPr>
              <w:t>或人工录入方式，为患者建档；档案内容包括</w:t>
            </w:r>
            <w:r>
              <w:rPr>
                <w:rFonts w:hint="eastAsia" w:ascii="宋体" w:hAnsi="宋体"/>
                <w:sz w:val="24"/>
                <w:lang w:eastAsia="zh-Hans"/>
              </w:rPr>
              <w:t>患者诊断、</w:t>
            </w:r>
            <w:r>
              <w:rPr>
                <w:rFonts w:hint="eastAsia" w:ascii="宋体" w:hAnsi="宋体"/>
                <w:sz w:val="24"/>
              </w:rPr>
              <w:t>既往史、</w:t>
            </w:r>
            <w:r>
              <w:rPr>
                <w:rFonts w:hint="eastAsia" w:ascii="宋体" w:hAnsi="宋体"/>
                <w:sz w:val="24"/>
                <w:lang w:eastAsia="zh-Hans"/>
              </w:rPr>
              <w:t>用药</w:t>
            </w:r>
            <w:r>
              <w:rPr>
                <w:rFonts w:hint="eastAsia" w:ascii="宋体" w:hAnsi="宋体"/>
                <w:sz w:val="24"/>
              </w:rPr>
              <w:t>史</w:t>
            </w:r>
            <w:r>
              <w:rPr>
                <w:rFonts w:hint="eastAsia" w:ascii="宋体" w:hAnsi="宋体"/>
                <w:sz w:val="24"/>
                <w:lang w:eastAsia="zh-Hans"/>
              </w:rPr>
              <w:t>和检验检查</w:t>
            </w:r>
            <w:r>
              <w:rPr>
                <w:rFonts w:hint="eastAsia" w:ascii="宋体" w:hAnsi="宋体"/>
                <w:sz w:val="24"/>
              </w:rPr>
              <w:t>结果等信息，患者用药、诊断、检验可利用信息系统中现有接口数据完成自动填充。（提供系统截图）</w:t>
            </w:r>
          </w:p>
        </w:tc>
      </w:tr>
      <w:tr w14:paraId="35D6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right w:val="single" w:color="auto" w:sz="4" w:space="0"/>
            </w:tcBorders>
            <w:noWrap w:val="0"/>
            <w:vAlign w:val="top"/>
          </w:tcPr>
          <w:p w14:paraId="2482825C">
            <w:pPr>
              <w:spacing w:line="360" w:lineRule="auto"/>
              <w:rPr>
                <w:rFonts w:ascii="宋体" w:hAnsi="宋体"/>
                <w:sz w:val="24"/>
                <w:lang w:eastAsia="zh-Hans"/>
              </w:rPr>
            </w:pPr>
            <w:r>
              <w:rPr>
                <w:rFonts w:hint="eastAsia" w:ascii="宋体" w:hAnsi="宋体"/>
                <w:sz w:val="24"/>
              </w:rPr>
              <w:t>4</w:t>
            </w:r>
          </w:p>
        </w:tc>
        <w:tc>
          <w:tcPr>
            <w:tcW w:w="8448" w:type="dxa"/>
            <w:tcBorders>
              <w:top w:val="single" w:color="auto" w:sz="4" w:space="0"/>
              <w:left w:val="single" w:color="auto" w:sz="4" w:space="0"/>
              <w:bottom w:val="single" w:color="auto" w:sz="4" w:space="0"/>
              <w:right w:val="single" w:color="auto" w:sz="4" w:space="0"/>
            </w:tcBorders>
            <w:noWrap w:val="0"/>
            <w:vAlign w:val="top"/>
          </w:tcPr>
          <w:p w14:paraId="10E5E567">
            <w:pPr>
              <w:spacing w:line="360" w:lineRule="auto"/>
              <w:rPr>
                <w:rFonts w:ascii="宋体" w:hAnsi="宋体"/>
                <w:sz w:val="24"/>
                <w:lang w:eastAsia="zh-Hans"/>
              </w:rPr>
            </w:pPr>
            <w:r>
              <w:rPr>
                <w:rFonts w:hint="eastAsia" w:ascii="宋体" w:hAnsi="宋体"/>
                <w:sz w:val="24"/>
                <w:lang w:eastAsia="zh-Hans"/>
              </w:rPr>
              <w:t>治疗目标</w:t>
            </w:r>
          </w:p>
          <w:p w14:paraId="41AE0F00">
            <w:pPr>
              <w:spacing w:line="360" w:lineRule="auto"/>
              <w:rPr>
                <w:rFonts w:ascii="宋体" w:hAnsi="宋体"/>
                <w:sz w:val="24"/>
                <w:lang w:eastAsia="zh-Hans"/>
              </w:rPr>
            </w:pPr>
            <w:r>
              <w:rPr>
                <w:rFonts w:hint="eastAsia" w:ascii="宋体" w:hAnsi="宋体"/>
                <w:sz w:val="24"/>
                <w:lang w:eastAsia="zh-Hans"/>
              </w:rPr>
              <w:t>支持药师为高血压、糖尿病、高脂血症等患者设置个体化疾病控制目标</w:t>
            </w:r>
            <w:r>
              <w:rPr>
                <w:rFonts w:hint="eastAsia" w:ascii="宋体" w:hAnsi="宋体"/>
                <w:sz w:val="24"/>
              </w:rPr>
              <w:t>，可参考权威诊疗指南中推荐的目标值或自定义数值范围</w:t>
            </w:r>
            <w:r>
              <w:rPr>
                <w:rFonts w:hint="eastAsia" w:ascii="宋体" w:hAnsi="宋体"/>
                <w:sz w:val="24"/>
                <w:lang w:eastAsia="zh-Hans"/>
              </w:rPr>
              <w:t>。支持药师为患者设置不同病种的随访套餐</w:t>
            </w:r>
            <w:r>
              <w:rPr>
                <w:rFonts w:hint="eastAsia" w:ascii="宋体" w:hAnsi="宋体"/>
                <w:sz w:val="24"/>
              </w:rPr>
              <w:t>，包括随访项目和随访周期</w:t>
            </w:r>
            <w:r>
              <w:rPr>
                <w:rFonts w:hint="eastAsia" w:ascii="宋体" w:hAnsi="宋体"/>
                <w:sz w:val="24"/>
                <w:lang w:eastAsia="zh-Hans"/>
              </w:rPr>
              <w:t>。</w:t>
            </w:r>
          </w:p>
        </w:tc>
      </w:tr>
      <w:tr w14:paraId="7494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right w:val="single" w:color="auto" w:sz="4" w:space="0"/>
            </w:tcBorders>
            <w:noWrap w:val="0"/>
            <w:vAlign w:val="top"/>
          </w:tcPr>
          <w:p w14:paraId="7CC8764D">
            <w:pPr>
              <w:spacing w:line="360" w:lineRule="auto"/>
              <w:rPr>
                <w:rFonts w:ascii="宋体" w:hAnsi="宋体"/>
                <w:sz w:val="24"/>
              </w:rPr>
            </w:pPr>
            <w:r>
              <w:rPr>
                <w:rFonts w:hint="eastAsia" w:ascii="宋体" w:hAnsi="宋体" w:cs="宋体"/>
                <w:sz w:val="24"/>
                <w:lang w:val="es-AR"/>
              </w:rPr>
              <w:t>★</w:t>
            </w:r>
            <w:r>
              <w:rPr>
                <w:rFonts w:hint="eastAsia" w:ascii="宋体" w:hAnsi="宋体"/>
                <w:sz w:val="24"/>
              </w:rPr>
              <w:t>5</w:t>
            </w:r>
          </w:p>
        </w:tc>
        <w:tc>
          <w:tcPr>
            <w:tcW w:w="8448" w:type="dxa"/>
            <w:tcBorders>
              <w:top w:val="single" w:color="auto" w:sz="4" w:space="0"/>
              <w:left w:val="single" w:color="auto" w:sz="4" w:space="0"/>
              <w:bottom w:val="single" w:color="auto" w:sz="4" w:space="0"/>
              <w:right w:val="single" w:color="auto" w:sz="4" w:space="0"/>
            </w:tcBorders>
            <w:noWrap w:val="0"/>
            <w:vAlign w:val="top"/>
          </w:tcPr>
          <w:p w14:paraId="0929ECE5">
            <w:pPr>
              <w:spacing w:line="360" w:lineRule="auto"/>
              <w:rPr>
                <w:rFonts w:ascii="宋体" w:hAnsi="宋体"/>
                <w:sz w:val="24"/>
                <w:lang w:eastAsia="zh-Hans"/>
              </w:rPr>
            </w:pPr>
            <w:r>
              <w:rPr>
                <w:rFonts w:hint="eastAsia" w:ascii="宋体" w:hAnsi="宋体"/>
                <w:sz w:val="24"/>
                <w:lang w:eastAsia="zh-Hans"/>
              </w:rPr>
              <w:t>用药教育</w:t>
            </w:r>
          </w:p>
          <w:p w14:paraId="0F6C6EBE">
            <w:pPr>
              <w:spacing w:line="360" w:lineRule="auto"/>
              <w:rPr>
                <w:rFonts w:ascii="宋体" w:hAnsi="宋体"/>
                <w:sz w:val="24"/>
                <w:lang w:eastAsia="zh-Hans"/>
              </w:rPr>
            </w:pPr>
            <w:r>
              <w:rPr>
                <w:rFonts w:hint="eastAsia" w:ascii="宋体" w:hAnsi="宋体"/>
                <w:sz w:val="24"/>
                <w:lang w:eastAsia="zh-Hans"/>
              </w:rPr>
              <w:t>内置用药教育专论知识库，</w:t>
            </w:r>
            <w:r>
              <w:rPr>
                <w:rFonts w:hint="eastAsia" w:ascii="宋体" w:hAnsi="宋体"/>
                <w:sz w:val="24"/>
              </w:rPr>
              <w:t>至少</w:t>
            </w:r>
            <w:r>
              <w:rPr>
                <w:rFonts w:hint="eastAsia" w:ascii="宋体" w:hAnsi="宋体"/>
                <w:sz w:val="24"/>
                <w:lang w:eastAsia="zh-Hans"/>
              </w:rPr>
              <w:t>涵盖</w:t>
            </w:r>
            <w:r>
              <w:rPr>
                <w:rFonts w:hint="eastAsia" w:ascii="宋体" w:hAnsi="宋体"/>
                <w:sz w:val="24"/>
              </w:rPr>
              <w:t>9000种中西药物的用药注意事项及详细教育内容，至少</w:t>
            </w:r>
            <w:r>
              <w:rPr>
                <w:rFonts w:hint="eastAsia" w:ascii="宋体" w:hAnsi="宋体"/>
                <w:sz w:val="24"/>
                <w:lang w:eastAsia="zh-Hans"/>
              </w:rPr>
              <w:t>包含用药前后应该关注的问题、用药时间、给药方法、漏服处理、正确贮存、疾病常识和生活方式指导内容，</w:t>
            </w:r>
            <w:r>
              <w:rPr>
                <w:rFonts w:hint="eastAsia" w:ascii="宋体" w:hAnsi="宋体"/>
                <w:sz w:val="24"/>
              </w:rPr>
              <w:t>提供</w:t>
            </w:r>
            <w:r>
              <w:rPr>
                <w:rFonts w:hint="eastAsia" w:ascii="宋体" w:hAnsi="宋体"/>
                <w:sz w:val="24"/>
                <w:lang w:eastAsia="zh-Hans"/>
              </w:rPr>
              <w:t>带有用药时间轴的用药教育</w:t>
            </w:r>
            <w:r>
              <w:rPr>
                <w:rFonts w:hint="eastAsia" w:ascii="宋体" w:hAnsi="宋体"/>
                <w:sz w:val="24"/>
              </w:rPr>
              <w:t>表</w:t>
            </w:r>
            <w:r>
              <w:rPr>
                <w:rFonts w:hint="eastAsia" w:ascii="宋体" w:hAnsi="宋体"/>
                <w:sz w:val="24"/>
                <w:lang w:eastAsia="zh-Hans"/>
              </w:rPr>
              <w:t>，支持药师对</w:t>
            </w:r>
            <w:r>
              <w:rPr>
                <w:rFonts w:hint="eastAsia" w:ascii="宋体" w:hAnsi="宋体"/>
                <w:sz w:val="24"/>
              </w:rPr>
              <w:t>教育单内容进行</w:t>
            </w:r>
            <w:r>
              <w:rPr>
                <w:rFonts w:hint="eastAsia" w:ascii="宋体" w:hAnsi="宋体"/>
                <w:sz w:val="24"/>
                <w:lang w:eastAsia="zh-Hans"/>
              </w:rPr>
              <w:t>二次编辑。</w:t>
            </w:r>
            <w:r>
              <w:rPr>
                <w:rFonts w:hint="eastAsia" w:ascii="宋体" w:hAnsi="宋体"/>
                <w:sz w:val="24"/>
              </w:rPr>
              <w:t>（提供系统截图）</w:t>
            </w:r>
          </w:p>
        </w:tc>
      </w:tr>
      <w:tr w14:paraId="4632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right w:val="single" w:color="auto" w:sz="4" w:space="0"/>
            </w:tcBorders>
            <w:noWrap w:val="0"/>
            <w:vAlign w:val="top"/>
          </w:tcPr>
          <w:p w14:paraId="4B2B5E9F">
            <w:pPr>
              <w:spacing w:line="360" w:lineRule="auto"/>
              <w:rPr>
                <w:rFonts w:ascii="宋体" w:hAnsi="宋体"/>
                <w:sz w:val="24"/>
              </w:rPr>
            </w:pPr>
            <w:r>
              <w:rPr>
                <w:rFonts w:hint="eastAsia" w:ascii="宋体" w:hAnsi="宋体"/>
                <w:sz w:val="24"/>
              </w:rPr>
              <w:t>6</w:t>
            </w:r>
          </w:p>
        </w:tc>
        <w:tc>
          <w:tcPr>
            <w:tcW w:w="8448" w:type="dxa"/>
            <w:tcBorders>
              <w:top w:val="single" w:color="auto" w:sz="4" w:space="0"/>
              <w:left w:val="single" w:color="auto" w:sz="4" w:space="0"/>
              <w:bottom w:val="single" w:color="auto" w:sz="4" w:space="0"/>
              <w:right w:val="single" w:color="auto" w:sz="4" w:space="0"/>
            </w:tcBorders>
            <w:noWrap w:val="0"/>
            <w:vAlign w:val="top"/>
          </w:tcPr>
          <w:p w14:paraId="0B2C014D">
            <w:pPr>
              <w:spacing w:line="360" w:lineRule="auto"/>
              <w:rPr>
                <w:rFonts w:ascii="宋体" w:hAnsi="宋体"/>
                <w:sz w:val="24"/>
              </w:rPr>
            </w:pPr>
            <w:r>
              <w:rPr>
                <w:rFonts w:ascii="宋体" w:hAnsi="宋体"/>
                <w:sz w:val="24"/>
                <w:lang w:eastAsia="zh-Hans"/>
              </w:rPr>
              <w:t>历史记录</w:t>
            </w:r>
          </w:p>
          <w:p w14:paraId="169BFA3F">
            <w:pPr>
              <w:spacing w:line="360" w:lineRule="auto"/>
              <w:rPr>
                <w:rFonts w:ascii="宋体" w:hAnsi="宋体"/>
                <w:sz w:val="24"/>
                <w:lang w:eastAsia="zh-Hans"/>
              </w:rPr>
            </w:pPr>
            <w:r>
              <w:rPr>
                <w:rFonts w:hint="eastAsia" w:ascii="宋体" w:hAnsi="宋体"/>
                <w:sz w:val="24"/>
              </w:rPr>
              <w:t>可实现</w:t>
            </w:r>
            <w:r>
              <w:rPr>
                <w:rFonts w:hint="eastAsia" w:ascii="宋体" w:hAnsi="宋体"/>
                <w:sz w:val="24"/>
                <w:lang w:eastAsia="zh-Hans"/>
              </w:rPr>
              <w:t>按日期快捷回溯患者历次药物治疗管理记录</w:t>
            </w:r>
            <w:r>
              <w:rPr>
                <w:rFonts w:hint="eastAsia" w:ascii="宋体" w:hAnsi="宋体"/>
                <w:sz w:val="24"/>
              </w:rPr>
              <w:t>，每开始一次新的药物治疗管理，药师可查阅上次管理未解决的药物治疗相关问题和未完成的行动计划。</w:t>
            </w:r>
          </w:p>
        </w:tc>
      </w:tr>
      <w:tr w14:paraId="6B8C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right w:val="single" w:color="auto" w:sz="4" w:space="0"/>
            </w:tcBorders>
            <w:noWrap w:val="0"/>
            <w:vAlign w:val="top"/>
          </w:tcPr>
          <w:p w14:paraId="28600B04">
            <w:pPr>
              <w:spacing w:line="360" w:lineRule="auto"/>
              <w:rPr>
                <w:rFonts w:ascii="宋体" w:hAnsi="宋体"/>
                <w:sz w:val="24"/>
              </w:rPr>
            </w:pPr>
            <w:r>
              <w:rPr>
                <w:rFonts w:hint="eastAsia" w:ascii="宋体" w:hAnsi="宋体"/>
                <w:kern w:val="0"/>
                <w:sz w:val="24"/>
              </w:rPr>
              <w:t>▲</w:t>
            </w:r>
            <w:r>
              <w:rPr>
                <w:rFonts w:hint="eastAsia" w:ascii="宋体" w:hAnsi="宋体"/>
                <w:sz w:val="24"/>
              </w:rPr>
              <w:t>7</w:t>
            </w:r>
          </w:p>
        </w:tc>
        <w:tc>
          <w:tcPr>
            <w:tcW w:w="8448" w:type="dxa"/>
            <w:tcBorders>
              <w:top w:val="single" w:color="auto" w:sz="4" w:space="0"/>
              <w:left w:val="single" w:color="auto" w:sz="4" w:space="0"/>
              <w:bottom w:val="single" w:color="auto" w:sz="4" w:space="0"/>
              <w:right w:val="single" w:color="auto" w:sz="4" w:space="0"/>
            </w:tcBorders>
            <w:noWrap w:val="0"/>
            <w:vAlign w:val="top"/>
          </w:tcPr>
          <w:p w14:paraId="38D73435">
            <w:pPr>
              <w:spacing w:line="360" w:lineRule="auto"/>
              <w:rPr>
                <w:rFonts w:ascii="宋体" w:hAnsi="宋体"/>
                <w:sz w:val="24"/>
              </w:rPr>
            </w:pPr>
            <w:r>
              <w:rPr>
                <w:rFonts w:hint="eastAsia" w:ascii="宋体" w:hAnsi="宋体"/>
                <w:sz w:val="24"/>
              </w:rPr>
              <w:t>电子药历</w:t>
            </w:r>
          </w:p>
          <w:p w14:paraId="62BD8B71">
            <w:pPr>
              <w:spacing w:line="360" w:lineRule="auto"/>
              <w:rPr>
                <w:rFonts w:ascii="宋体" w:hAnsi="宋体"/>
                <w:sz w:val="24"/>
                <w:lang w:eastAsia="zh-Hans"/>
              </w:rPr>
            </w:pPr>
            <w:r>
              <w:rPr>
                <w:rFonts w:hint="eastAsia" w:ascii="宋体" w:hAnsi="宋体"/>
                <w:sz w:val="24"/>
              </w:rPr>
              <w:t>可自动抓取</w:t>
            </w:r>
            <w:r>
              <w:rPr>
                <w:rStyle w:val="12"/>
                <w:rFonts w:hint="eastAsia"/>
                <w:sz w:val="24"/>
                <w:szCs w:val="24"/>
              </w:rPr>
              <w:t>患者用药、诊断、检验</w:t>
            </w:r>
            <w:r>
              <w:rPr>
                <w:rFonts w:hint="eastAsia" w:ascii="宋体" w:hAnsi="宋体"/>
                <w:sz w:val="24"/>
              </w:rPr>
              <w:t>从信息系统现有接口中可获取到的关键信息生成药学门诊基于SOAP规范的电子药历。</w:t>
            </w:r>
          </w:p>
        </w:tc>
      </w:tr>
      <w:tr w14:paraId="5426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right w:val="single" w:color="auto" w:sz="4" w:space="0"/>
            </w:tcBorders>
            <w:noWrap w:val="0"/>
            <w:vAlign w:val="top"/>
          </w:tcPr>
          <w:p w14:paraId="61ACD28F">
            <w:pPr>
              <w:spacing w:line="360" w:lineRule="auto"/>
              <w:rPr>
                <w:rFonts w:ascii="宋体" w:hAnsi="宋体"/>
                <w:sz w:val="24"/>
              </w:rPr>
            </w:pPr>
            <w:r>
              <w:rPr>
                <w:rFonts w:hint="eastAsia" w:ascii="宋体" w:hAnsi="宋体"/>
                <w:kern w:val="0"/>
                <w:sz w:val="24"/>
              </w:rPr>
              <w:t>▲</w:t>
            </w:r>
            <w:r>
              <w:rPr>
                <w:rFonts w:hint="eastAsia" w:ascii="宋体" w:hAnsi="宋体"/>
                <w:sz w:val="24"/>
              </w:rPr>
              <w:t>8</w:t>
            </w:r>
          </w:p>
        </w:tc>
        <w:tc>
          <w:tcPr>
            <w:tcW w:w="8448" w:type="dxa"/>
            <w:tcBorders>
              <w:top w:val="single" w:color="auto" w:sz="4" w:space="0"/>
              <w:left w:val="single" w:color="auto" w:sz="4" w:space="0"/>
              <w:bottom w:val="single" w:color="auto" w:sz="4" w:space="0"/>
              <w:right w:val="single" w:color="auto" w:sz="4" w:space="0"/>
            </w:tcBorders>
            <w:noWrap w:val="0"/>
            <w:vAlign w:val="top"/>
          </w:tcPr>
          <w:p w14:paraId="3B8F7C3D">
            <w:pPr>
              <w:spacing w:line="360" w:lineRule="auto"/>
              <w:rPr>
                <w:rFonts w:ascii="宋体" w:hAnsi="宋体"/>
                <w:sz w:val="24"/>
              </w:rPr>
            </w:pPr>
            <w:r>
              <w:rPr>
                <w:rFonts w:hint="eastAsia" w:ascii="宋体" w:hAnsi="宋体"/>
                <w:sz w:val="24"/>
              </w:rPr>
              <w:t>药物治疗评估</w:t>
            </w:r>
          </w:p>
          <w:p w14:paraId="707D01BC">
            <w:pPr>
              <w:spacing w:line="360" w:lineRule="auto"/>
              <w:rPr>
                <w:rFonts w:ascii="宋体" w:hAnsi="宋体"/>
                <w:sz w:val="24"/>
              </w:rPr>
            </w:pPr>
            <w:r>
              <w:rPr>
                <w:rFonts w:hint="eastAsia" w:ascii="宋体" w:hAnsi="宋体"/>
                <w:sz w:val="24"/>
                <w:lang w:eastAsia="zh-Hans"/>
              </w:rPr>
              <w:t>内置</w:t>
            </w:r>
            <w:r>
              <w:rPr>
                <w:rFonts w:hint="eastAsia" w:ascii="宋体" w:hAnsi="宋体"/>
                <w:sz w:val="24"/>
              </w:rPr>
              <w:t>系统</w:t>
            </w:r>
            <w:r>
              <w:rPr>
                <w:rFonts w:hint="eastAsia" w:ascii="宋体" w:hAnsi="宋体"/>
                <w:sz w:val="24"/>
                <w:lang w:eastAsia="zh-Hans"/>
              </w:rPr>
              <w:t>评估表，辅助药师快速完善患者主诉内容。内置肿瘤、咳喘、疼痛、精神、用药依从性、肝肾功能等专业评估量表，辅助药师快速掌握患者疾病控制情况并查阅</w:t>
            </w:r>
            <w:r>
              <w:rPr>
                <w:rFonts w:hint="eastAsia" w:ascii="宋体" w:hAnsi="宋体"/>
                <w:sz w:val="24"/>
              </w:rPr>
              <w:t>历史评估结果（选项、得分）</w:t>
            </w:r>
            <w:r>
              <w:rPr>
                <w:rFonts w:hint="eastAsia" w:ascii="宋体" w:hAnsi="宋体"/>
                <w:sz w:val="24"/>
                <w:lang w:eastAsia="zh-Hans"/>
              </w:rPr>
              <w:t>。</w:t>
            </w:r>
            <w:r>
              <w:rPr>
                <w:rFonts w:hint="eastAsia" w:ascii="宋体" w:hAnsi="宋体"/>
                <w:sz w:val="24"/>
              </w:rPr>
              <w:t>药师可依据安全性、有效性、适应性和依从性等维度分类记录药物治疗相关问题，并对历史问题的解决情况进行确认。</w:t>
            </w:r>
          </w:p>
        </w:tc>
      </w:tr>
      <w:tr w14:paraId="01BE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right w:val="single" w:color="auto" w:sz="4" w:space="0"/>
            </w:tcBorders>
            <w:noWrap w:val="0"/>
            <w:vAlign w:val="top"/>
          </w:tcPr>
          <w:p w14:paraId="3DAC9CE0">
            <w:pPr>
              <w:spacing w:line="360" w:lineRule="auto"/>
              <w:rPr>
                <w:rFonts w:ascii="宋体" w:hAnsi="宋体"/>
                <w:sz w:val="24"/>
              </w:rPr>
            </w:pPr>
            <w:r>
              <w:rPr>
                <w:rFonts w:hint="eastAsia" w:ascii="宋体" w:hAnsi="宋体"/>
                <w:kern w:val="0"/>
                <w:sz w:val="24"/>
              </w:rPr>
              <w:t>▲</w:t>
            </w:r>
            <w:r>
              <w:rPr>
                <w:rFonts w:ascii="宋体" w:hAnsi="宋体"/>
                <w:sz w:val="24"/>
              </w:rPr>
              <w:t>9</w:t>
            </w:r>
          </w:p>
        </w:tc>
        <w:tc>
          <w:tcPr>
            <w:tcW w:w="8448" w:type="dxa"/>
            <w:tcBorders>
              <w:top w:val="single" w:color="auto" w:sz="4" w:space="0"/>
              <w:left w:val="single" w:color="auto" w:sz="4" w:space="0"/>
              <w:bottom w:val="single" w:color="auto" w:sz="4" w:space="0"/>
              <w:right w:val="single" w:color="auto" w:sz="4" w:space="0"/>
            </w:tcBorders>
            <w:noWrap w:val="0"/>
            <w:vAlign w:val="top"/>
          </w:tcPr>
          <w:p w14:paraId="1030698D">
            <w:pPr>
              <w:spacing w:line="360" w:lineRule="auto"/>
              <w:rPr>
                <w:rFonts w:ascii="宋体" w:hAnsi="宋体"/>
                <w:sz w:val="24"/>
              </w:rPr>
            </w:pPr>
            <w:r>
              <w:rPr>
                <w:rFonts w:hint="eastAsia" w:ascii="宋体" w:hAnsi="宋体"/>
                <w:sz w:val="24"/>
              </w:rPr>
              <w:t>用药建议</w:t>
            </w:r>
          </w:p>
          <w:p w14:paraId="6D712B06">
            <w:pPr>
              <w:spacing w:line="360" w:lineRule="auto"/>
              <w:rPr>
                <w:rFonts w:ascii="宋体" w:hAnsi="宋体"/>
                <w:sz w:val="24"/>
                <w:lang w:eastAsia="zh-Hans"/>
              </w:rPr>
            </w:pPr>
            <w:r>
              <w:rPr>
                <w:rFonts w:hint="eastAsia" w:ascii="宋体" w:hAnsi="宋体"/>
                <w:sz w:val="24"/>
                <w:lang w:eastAsia="zh-Hans"/>
              </w:rPr>
              <w:t>内置依据循证证据的药学知识库，</w:t>
            </w:r>
            <w:r>
              <w:rPr>
                <w:rFonts w:hint="eastAsia" w:ascii="宋体" w:hAnsi="宋体"/>
                <w:bCs/>
                <w:sz w:val="24"/>
              </w:rPr>
              <w:t>至少</w:t>
            </w:r>
            <w:r>
              <w:rPr>
                <w:rFonts w:hint="eastAsia" w:ascii="宋体" w:hAnsi="宋体"/>
                <w:sz w:val="24"/>
              </w:rPr>
              <w:t>包含</w:t>
            </w:r>
            <w:r>
              <w:rPr>
                <w:rFonts w:hint="eastAsia" w:ascii="宋体" w:hAnsi="宋体"/>
                <w:sz w:val="24"/>
                <w:lang w:eastAsia="zh-Hans"/>
              </w:rPr>
              <w:t>药物</w:t>
            </w:r>
            <w:r>
              <w:rPr>
                <w:rFonts w:hint="eastAsia" w:ascii="宋体" w:hAnsi="宋体"/>
                <w:sz w:val="24"/>
              </w:rPr>
              <w:t>-药</w:t>
            </w:r>
            <w:r>
              <w:rPr>
                <w:rFonts w:hint="eastAsia" w:ascii="宋体" w:hAnsi="宋体"/>
                <w:sz w:val="24"/>
                <w:lang w:eastAsia="zh-Hans"/>
              </w:rPr>
              <w:t>物</w:t>
            </w:r>
            <w:r>
              <w:rPr>
                <w:rFonts w:hint="eastAsia" w:ascii="宋体" w:hAnsi="宋体"/>
                <w:sz w:val="24"/>
              </w:rPr>
              <w:t>、药物-食物</w:t>
            </w:r>
            <w:r>
              <w:rPr>
                <w:rFonts w:hint="eastAsia" w:ascii="宋体" w:hAnsi="宋体"/>
                <w:sz w:val="24"/>
                <w:lang w:eastAsia="zh-Hans"/>
              </w:rPr>
              <w:t>联用风险审查、老年用药风险提示、妊娠哺乳用药建议、肝肾功能不全剂量调整、给药说明、用药警示、监护要点决策支持内容，匹配患者</w:t>
            </w:r>
            <w:r>
              <w:rPr>
                <w:rFonts w:hint="eastAsia" w:ascii="宋体" w:hAnsi="宋体"/>
                <w:sz w:val="24"/>
              </w:rPr>
              <w:t>诊疗</w:t>
            </w:r>
            <w:r>
              <w:rPr>
                <w:rFonts w:hint="eastAsia" w:ascii="宋体" w:hAnsi="宋体"/>
                <w:sz w:val="24"/>
                <w:lang w:eastAsia="zh-Hans"/>
              </w:rPr>
              <w:t>情况输出建议。</w:t>
            </w:r>
            <w:r>
              <w:rPr>
                <w:rFonts w:hint="eastAsia" w:ascii="宋体" w:hAnsi="宋体"/>
                <w:sz w:val="24"/>
              </w:rPr>
              <w:t>相互作用和不良反应建议可快速导入药物治疗相关问题列表。（提供系统截图）</w:t>
            </w:r>
          </w:p>
        </w:tc>
      </w:tr>
      <w:tr w14:paraId="510B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right w:val="single" w:color="auto" w:sz="4" w:space="0"/>
            </w:tcBorders>
            <w:noWrap w:val="0"/>
            <w:vAlign w:val="top"/>
          </w:tcPr>
          <w:p w14:paraId="19A6E192">
            <w:pPr>
              <w:spacing w:line="360" w:lineRule="auto"/>
              <w:rPr>
                <w:rFonts w:ascii="宋体" w:hAnsi="宋体"/>
                <w:sz w:val="24"/>
              </w:rPr>
            </w:pPr>
            <w:r>
              <w:rPr>
                <w:rFonts w:hint="eastAsia" w:ascii="宋体" w:hAnsi="宋体"/>
                <w:kern w:val="0"/>
                <w:sz w:val="24"/>
              </w:rPr>
              <w:t>▲</w:t>
            </w:r>
            <w:r>
              <w:rPr>
                <w:rFonts w:ascii="宋体" w:hAnsi="宋体"/>
                <w:sz w:val="24"/>
              </w:rPr>
              <w:t>10</w:t>
            </w:r>
          </w:p>
        </w:tc>
        <w:tc>
          <w:tcPr>
            <w:tcW w:w="8448" w:type="dxa"/>
            <w:tcBorders>
              <w:top w:val="single" w:color="auto" w:sz="4" w:space="0"/>
              <w:left w:val="single" w:color="auto" w:sz="4" w:space="0"/>
              <w:bottom w:val="single" w:color="auto" w:sz="4" w:space="0"/>
              <w:right w:val="single" w:color="auto" w:sz="4" w:space="0"/>
            </w:tcBorders>
            <w:noWrap w:val="0"/>
            <w:vAlign w:val="top"/>
          </w:tcPr>
          <w:p w14:paraId="163B9487">
            <w:pPr>
              <w:spacing w:line="360" w:lineRule="auto"/>
              <w:rPr>
                <w:rFonts w:ascii="宋体" w:hAnsi="宋体"/>
                <w:sz w:val="24"/>
                <w:lang w:eastAsia="zh-Hans"/>
              </w:rPr>
            </w:pPr>
            <w:r>
              <w:rPr>
                <w:rFonts w:hint="eastAsia" w:ascii="宋体" w:hAnsi="宋体"/>
                <w:sz w:val="24"/>
                <w:lang w:eastAsia="zh-Hans"/>
              </w:rPr>
              <w:t>不良反应识别</w:t>
            </w:r>
          </w:p>
          <w:p w14:paraId="0370649E">
            <w:pPr>
              <w:spacing w:line="360" w:lineRule="auto"/>
              <w:rPr>
                <w:rFonts w:ascii="宋体" w:hAnsi="宋体"/>
                <w:sz w:val="24"/>
                <w:lang w:eastAsia="zh-Hans"/>
              </w:rPr>
            </w:pPr>
            <w:r>
              <w:rPr>
                <w:rFonts w:hint="eastAsia" w:ascii="宋体" w:hAnsi="宋体"/>
                <w:sz w:val="24"/>
                <w:lang w:eastAsia="zh-Hans"/>
              </w:rPr>
              <w:t>内置</w:t>
            </w:r>
            <w:r>
              <w:rPr>
                <w:rFonts w:hint="eastAsia" w:ascii="宋体" w:hAnsi="宋体"/>
                <w:sz w:val="24"/>
              </w:rPr>
              <w:t>不良反应</w:t>
            </w:r>
            <w:r>
              <w:rPr>
                <w:rFonts w:hint="eastAsia" w:ascii="宋体" w:hAnsi="宋体"/>
                <w:sz w:val="24"/>
                <w:lang w:eastAsia="zh-Hans"/>
              </w:rPr>
              <w:t>知识库，药物不良反应数据</w:t>
            </w:r>
            <w:r>
              <w:rPr>
                <w:rFonts w:hint="eastAsia" w:ascii="宋体" w:hAnsi="宋体"/>
                <w:sz w:val="24"/>
              </w:rPr>
              <w:t>来</w:t>
            </w:r>
            <w:r>
              <w:rPr>
                <w:rFonts w:hint="eastAsia" w:ascii="宋体" w:hAnsi="宋体"/>
                <w:sz w:val="24"/>
                <w:lang w:eastAsia="zh-Hans"/>
              </w:rPr>
              <w:t>自</w:t>
            </w:r>
            <w:r>
              <w:rPr>
                <w:rFonts w:hint="eastAsia" w:ascii="宋体" w:hAnsi="宋体"/>
                <w:sz w:val="24"/>
              </w:rPr>
              <w:t>个例安全性上报系统，可提示与患者主诉和检验结果内容具有关联性的项目，同时支持药师查询数据库中的上报率数据、患者用药常见不良反应和处理方案以及通报和警戒内容。</w:t>
            </w:r>
          </w:p>
        </w:tc>
      </w:tr>
      <w:tr w14:paraId="4107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right w:val="single" w:color="auto" w:sz="4" w:space="0"/>
            </w:tcBorders>
            <w:noWrap w:val="0"/>
            <w:vAlign w:val="top"/>
          </w:tcPr>
          <w:p w14:paraId="418FAD6E">
            <w:pPr>
              <w:spacing w:line="360" w:lineRule="auto"/>
              <w:rPr>
                <w:rFonts w:ascii="宋体" w:hAnsi="宋体"/>
                <w:sz w:val="24"/>
              </w:rPr>
            </w:pPr>
            <w:r>
              <w:rPr>
                <w:rFonts w:hint="eastAsia" w:ascii="宋体" w:hAnsi="宋体"/>
                <w:kern w:val="0"/>
                <w:sz w:val="24"/>
              </w:rPr>
              <w:t>▲</w:t>
            </w:r>
            <w:r>
              <w:rPr>
                <w:rFonts w:hint="eastAsia" w:ascii="宋体" w:hAnsi="宋体"/>
                <w:sz w:val="24"/>
              </w:rPr>
              <w:t>11</w:t>
            </w:r>
          </w:p>
        </w:tc>
        <w:tc>
          <w:tcPr>
            <w:tcW w:w="8448" w:type="dxa"/>
            <w:tcBorders>
              <w:top w:val="single" w:color="auto" w:sz="4" w:space="0"/>
              <w:left w:val="single" w:color="auto" w:sz="4" w:space="0"/>
              <w:bottom w:val="single" w:color="auto" w:sz="4" w:space="0"/>
              <w:right w:val="single" w:color="auto" w:sz="4" w:space="0"/>
            </w:tcBorders>
            <w:noWrap w:val="0"/>
            <w:vAlign w:val="top"/>
          </w:tcPr>
          <w:p w14:paraId="0959DEAD">
            <w:pPr>
              <w:spacing w:line="360" w:lineRule="auto"/>
              <w:rPr>
                <w:rFonts w:ascii="宋体" w:hAnsi="宋体"/>
                <w:sz w:val="24"/>
                <w:lang w:eastAsia="zh-Hans"/>
              </w:rPr>
            </w:pPr>
            <w:r>
              <w:rPr>
                <w:rFonts w:hint="eastAsia" w:ascii="宋体" w:hAnsi="宋体"/>
                <w:sz w:val="24"/>
                <w:lang w:eastAsia="zh-Hans"/>
              </w:rPr>
              <w:t>知识查询</w:t>
            </w:r>
          </w:p>
          <w:p w14:paraId="7A3A68DD">
            <w:pPr>
              <w:spacing w:line="360" w:lineRule="auto"/>
              <w:rPr>
                <w:rFonts w:ascii="宋体" w:hAnsi="宋体"/>
                <w:sz w:val="24"/>
                <w:lang w:eastAsia="zh-Hans"/>
              </w:rPr>
            </w:pPr>
            <w:r>
              <w:rPr>
                <w:rFonts w:hint="eastAsia" w:ascii="宋体" w:hAnsi="宋体"/>
                <w:sz w:val="24"/>
                <w:lang w:eastAsia="zh-Hans"/>
              </w:rPr>
              <w:t>提供药品说明书、</w:t>
            </w:r>
            <w:r>
              <w:rPr>
                <w:rFonts w:hint="eastAsia" w:ascii="宋体" w:hAnsi="宋体"/>
                <w:sz w:val="24"/>
              </w:rPr>
              <w:t>特殊</w:t>
            </w:r>
            <w:r>
              <w:rPr>
                <w:rFonts w:hint="eastAsia" w:ascii="宋体" w:hAnsi="宋体"/>
                <w:sz w:val="24"/>
                <w:lang w:eastAsia="zh-Hans"/>
              </w:rPr>
              <w:t>给药装置操作手册和视频、常用医药公式、抗栓评估工具、肿瘤诊疗方案、药物相互作用、中药方解</w:t>
            </w:r>
            <w:r>
              <w:rPr>
                <w:rFonts w:hint="eastAsia" w:ascii="宋体" w:hAnsi="宋体"/>
                <w:sz w:val="24"/>
              </w:rPr>
              <w:t>、血药浓度检测建议（至少包含治疗窗、检测指征、检测要点）、药物基因检测建议(至少包含PharmaGKB、CPIC、DPWG数据库中与基因、表型及临床推荐等相关的内容）、用药精简</w:t>
            </w:r>
            <w:r>
              <w:rPr>
                <w:rFonts w:hint="eastAsia" w:ascii="宋体" w:hAnsi="宋体"/>
                <w:sz w:val="24"/>
                <w:lang w:eastAsia="zh-Hans"/>
              </w:rPr>
              <w:t>知识库的查询功能。</w:t>
            </w:r>
            <w:r>
              <w:rPr>
                <w:rFonts w:hint="eastAsia" w:ascii="宋体" w:hAnsi="宋体"/>
                <w:sz w:val="24"/>
              </w:rPr>
              <w:t>（提供系统截图）</w:t>
            </w:r>
          </w:p>
        </w:tc>
      </w:tr>
      <w:tr w14:paraId="1B20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right w:val="single" w:color="auto" w:sz="4" w:space="0"/>
            </w:tcBorders>
            <w:noWrap w:val="0"/>
            <w:vAlign w:val="top"/>
          </w:tcPr>
          <w:p w14:paraId="5C0F896B">
            <w:pPr>
              <w:spacing w:line="360" w:lineRule="auto"/>
              <w:rPr>
                <w:rFonts w:ascii="宋体" w:hAnsi="宋体"/>
                <w:sz w:val="24"/>
              </w:rPr>
            </w:pPr>
            <w:r>
              <w:rPr>
                <w:rFonts w:hint="eastAsia" w:ascii="宋体" w:hAnsi="宋体"/>
                <w:sz w:val="24"/>
              </w:rPr>
              <w:t>1</w:t>
            </w:r>
            <w:r>
              <w:rPr>
                <w:rFonts w:ascii="宋体" w:hAnsi="宋体"/>
                <w:sz w:val="24"/>
              </w:rPr>
              <w:t>2</w:t>
            </w:r>
          </w:p>
        </w:tc>
        <w:tc>
          <w:tcPr>
            <w:tcW w:w="8448" w:type="dxa"/>
            <w:tcBorders>
              <w:top w:val="single" w:color="auto" w:sz="4" w:space="0"/>
              <w:left w:val="single" w:color="auto" w:sz="4" w:space="0"/>
              <w:bottom w:val="single" w:color="auto" w:sz="4" w:space="0"/>
              <w:right w:val="single" w:color="auto" w:sz="4" w:space="0"/>
            </w:tcBorders>
            <w:noWrap w:val="0"/>
            <w:vAlign w:val="top"/>
          </w:tcPr>
          <w:p w14:paraId="4A75E062">
            <w:pPr>
              <w:spacing w:line="360" w:lineRule="auto"/>
              <w:rPr>
                <w:rFonts w:ascii="宋体" w:hAnsi="宋体"/>
                <w:sz w:val="24"/>
              </w:rPr>
            </w:pPr>
            <w:r>
              <w:rPr>
                <w:rFonts w:hint="eastAsia" w:ascii="宋体" w:hAnsi="宋体"/>
                <w:sz w:val="24"/>
              </w:rPr>
              <w:t>统计分析</w:t>
            </w:r>
          </w:p>
          <w:p w14:paraId="797186A3">
            <w:pPr>
              <w:spacing w:line="360" w:lineRule="auto"/>
              <w:rPr>
                <w:rFonts w:ascii="宋体" w:hAnsi="宋体"/>
                <w:sz w:val="24"/>
              </w:rPr>
            </w:pPr>
            <w:r>
              <w:rPr>
                <w:rFonts w:hint="eastAsia" w:ascii="宋体" w:hAnsi="宋体"/>
                <w:sz w:val="24"/>
              </w:rPr>
              <w:t>可实现工作量、药物治疗问题、行动计划等分类统计。</w:t>
            </w:r>
          </w:p>
        </w:tc>
      </w:tr>
      <w:tr w14:paraId="57D1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bottom w:val="single" w:color="auto" w:sz="4" w:space="0"/>
              <w:right w:val="single" w:color="auto" w:sz="4" w:space="0"/>
            </w:tcBorders>
            <w:noWrap w:val="0"/>
            <w:vAlign w:val="top"/>
          </w:tcPr>
          <w:p w14:paraId="154B4822">
            <w:pPr>
              <w:spacing w:line="360" w:lineRule="auto"/>
              <w:rPr>
                <w:rFonts w:ascii="宋体" w:hAnsi="宋体"/>
                <w:sz w:val="24"/>
              </w:rPr>
            </w:pPr>
            <w:r>
              <w:rPr>
                <w:rFonts w:hint="eastAsia" w:ascii="宋体" w:hAnsi="宋体"/>
                <w:sz w:val="24"/>
              </w:rPr>
              <w:t>1</w:t>
            </w:r>
            <w:r>
              <w:rPr>
                <w:rFonts w:ascii="宋体" w:hAnsi="宋体"/>
                <w:sz w:val="24"/>
              </w:rPr>
              <w:t>3</w:t>
            </w:r>
          </w:p>
        </w:tc>
        <w:tc>
          <w:tcPr>
            <w:tcW w:w="8448" w:type="dxa"/>
            <w:tcBorders>
              <w:top w:val="single" w:color="auto" w:sz="4" w:space="0"/>
              <w:left w:val="single" w:color="auto" w:sz="4" w:space="0"/>
              <w:bottom w:val="single" w:color="auto" w:sz="4" w:space="0"/>
              <w:right w:val="single" w:color="auto" w:sz="4" w:space="0"/>
            </w:tcBorders>
            <w:noWrap w:val="0"/>
            <w:vAlign w:val="top"/>
          </w:tcPr>
          <w:p w14:paraId="3A1AEFF1">
            <w:pPr>
              <w:spacing w:line="360" w:lineRule="auto"/>
              <w:rPr>
                <w:rFonts w:ascii="宋体" w:hAnsi="宋体"/>
                <w:sz w:val="24"/>
              </w:rPr>
            </w:pPr>
            <w:r>
              <w:rPr>
                <w:rFonts w:hint="eastAsia" w:ascii="宋体" w:hAnsi="宋体"/>
                <w:sz w:val="24"/>
                <w:lang w:eastAsia="zh-Hans"/>
              </w:rPr>
              <w:t>患者端(</w:t>
            </w:r>
            <w:r>
              <w:rPr>
                <w:rFonts w:hint="eastAsia" w:ascii="宋体" w:hAnsi="宋体"/>
                <w:sz w:val="24"/>
              </w:rPr>
              <w:t>居家随访小程序)</w:t>
            </w:r>
          </w:p>
          <w:p w14:paraId="561140EC">
            <w:pPr>
              <w:spacing w:line="360" w:lineRule="auto"/>
              <w:rPr>
                <w:rFonts w:ascii="宋体" w:hAnsi="宋体"/>
                <w:sz w:val="24"/>
                <w:lang w:eastAsia="zh-Hans"/>
              </w:rPr>
            </w:pPr>
            <w:r>
              <w:rPr>
                <w:rFonts w:hint="eastAsia" w:ascii="宋体" w:hAnsi="宋体"/>
                <w:sz w:val="24"/>
                <w:lang w:eastAsia="zh-Hans"/>
              </w:rPr>
              <w:t>实现与药师的签约制管理，上传用药清单、生活方式信息、诊断和化验单，通过拍照药盒或处方</w:t>
            </w:r>
            <w:r>
              <w:rPr>
                <w:rFonts w:hint="eastAsia" w:ascii="宋体" w:hAnsi="宋体"/>
                <w:sz w:val="24"/>
              </w:rPr>
              <w:t>识别</w:t>
            </w:r>
            <w:r>
              <w:rPr>
                <w:rFonts w:hint="eastAsia" w:ascii="宋体" w:hAnsi="宋体"/>
                <w:sz w:val="24"/>
                <w:lang w:eastAsia="zh-Hans"/>
              </w:rPr>
              <w:t>药品名称；实现图文和语音形式的在线咨询；接收药师的随访提醒并按随访项目反馈随访数据；接收用药时间提醒；接收</w:t>
            </w:r>
            <w:r>
              <w:rPr>
                <w:rFonts w:hint="eastAsia" w:ascii="宋体" w:hAnsi="宋体"/>
                <w:sz w:val="24"/>
              </w:rPr>
              <w:t>个性化</w:t>
            </w:r>
            <w:r>
              <w:rPr>
                <w:rFonts w:hint="eastAsia" w:ascii="宋体" w:hAnsi="宋体"/>
                <w:sz w:val="24"/>
                <w:lang w:eastAsia="zh-Hans"/>
              </w:rPr>
              <w:t>用药教育和健康指导（</w:t>
            </w:r>
            <w:r>
              <w:rPr>
                <w:rFonts w:hint="eastAsia" w:ascii="宋体" w:hAnsi="宋体"/>
                <w:sz w:val="24"/>
              </w:rPr>
              <w:t>视频图文</w:t>
            </w:r>
            <w:r>
              <w:rPr>
                <w:rFonts w:hint="eastAsia" w:ascii="宋体" w:hAnsi="宋体"/>
                <w:sz w:val="24"/>
                <w:lang w:eastAsia="zh-Hans"/>
              </w:rPr>
              <w:t>、语音朗读）；上传血糖、血压、PEF等监测数据，可对接</w:t>
            </w:r>
            <w:r>
              <w:rPr>
                <w:rFonts w:hint="eastAsia" w:ascii="宋体" w:hAnsi="宋体"/>
                <w:sz w:val="24"/>
              </w:rPr>
              <w:t>智能</w:t>
            </w:r>
            <w:r>
              <w:rPr>
                <w:rFonts w:hint="eastAsia" w:ascii="宋体" w:hAnsi="宋体"/>
                <w:sz w:val="24"/>
                <w:lang w:eastAsia="zh-Hans"/>
              </w:rPr>
              <w:t>设备实现数据自动采集。</w:t>
            </w:r>
          </w:p>
        </w:tc>
      </w:tr>
      <w:tr w14:paraId="3813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bottom w:val="single" w:color="auto" w:sz="4" w:space="0"/>
              <w:right w:val="single" w:color="auto" w:sz="4" w:space="0"/>
            </w:tcBorders>
            <w:noWrap w:val="0"/>
            <w:vAlign w:val="top"/>
          </w:tcPr>
          <w:p w14:paraId="6E4E9E07">
            <w:pPr>
              <w:spacing w:line="360" w:lineRule="auto"/>
              <w:rPr>
                <w:rFonts w:ascii="宋体" w:hAnsi="宋体"/>
                <w:sz w:val="24"/>
              </w:rPr>
            </w:pPr>
            <w:r>
              <w:rPr>
                <w:rFonts w:hint="eastAsia" w:ascii="宋体" w:hAnsi="宋体"/>
                <w:sz w:val="24"/>
              </w:rPr>
              <w:t>1</w:t>
            </w:r>
            <w:r>
              <w:rPr>
                <w:rFonts w:ascii="宋体" w:hAnsi="宋体"/>
                <w:sz w:val="24"/>
              </w:rPr>
              <w:t>4</w:t>
            </w:r>
          </w:p>
        </w:tc>
        <w:tc>
          <w:tcPr>
            <w:tcW w:w="8448" w:type="dxa"/>
            <w:tcBorders>
              <w:top w:val="single" w:color="auto" w:sz="4" w:space="0"/>
              <w:left w:val="single" w:color="auto" w:sz="4" w:space="0"/>
              <w:bottom w:val="single" w:color="auto" w:sz="4" w:space="0"/>
              <w:right w:val="single" w:color="auto" w:sz="4" w:space="0"/>
            </w:tcBorders>
            <w:noWrap w:val="0"/>
            <w:vAlign w:val="top"/>
          </w:tcPr>
          <w:p w14:paraId="4654D3EE">
            <w:pPr>
              <w:spacing w:line="360" w:lineRule="auto"/>
              <w:rPr>
                <w:rFonts w:ascii="宋体" w:hAnsi="宋体"/>
                <w:sz w:val="24"/>
                <w:lang w:eastAsia="zh-Hans"/>
              </w:rPr>
            </w:pPr>
            <w:r>
              <w:rPr>
                <w:rFonts w:hint="eastAsia" w:ascii="宋体" w:hAnsi="宋体"/>
                <w:sz w:val="24"/>
                <w:lang w:eastAsia="zh-Hans"/>
              </w:rPr>
              <w:t>医疗端(</w:t>
            </w:r>
            <w:r>
              <w:rPr>
                <w:rFonts w:hint="eastAsia" w:ascii="宋体" w:hAnsi="宋体"/>
                <w:sz w:val="24"/>
              </w:rPr>
              <w:t>居家随访小程序)</w:t>
            </w:r>
          </w:p>
          <w:p w14:paraId="444F7220">
            <w:pPr>
              <w:spacing w:line="360" w:lineRule="auto"/>
              <w:rPr>
                <w:rFonts w:ascii="宋体" w:hAnsi="宋体"/>
                <w:sz w:val="24"/>
              </w:rPr>
            </w:pPr>
            <w:r>
              <w:rPr>
                <w:rFonts w:hint="eastAsia" w:ascii="宋体" w:hAnsi="宋体"/>
                <w:sz w:val="24"/>
              </w:rPr>
              <w:t>医生/药师</w:t>
            </w:r>
            <w:r>
              <w:rPr>
                <w:rFonts w:hint="eastAsia" w:ascii="宋体" w:hAnsi="宋体"/>
                <w:sz w:val="24"/>
                <w:lang w:eastAsia="zh-Hans"/>
              </w:rPr>
              <w:t>可查看和反馈签约患者上传的各类医疗信息、随访数据、监测数据和咨询问题，</w:t>
            </w:r>
            <w:r>
              <w:rPr>
                <w:rFonts w:hint="eastAsia" w:ascii="宋体" w:hAnsi="宋体"/>
                <w:sz w:val="24"/>
              </w:rPr>
              <w:t>展示</w:t>
            </w:r>
            <w:r>
              <w:rPr>
                <w:rFonts w:hint="eastAsia" w:ascii="宋体" w:hAnsi="宋体"/>
                <w:sz w:val="24"/>
                <w:lang w:eastAsia="zh-Hans"/>
              </w:rPr>
              <w:t>历史趋势；实现与患者的即时交互；对漏服等依从性情况进行统计；查询相互作用、医药公式、药品说明书和工作量</w:t>
            </w:r>
            <w:r>
              <w:rPr>
                <w:rFonts w:hint="eastAsia" w:ascii="宋体" w:hAnsi="宋体"/>
                <w:sz w:val="24"/>
              </w:rPr>
              <w:t>等信息</w:t>
            </w:r>
            <w:r>
              <w:rPr>
                <w:rFonts w:hint="eastAsia" w:ascii="宋体" w:hAnsi="宋体"/>
                <w:sz w:val="24"/>
                <w:lang w:eastAsia="zh-Hans"/>
              </w:rPr>
              <w:t>。</w:t>
            </w:r>
          </w:p>
        </w:tc>
      </w:tr>
      <w:tr w14:paraId="762A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bottom w:val="single" w:color="auto" w:sz="4" w:space="0"/>
              <w:right w:val="single" w:color="auto" w:sz="4" w:space="0"/>
            </w:tcBorders>
            <w:noWrap w:val="0"/>
            <w:vAlign w:val="top"/>
          </w:tcPr>
          <w:p w14:paraId="51759F00">
            <w:pPr>
              <w:spacing w:line="360" w:lineRule="auto"/>
              <w:rPr>
                <w:rFonts w:ascii="宋体" w:hAnsi="宋体"/>
                <w:sz w:val="24"/>
              </w:rPr>
            </w:pPr>
            <w:r>
              <w:rPr>
                <w:rFonts w:hint="eastAsia" w:ascii="宋体" w:hAnsi="宋体"/>
                <w:sz w:val="24"/>
              </w:rPr>
              <w:t>15</w:t>
            </w:r>
          </w:p>
        </w:tc>
        <w:tc>
          <w:tcPr>
            <w:tcW w:w="8448" w:type="dxa"/>
            <w:tcBorders>
              <w:top w:val="single" w:color="auto" w:sz="4" w:space="0"/>
              <w:left w:val="single" w:color="auto" w:sz="4" w:space="0"/>
              <w:bottom w:val="single" w:color="auto" w:sz="4" w:space="0"/>
              <w:right w:val="single" w:color="auto" w:sz="4" w:space="0"/>
            </w:tcBorders>
            <w:noWrap w:val="0"/>
            <w:vAlign w:val="top"/>
          </w:tcPr>
          <w:p w14:paraId="2DA9142D">
            <w:pPr>
              <w:spacing w:line="360" w:lineRule="auto"/>
              <w:rPr>
                <w:rFonts w:ascii="宋体" w:hAnsi="宋体"/>
                <w:sz w:val="24"/>
              </w:rPr>
            </w:pPr>
            <w:r>
              <w:rPr>
                <w:rFonts w:hint="eastAsia" w:ascii="宋体" w:hAnsi="宋体"/>
                <w:sz w:val="24"/>
                <w:szCs w:val="21"/>
              </w:rPr>
              <w:t>药学服务大模型</w:t>
            </w:r>
          </w:p>
          <w:p w14:paraId="5F2B190D">
            <w:pPr>
              <w:spacing w:line="360" w:lineRule="auto"/>
              <w:rPr>
                <w:rFonts w:ascii="宋体" w:hAnsi="宋体"/>
                <w:sz w:val="24"/>
                <w:lang w:val="es-AR"/>
              </w:rPr>
            </w:pPr>
            <w:r>
              <w:rPr>
                <w:rFonts w:hint="eastAsia" w:ascii="宋体" w:hAnsi="宋体"/>
                <w:sz w:val="24"/>
                <w:lang w:val="es-AR"/>
              </w:rPr>
              <w:t>依托于院内本地部署的DeepSeek基座，构建药学专业数据集完成检索增强生成，实现信息源追溯，搭载于</w:t>
            </w:r>
            <w:r>
              <w:rPr>
                <w:rFonts w:hint="eastAsia" w:ascii="宋体" w:hAnsi="宋体"/>
                <w:sz w:val="24"/>
              </w:rPr>
              <w:t>模块中</w:t>
            </w:r>
            <w:r>
              <w:rPr>
                <w:rFonts w:hint="eastAsia" w:ascii="宋体" w:hAnsi="宋体"/>
                <w:sz w:val="24"/>
                <w:lang w:val="es-AR"/>
              </w:rPr>
              <w:t>即时回答各类临床用药问题并提供参考来源。</w:t>
            </w:r>
          </w:p>
        </w:tc>
      </w:tr>
      <w:tr w14:paraId="3C44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bottom w:val="single" w:color="auto" w:sz="4" w:space="0"/>
              <w:right w:val="single" w:color="auto" w:sz="4" w:space="0"/>
            </w:tcBorders>
            <w:noWrap w:val="0"/>
            <w:vAlign w:val="top"/>
          </w:tcPr>
          <w:p w14:paraId="7CA9B129">
            <w:pPr>
              <w:spacing w:line="360" w:lineRule="auto"/>
              <w:rPr>
                <w:rFonts w:ascii="宋体" w:hAnsi="宋体"/>
                <w:sz w:val="24"/>
              </w:rPr>
            </w:pPr>
            <w:r>
              <w:rPr>
                <w:rFonts w:hint="eastAsia" w:ascii="宋体" w:hAnsi="宋体"/>
                <w:sz w:val="24"/>
              </w:rPr>
              <w:t>16</w:t>
            </w:r>
          </w:p>
        </w:tc>
        <w:tc>
          <w:tcPr>
            <w:tcW w:w="8448" w:type="dxa"/>
            <w:tcBorders>
              <w:top w:val="single" w:color="auto" w:sz="4" w:space="0"/>
              <w:left w:val="single" w:color="auto" w:sz="4" w:space="0"/>
              <w:bottom w:val="single" w:color="auto" w:sz="4" w:space="0"/>
              <w:right w:val="single" w:color="auto" w:sz="4" w:space="0"/>
            </w:tcBorders>
            <w:noWrap w:val="0"/>
            <w:vAlign w:val="top"/>
          </w:tcPr>
          <w:p w14:paraId="0ED2F9DE">
            <w:pPr>
              <w:spacing w:line="360" w:lineRule="auto"/>
              <w:rPr>
                <w:rFonts w:ascii="宋体" w:hAnsi="宋体"/>
                <w:sz w:val="24"/>
                <w:lang w:val="es-AR"/>
              </w:rPr>
            </w:pPr>
            <w:r>
              <w:rPr>
                <w:rFonts w:hint="eastAsia" w:ascii="宋体" w:hAnsi="宋体"/>
                <w:sz w:val="24"/>
                <w:lang w:val="es-AR"/>
              </w:rPr>
              <w:t>数据加密存储与传输</w:t>
            </w:r>
          </w:p>
          <w:p w14:paraId="56B5AF70">
            <w:pPr>
              <w:spacing w:line="360" w:lineRule="auto"/>
              <w:rPr>
                <w:rFonts w:ascii="宋体" w:hAnsi="宋体"/>
                <w:sz w:val="24"/>
                <w:lang w:val="es-AR"/>
              </w:rPr>
            </w:pPr>
            <w:r>
              <w:rPr>
                <w:rFonts w:ascii="宋体" w:hAnsi="宋体"/>
                <w:sz w:val="24"/>
                <w:lang w:val="es-AR"/>
              </w:rPr>
              <w:t>为保证数据安全性，账户信息、患者信息、诊疗数据</w:t>
            </w:r>
            <w:r>
              <w:rPr>
                <w:rFonts w:hint="eastAsia" w:ascii="宋体" w:hAnsi="宋体"/>
                <w:sz w:val="24"/>
                <w:lang w:val="es-AR"/>
              </w:rPr>
              <w:t>要求</w:t>
            </w:r>
            <w:r>
              <w:rPr>
                <w:rFonts w:ascii="宋体" w:hAnsi="宋体"/>
                <w:sz w:val="24"/>
                <w:lang w:val="es-AR"/>
              </w:rPr>
              <w:t>采用RSA和AES加密方式进行实时加解密</w:t>
            </w:r>
            <w:r>
              <w:rPr>
                <w:rFonts w:hint="eastAsia" w:ascii="宋体" w:hAnsi="宋体"/>
                <w:sz w:val="24"/>
                <w:lang w:val="es-AR"/>
              </w:rPr>
              <w:t>。</w:t>
            </w:r>
          </w:p>
        </w:tc>
      </w:tr>
    </w:tbl>
    <w:p w14:paraId="384D8A34">
      <w:pPr>
        <w:spacing w:line="360" w:lineRule="auto"/>
        <w:rPr>
          <w:rFonts w:ascii="宋体" w:hAnsi="宋体"/>
          <w:sz w:val="24"/>
          <w:szCs w:val="21"/>
        </w:rPr>
      </w:pPr>
    </w:p>
    <w:p w14:paraId="565ECDBC">
      <w:pPr>
        <w:spacing w:line="360" w:lineRule="auto"/>
        <w:rPr>
          <w:rFonts w:ascii="宋体" w:hAnsi="宋体"/>
          <w:sz w:val="24"/>
          <w:szCs w:val="21"/>
        </w:rPr>
      </w:pPr>
      <w:r>
        <w:rPr>
          <w:rFonts w:hint="eastAsia" w:ascii="宋体" w:hAnsi="宋体"/>
          <w:sz w:val="24"/>
          <w:szCs w:val="21"/>
        </w:rPr>
        <w:t>2、住院药学监护模块</w:t>
      </w:r>
    </w:p>
    <w:tbl>
      <w:tblPr>
        <w:tblStyle w:val="9"/>
        <w:tblW w:w="9564"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463"/>
      </w:tblGrid>
      <w:tr w14:paraId="72D6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bottom w:val="single" w:color="auto" w:sz="4" w:space="0"/>
              <w:right w:val="single" w:color="auto" w:sz="4" w:space="0"/>
            </w:tcBorders>
            <w:noWrap w:val="0"/>
            <w:vAlign w:val="top"/>
          </w:tcPr>
          <w:p w14:paraId="56B9173A">
            <w:pPr>
              <w:spacing w:line="360" w:lineRule="auto"/>
              <w:jc w:val="center"/>
              <w:rPr>
                <w:rFonts w:ascii="宋体" w:hAnsi="宋体"/>
                <w:sz w:val="24"/>
                <w:lang w:bidi="ne-NP"/>
              </w:rPr>
            </w:pPr>
            <w:r>
              <w:rPr>
                <w:rFonts w:hint="eastAsia" w:ascii="宋体" w:hAnsi="宋体"/>
                <w:sz w:val="24"/>
                <w:lang w:bidi="ne-NP"/>
              </w:rPr>
              <w:t>序号</w:t>
            </w:r>
          </w:p>
        </w:tc>
        <w:tc>
          <w:tcPr>
            <w:tcW w:w="8463" w:type="dxa"/>
            <w:tcBorders>
              <w:top w:val="single" w:color="auto" w:sz="4" w:space="0"/>
              <w:left w:val="single" w:color="auto" w:sz="4" w:space="0"/>
              <w:bottom w:val="single" w:color="auto" w:sz="4" w:space="0"/>
              <w:right w:val="single" w:color="auto" w:sz="4" w:space="0"/>
            </w:tcBorders>
            <w:noWrap w:val="0"/>
            <w:vAlign w:val="top"/>
          </w:tcPr>
          <w:p w14:paraId="2C282697">
            <w:pPr>
              <w:spacing w:line="360" w:lineRule="auto"/>
              <w:jc w:val="center"/>
              <w:rPr>
                <w:rFonts w:ascii="宋体" w:hAnsi="宋体"/>
                <w:sz w:val="24"/>
                <w:lang w:bidi="ne-NP"/>
              </w:rPr>
            </w:pPr>
            <w:r>
              <w:rPr>
                <w:rFonts w:hint="eastAsia" w:ascii="宋体" w:hAnsi="宋体"/>
                <w:sz w:val="24"/>
                <w:lang w:bidi="ne-NP"/>
              </w:rPr>
              <w:t>具体功能技术要求</w:t>
            </w:r>
          </w:p>
        </w:tc>
      </w:tr>
      <w:tr w14:paraId="1C7C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bottom w:val="single" w:color="auto" w:sz="4" w:space="0"/>
              <w:right w:val="single" w:color="auto" w:sz="4" w:space="0"/>
            </w:tcBorders>
            <w:noWrap w:val="0"/>
            <w:vAlign w:val="top"/>
          </w:tcPr>
          <w:p w14:paraId="44DCE399">
            <w:pPr>
              <w:spacing w:line="360" w:lineRule="auto"/>
              <w:rPr>
                <w:rFonts w:ascii="宋体" w:hAnsi="宋体"/>
                <w:sz w:val="24"/>
                <w:lang w:bidi="ne-NP"/>
              </w:rPr>
            </w:pPr>
            <w:r>
              <w:rPr>
                <w:rFonts w:hint="eastAsia" w:ascii="宋体" w:hAnsi="宋体"/>
                <w:sz w:val="24"/>
                <w:lang w:eastAsia="zh-Hans"/>
              </w:rPr>
              <w:t>1</w:t>
            </w:r>
          </w:p>
        </w:tc>
        <w:tc>
          <w:tcPr>
            <w:tcW w:w="8463" w:type="dxa"/>
            <w:tcBorders>
              <w:top w:val="single" w:color="auto" w:sz="4" w:space="0"/>
              <w:left w:val="single" w:color="auto" w:sz="4" w:space="0"/>
              <w:bottom w:val="single" w:color="auto" w:sz="4" w:space="0"/>
              <w:right w:val="single" w:color="auto" w:sz="4" w:space="0"/>
            </w:tcBorders>
            <w:noWrap w:val="0"/>
            <w:vAlign w:val="top"/>
          </w:tcPr>
          <w:p w14:paraId="51DCDA52">
            <w:pPr>
              <w:spacing w:line="360" w:lineRule="auto"/>
              <w:rPr>
                <w:rFonts w:ascii="宋体" w:hAnsi="宋体"/>
                <w:sz w:val="24"/>
                <w:lang w:val="es-AR"/>
              </w:rPr>
            </w:pPr>
            <w:r>
              <w:rPr>
                <w:rFonts w:hint="eastAsia" w:ascii="宋体" w:hAnsi="宋体"/>
                <w:sz w:val="24"/>
                <w:lang w:val="es-AR"/>
              </w:rPr>
              <w:t>系统架构</w:t>
            </w:r>
          </w:p>
          <w:p w14:paraId="45F76F94">
            <w:pPr>
              <w:spacing w:line="360" w:lineRule="auto"/>
              <w:rPr>
                <w:rFonts w:ascii="宋体" w:hAnsi="宋体"/>
                <w:sz w:val="24"/>
                <w:lang w:val="es-AR"/>
              </w:rPr>
            </w:pPr>
            <w:r>
              <w:rPr>
                <w:rFonts w:hint="eastAsia" w:ascii="宋体" w:hAnsi="宋体"/>
                <w:sz w:val="24"/>
                <w:lang w:val="es-AR"/>
              </w:rPr>
              <w:t>采用B/S架构，内网部署。</w:t>
            </w:r>
          </w:p>
          <w:p w14:paraId="56D8D145">
            <w:pPr>
              <w:spacing w:line="360" w:lineRule="auto"/>
              <w:rPr>
                <w:rFonts w:ascii="宋体" w:hAnsi="宋体" w:cs="宋体"/>
                <w:b/>
                <w:bCs/>
                <w:sz w:val="24"/>
                <w:lang w:bidi="ne-NP"/>
              </w:rPr>
            </w:pPr>
            <w:r>
              <w:rPr>
                <w:rFonts w:hint="eastAsia" w:ascii="宋体" w:hAnsi="宋体"/>
                <w:sz w:val="24"/>
                <w:lang w:val="es-AR"/>
              </w:rPr>
              <w:t>通过设置好的账号和密码进行登录。</w:t>
            </w:r>
          </w:p>
        </w:tc>
      </w:tr>
      <w:tr w14:paraId="02A2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bottom w:val="single" w:color="auto" w:sz="4" w:space="0"/>
              <w:right w:val="single" w:color="auto" w:sz="4" w:space="0"/>
            </w:tcBorders>
            <w:noWrap w:val="0"/>
            <w:vAlign w:val="top"/>
          </w:tcPr>
          <w:p w14:paraId="74E1A405">
            <w:pPr>
              <w:spacing w:line="360" w:lineRule="auto"/>
              <w:rPr>
                <w:rFonts w:ascii="宋体" w:hAnsi="宋体"/>
                <w:sz w:val="24"/>
                <w:lang w:bidi="ne-NP"/>
              </w:rPr>
            </w:pPr>
            <w:r>
              <w:rPr>
                <w:rFonts w:hint="eastAsia" w:ascii="宋体" w:hAnsi="宋体"/>
                <w:sz w:val="24"/>
                <w:lang w:eastAsia="zh-Hans"/>
              </w:rPr>
              <w:t>2</w:t>
            </w:r>
          </w:p>
        </w:tc>
        <w:tc>
          <w:tcPr>
            <w:tcW w:w="8463" w:type="dxa"/>
            <w:tcBorders>
              <w:top w:val="single" w:color="auto" w:sz="4" w:space="0"/>
              <w:left w:val="single" w:color="auto" w:sz="4" w:space="0"/>
              <w:bottom w:val="single" w:color="auto" w:sz="4" w:space="0"/>
              <w:right w:val="single" w:color="auto" w:sz="4" w:space="0"/>
            </w:tcBorders>
            <w:noWrap w:val="0"/>
            <w:vAlign w:val="top"/>
          </w:tcPr>
          <w:p w14:paraId="7902D803">
            <w:pPr>
              <w:spacing w:line="360" w:lineRule="auto"/>
              <w:rPr>
                <w:rFonts w:ascii="宋体" w:hAnsi="宋体"/>
                <w:sz w:val="24"/>
                <w:lang w:val="es-AR"/>
              </w:rPr>
            </w:pPr>
            <w:r>
              <w:rPr>
                <w:rFonts w:hint="eastAsia" w:ascii="宋体" w:hAnsi="宋体"/>
                <w:sz w:val="24"/>
                <w:lang w:val="es-AR"/>
              </w:rPr>
              <w:t>系统管理</w:t>
            </w:r>
          </w:p>
          <w:p w14:paraId="0403C7D5">
            <w:pPr>
              <w:spacing w:line="360" w:lineRule="auto"/>
              <w:rPr>
                <w:rFonts w:ascii="宋体" w:hAnsi="宋体"/>
                <w:sz w:val="24"/>
                <w:lang w:val="es-AR"/>
              </w:rPr>
            </w:pPr>
            <w:r>
              <w:rPr>
                <w:rFonts w:hint="eastAsia" w:ascii="宋体" w:hAnsi="宋体"/>
                <w:sz w:val="24"/>
                <w:lang w:val="es-AR"/>
              </w:rPr>
              <w:t>用户管理，对系统的用户进行管理，支持增删改。</w:t>
            </w:r>
          </w:p>
          <w:p w14:paraId="11AB572C">
            <w:pPr>
              <w:spacing w:line="360" w:lineRule="auto"/>
              <w:rPr>
                <w:rFonts w:ascii="宋体" w:hAnsi="宋体"/>
                <w:sz w:val="24"/>
                <w:lang w:val="es-AR"/>
              </w:rPr>
            </w:pPr>
            <w:r>
              <w:rPr>
                <w:rFonts w:hint="eastAsia" w:ascii="宋体" w:hAnsi="宋体"/>
                <w:sz w:val="24"/>
                <w:lang w:val="es-AR"/>
              </w:rPr>
              <w:t>角色管理，设置角色和分配权限，支持增删改。</w:t>
            </w:r>
          </w:p>
          <w:p w14:paraId="0782351C">
            <w:pPr>
              <w:spacing w:line="360" w:lineRule="auto"/>
              <w:rPr>
                <w:rFonts w:ascii="宋体" w:hAnsi="宋体"/>
                <w:sz w:val="24"/>
              </w:rPr>
            </w:pPr>
            <w:r>
              <w:rPr>
                <w:rFonts w:hint="eastAsia" w:ascii="宋体" w:hAnsi="宋体"/>
                <w:sz w:val="24"/>
                <w:lang w:val="es-AR"/>
              </w:rPr>
              <w:t>科室管理，</w:t>
            </w:r>
            <w:r>
              <w:rPr>
                <w:rFonts w:hint="eastAsia" w:ascii="宋体" w:hAnsi="宋体"/>
                <w:sz w:val="24"/>
              </w:rPr>
              <w:t>对科室信息进行管理</w:t>
            </w:r>
            <w:r>
              <w:rPr>
                <w:rFonts w:hint="eastAsia" w:ascii="宋体" w:hAnsi="宋体"/>
                <w:sz w:val="24"/>
                <w:lang w:val="es-AR"/>
              </w:rPr>
              <w:t>，支持增删改</w:t>
            </w:r>
            <w:r>
              <w:rPr>
                <w:rFonts w:hint="eastAsia" w:ascii="宋体" w:hAnsi="宋体"/>
                <w:sz w:val="24"/>
              </w:rPr>
              <w:t>。</w:t>
            </w:r>
          </w:p>
          <w:p w14:paraId="2867C4BD">
            <w:pPr>
              <w:spacing w:line="360" w:lineRule="auto"/>
              <w:rPr>
                <w:rFonts w:ascii="宋体" w:hAnsi="宋体" w:cs="宋体"/>
                <w:b/>
                <w:bCs/>
                <w:sz w:val="24"/>
                <w:lang w:bidi="ne-NP"/>
              </w:rPr>
            </w:pPr>
            <w:r>
              <w:rPr>
                <w:rFonts w:hint="eastAsia" w:ascii="宋体" w:hAnsi="宋体"/>
                <w:sz w:val="24"/>
                <w:lang w:val="es-AR"/>
              </w:rPr>
              <w:t>资源管理，对菜单及其他功能按键进行管理。</w:t>
            </w:r>
          </w:p>
        </w:tc>
      </w:tr>
      <w:tr w14:paraId="10AC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right w:val="single" w:color="auto" w:sz="4" w:space="0"/>
            </w:tcBorders>
            <w:noWrap w:val="0"/>
            <w:vAlign w:val="top"/>
          </w:tcPr>
          <w:p w14:paraId="06682150">
            <w:pPr>
              <w:spacing w:line="360" w:lineRule="auto"/>
              <w:rPr>
                <w:rFonts w:ascii="宋体" w:hAnsi="宋体"/>
                <w:sz w:val="24"/>
                <w:lang w:val="es-AR" w:eastAsia="zh-Hans"/>
              </w:rPr>
            </w:pPr>
            <w:r>
              <w:rPr>
                <w:rFonts w:hint="eastAsia" w:ascii="宋体" w:hAnsi="宋体"/>
                <w:sz w:val="24"/>
                <w:lang w:val="es-AR"/>
              </w:rPr>
              <w:t>★</w:t>
            </w:r>
            <w:r>
              <w:rPr>
                <w:rFonts w:hint="eastAsia" w:ascii="宋体" w:hAnsi="宋体"/>
                <w:sz w:val="24"/>
              </w:rPr>
              <w:t>3</w:t>
            </w:r>
          </w:p>
        </w:tc>
        <w:tc>
          <w:tcPr>
            <w:tcW w:w="8463" w:type="dxa"/>
            <w:tcBorders>
              <w:top w:val="single" w:color="auto" w:sz="4" w:space="0"/>
              <w:left w:val="single" w:color="auto" w:sz="4" w:space="0"/>
              <w:bottom w:val="single" w:color="auto" w:sz="4" w:space="0"/>
              <w:right w:val="single" w:color="auto" w:sz="4" w:space="0"/>
            </w:tcBorders>
            <w:noWrap w:val="0"/>
            <w:vAlign w:val="top"/>
          </w:tcPr>
          <w:p w14:paraId="2B106F14">
            <w:pPr>
              <w:spacing w:line="360" w:lineRule="auto"/>
              <w:rPr>
                <w:rFonts w:ascii="宋体" w:hAnsi="宋体"/>
                <w:sz w:val="24"/>
              </w:rPr>
            </w:pPr>
            <w:r>
              <w:rPr>
                <w:rFonts w:ascii="宋体" w:hAnsi="宋体"/>
                <w:sz w:val="24"/>
              </w:rPr>
              <w:t>患者360全景监护视图</w:t>
            </w:r>
          </w:p>
          <w:p w14:paraId="13D040FE">
            <w:pPr>
              <w:spacing w:line="360" w:lineRule="auto"/>
              <w:rPr>
                <w:rFonts w:ascii="宋体" w:hAnsi="宋体"/>
                <w:sz w:val="24"/>
                <w:lang w:val="es-AR" w:eastAsia="zh-Hans"/>
              </w:rPr>
            </w:pPr>
            <w:r>
              <w:rPr>
                <w:rFonts w:ascii="宋体" w:hAnsi="宋体"/>
                <w:sz w:val="24"/>
              </w:rPr>
              <w:t>展示住院患者临床信息，</w:t>
            </w:r>
            <w:r>
              <w:rPr>
                <w:rFonts w:hint="eastAsia" w:ascii="宋体" w:hAnsi="宋体"/>
                <w:sz w:val="24"/>
              </w:rPr>
              <w:t>根据信息系统现有接口数据获取情况</w:t>
            </w:r>
            <w:r>
              <w:rPr>
                <w:rFonts w:ascii="宋体" w:hAnsi="宋体"/>
                <w:sz w:val="24"/>
              </w:rPr>
              <w:t>包</w:t>
            </w:r>
            <w:r>
              <w:rPr>
                <w:rFonts w:hint="eastAsia" w:ascii="宋体" w:hAnsi="宋体"/>
                <w:sz w:val="24"/>
              </w:rPr>
              <w:t>含但不限于</w:t>
            </w:r>
            <w:r>
              <w:rPr>
                <w:rFonts w:ascii="宋体" w:hAnsi="宋体"/>
                <w:sz w:val="24"/>
              </w:rPr>
              <w:t>基本信息、诊断、医嘱、检验、检查、手术、生命体征、病程记录</w:t>
            </w:r>
            <w:r>
              <w:rPr>
                <w:rFonts w:hint="eastAsia" w:ascii="宋体" w:hAnsi="宋体"/>
                <w:sz w:val="24"/>
              </w:rPr>
              <w:t>。</w:t>
            </w:r>
            <w:r>
              <w:rPr>
                <w:rFonts w:ascii="宋体" w:hAnsi="宋体"/>
                <w:sz w:val="24"/>
              </w:rPr>
              <w:t>多指标趋势图和时序图便于直观掌握药物治疗全程患者重点生理指标的变化。</w:t>
            </w:r>
            <w:r>
              <w:rPr>
                <w:rFonts w:hint="eastAsia" w:ascii="宋体" w:hAnsi="宋体"/>
                <w:sz w:val="24"/>
              </w:rPr>
              <w:t>（提供系统截图）</w:t>
            </w:r>
          </w:p>
        </w:tc>
      </w:tr>
      <w:tr w14:paraId="39ED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right w:val="single" w:color="auto" w:sz="4" w:space="0"/>
            </w:tcBorders>
            <w:noWrap w:val="0"/>
            <w:vAlign w:val="top"/>
          </w:tcPr>
          <w:p w14:paraId="5E8F1E44">
            <w:pPr>
              <w:spacing w:line="360" w:lineRule="auto"/>
              <w:rPr>
                <w:rFonts w:ascii="宋体" w:hAnsi="宋体"/>
                <w:sz w:val="24"/>
                <w:lang w:eastAsia="zh-Hans"/>
              </w:rPr>
            </w:pPr>
            <w:r>
              <w:rPr>
                <w:rFonts w:hint="eastAsia" w:ascii="宋体" w:hAnsi="宋体"/>
                <w:sz w:val="24"/>
              </w:rPr>
              <w:t>4</w:t>
            </w:r>
          </w:p>
        </w:tc>
        <w:tc>
          <w:tcPr>
            <w:tcW w:w="8463" w:type="dxa"/>
            <w:tcBorders>
              <w:top w:val="single" w:color="auto" w:sz="4" w:space="0"/>
              <w:left w:val="single" w:color="auto" w:sz="4" w:space="0"/>
              <w:bottom w:val="single" w:color="auto" w:sz="4" w:space="0"/>
              <w:right w:val="single" w:color="auto" w:sz="4" w:space="0"/>
            </w:tcBorders>
            <w:noWrap w:val="0"/>
            <w:vAlign w:val="top"/>
          </w:tcPr>
          <w:p w14:paraId="3F9790CB">
            <w:pPr>
              <w:spacing w:line="360" w:lineRule="auto"/>
              <w:rPr>
                <w:rFonts w:ascii="宋体" w:hAnsi="宋体"/>
                <w:sz w:val="24"/>
                <w:lang w:eastAsia="zh-Hans"/>
              </w:rPr>
            </w:pPr>
            <w:r>
              <w:rPr>
                <w:rFonts w:hint="eastAsia" w:ascii="宋体" w:hAnsi="宋体"/>
                <w:sz w:val="24"/>
              </w:rPr>
              <w:t>监护设置</w:t>
            </w:r>
          </w:p>
          <w:p w14:paraId="25695CC8">
            <w:pPr>
              <w:spacing w:line="360" w:lineRule="auto"/>
              <w:rPr>
                <w:rFonts w:ascii="宋体" w:hAnsi="宋体"/>
                <w:sz w:val="24"/>
                <w:lang w:eastAsia="zh-Hans"/>
              </w:rPr>
            </w:pPr>
            <w:r>
              <w:rPr>
                <w:rFonts w:hint="eastAsia" w:ascii="宋体" w:hAnsi="宋体"/>
                <w:sz w:val="24"/>
                <w:lang w:eastAsia="zh-Hans"/>
              </w:rPr>
              <w:t>药师可根据</w:t>
            </w:r>
            <w:r>
              <w:rPr>
                <w:rFonts w:hint="eastAsia" w:ascii="宋体" w:hAnsi="宋体"/>
                <w:sz w:val="24"/>
              </w:rPr>
              <w:t>监护的需求自定义关注的病人类型，包括检验、用药、诊断、VTE风险评估、出血风险评估、特殊治疗、基因检测和血药浓度检测情况等复合筛选维度；药师可根据关注的重点设置风险提示条件，包括检验、生命体征、疾病评估、年龄、重点疾病、重点用药、耐药情况、多病共患和多重用药情况、病史和手术及其他特殊诊疗等维度；药师可根据关注的内容设置在时序图中展示的项目，包括三测单、出入量、病原学检测、用药、检验等维度，便于监护患者在整个住院期间用药前后各项指标的动态变化情况。</w:t>
            </w:r>
          </w:p>
        </w:tc>
      </w:tr>
      <w:tr w14:paraId="4174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right w:val="single" w:color="auto" w:sz="4" w:space="0"/>
            </w:tcBorders>
            <w:noWrap w:val="0"/>
            <w:vAlign w:val="top"/>
          </w:tcPr>
          <w:p w14:paraId="4708859D">
            <w:pPr>
              <w:spacing w:line="360" w:lineRule="auto"/>
              <w:rPr>
                <w:rFonts w:ascii="宋体" w:hAnsi="宋体"/>
                <w:sz w:val="24"/>
              </w:rPr>
            </w:pPr>
            <w:r>
              <w:rPr>
                <w:rFonts w:hint="eastAsia" w:ascii="宋体" w:hAnsi="宋体"/>
                <w:sz w:val="24"/>
              </w:rPr>
              <w:t>5</w:t>
            </w:r>
          </w:p>
        </w:tc>
        <w:tc>
          <w:tcPr>
            <w:tcW w:w="8463" w:type="dxa"/>
            <w:tcBorders>
              <w:top w:val="single" w:color="auto" w:sz="4" w:space="0"/>
              <w:left w:val="single" w:color="auto" w:sz="4" w:space="0"/>
              <w:bottom w:val="single" w:color="auto" w:sz="4" w:space="0"/>
              <w:right w:val="single" w:color="auto" w:sz="4" w:space="0"/>
            </w:tcBorders>
            <w:noWrap w:val="0"/>
            <w:vAlign w:val="top"/>
          </w:tcPr>
          <w:p w14:paraId="2AC62BDC">
            <w:pPr>
              <w:spacing w:line="360" w:lineRule="auto"/>
              <w:rPr>
                <w:rFonts w:ascii="宋体" w:hAnsi="宋体"/>
                <w:sz w:val="24"/>
                <w:lang w:val="es-AR"/>
              </w:rPr>
            </w:pPr>
            <w:r>
              <w:rPr>
                <w:rFonts w:ascii="宋体" w:hAnsi="宋体"/>
                <w:sz w:val="24"/>
                <w:lang w:val="es-AR"/>
              </w:rPr>
              <w:t>监护</w:t>
            </w:r>
            <w:r>
              <w:rPr>
                <w:rFonts w:hint="eastAsia" w:ascii="宋体" w:hAnsi="宋体"/>
                <w:sz w:val="24"/>
              </w:rPr>
              <w:t>事项</w:t>
            </w:r>
          </w:p>
          <w:p w14:paraId="03D64F19">
            <w:pPr>
              <w:spacing w:line="360" w:lineRule="auto"/>
              <w:rPr>
                <w:rFonts w:ascii="宋体" w:hAnsi="宋体" w:cs="宋体"/>
                <w:sz w:val="24"/>
                <w:lang w:eastAsia="zh-Hans"/>
              </w:rPr>
            </w:pPr>
            <w:r>
              <w:rPr>
                <w:rFonts w:ascii="宋体" w:hAnsi="宋体"/>
                <w:sz w:val="24"/>
                <w:lang w:val="es-AR"/>
              </w:rPr>
              <w:t>支持药师对入院患者的</w:t>
            </w:r>
            <w:r>
              <w:rPr>
                <w:rFonts w:hint="eastAsia" w:ascii="宋体" w:hAnsi="宋体"/>
                <w:sz w:val="24"/>
              </w:rPr>
              <w:t>肝肾功能、</w:t>
            </w:r>
            <w:r>
              <w:rPr>
                <w:rFonts w:ascii="宋体" w:hAnsi="宋体"/>
                <w:sz w:val="24"/>
                <w:lang w:val="es-AR"/>
              </w:rPr>
              <w:t>药物依从性和认知程度</w:t>
            </w:r>
            <w:r>
              <w:rPr>
                <w:rFonts w:hint="eastAsia" w:ascii="宋体" w:hAnsi="宋体"/>
                <w:sz w:val="24"/>
              </w:rPr>
              <w:t>等</w:t>
            </w:r>
            <w:r>
              <w:rPr>
                <w:rFonts w:ascii="宋体" w:hAnsi="宋体"/>
                <w:sz w:val="24"/>
                <w:lang w:val="es-AR"/>
              </w:rPr>
              <w:t>进行评估。具备监护评级机制，可</w:t>
            </w:r>
            <w:r>
              <w:rPr>
                <w:rFonts w:hint="eastAsia" w:ascii="宋体" w:hAnsi="宋体"/>
                <w:sz w:val="24"/>
              </w:rPr>
              <w:t>综合</w:t>
            </w:r>
            <w:r>
              <w:rPr>
                <w:rFonts w:ascii="宋体" w:hAnsi="宋体"/>
                <w:sz w:val="24"/>
                <w:lang w:val="es-AR"/>
              </w:rPr>
              <w:t>药师</w:t>
            </w:r>
            <w:r>
              <w:rPr>
                <w:rFonts w:hint="eastAsia" w:ascii="宋体" w:hAnsi="宋体"/>
                <w:sz w:val="24"/>
              </w:rPr>
              <w:t>对</w:t>
            </w:r>
            <w:r>
              <w:rPr>
                <w:rFonts w:ascii="宋体" w:hAnsi="宋体"/>
                <w:sz w:val="24"/>
                <w:lang w:val="es-AR"/>
              </w:rPr>
              <w:t>异常检验、生命体征、重点药品、</w:t>
            </w:r>
            <w:r>
              <w:rPr>
                <w:rFonts w:hint="eastAsia" w:ascii="宋体" w:hAnsi="宋体"/>
                <w:sz w:val="24"/>
              </w:rPr>
              <w:t>疾病评估、</w:t>
            </w:r>
            <w:r>
              <w:rPr>
                <w:rFonts w:ascii="宋体" w:hAnsi="宋体"/>
                <w:sz w:val="24"/>
                <w:lang w:val="es-AR"/>
              </w:rPr>
              <w:t>特殊治疗等</w:t>
            </w:r>
            <w:r>
              <w:rPr>
                <w:rFonts w:hint="eastAsia" w:ascii="宋体" w:hAnsi="宋体"/>
                <w:sz w:val="24"/>
              </w:rPr>
              <w:t>各风险提示项目定义的药学监护等级自动匹配符合条件的患者并完成一级二级或三级的评定，药师也可以进行二次确认</w:t>
            </w:r>
            <w:r>
              <w:rPr>
                <w:rFonts w:ascii="宋体" w:hAnsi="宋体"/>
                <w:sz w:val="24"/>
                <w:lang w:val="es-AR"/>
              </w:rPr>
              <w:t>。</w:t>
            </w:r>
            <w:r>
              <w:rPr>
                <w:rFonts w:hint="eastAsia" w:ascii="宋体" w:hAnsi="宋体"/>
                <w:sz w:val="24"/>
              </w:rPr>
              <w:t>药师可</w:t>
            </w:r>
            <w:r>
              <w:rPr>
                <w:rFonts w:ascii="宋体" w:hAnsi="宋体"/>
                <w:sz w:val="24"/>
                <w:lang w:val="es-AR"/>
              </w:rPr>
              <w:t>通过监护计划</w:t>
            </w:r>
            <w:r>
              <w:rPr>
                <w:rFonts w:hint="eastAsia" w:ascii="宋体" w:hAnsi="宋体"/>
                <w:sz w:val="24"/>
              </w:rPr>
              <w:t>表单</w:t>
            </w:r>
            <w:r>
              <w:rPr>
                <w:rFonts w:ascii="宋体" w:hAnsi="宋体"/>
                <w:sz w:val="24"/>
                <w:lang w:val="es-AR"/>
              </w:rPr>
              <w:t>快速导入患者临床信息，设定监护对象</w:t>
            </w:r>
            <w:r>
              <w:rPr>
                <w:rFonts w:hint="eastAsia" w:ascii="宋体" w:hAnsi="宋体"/>
                <w:sz w:val="24"/>
                <w:lang w:val="es-AR"/>
              </w:rPr>
              <w:t>、</w:t>
            </w:r>
            <w:r>
              <w:rPr>
                <w:rFonts w:hint="eastAsia" w:ascii="宋体" w:hAnsi="宋体"/>
                <w:sz w:val="24"/>
              </w:rPr>
              <w:t>评价指标</w:t>
            </w:r>
            <w:r>
              <w:rPr>
                <w:rFonts w:ascii="宋体" w:hAnsi="宋体"/>
                <w:sz w:val="24"/>
                <w:lang w:val="es-AR"/>
              </w:rPr>
              <w:t>，</w:t>
            </w:r>
            <w:r>
              <w:rPr>
                <w:rFonts w:hint="eastAsia" w:ascii="宋体" w:hAnsi="宋体"/>
                <w:sz w:val="24"/>
              </w:rPr>
              <w:t>系统可根据药师设置的提醒日期提示药师关注未完成监护计划及评价指标的动态变化</w:t>
            </w:r>
            <w:r>
              <w:rPr>
                <w:rFonts w:ascii="宋体" w:hAnsi="宋体"/>
                <w:sz w:val="24"/>
                <w:lang w:val="es-AR"/>
              </w:rPr>
              <w:t>，发现药物治疗问题。</w:t>
            </w:r>
            <w:r>
              <w:rPr>
                <w:rFonts w:hint="eastAsia" w:ascii="宋体" w:hAnsi="宋体"/>
                <w:sz w:val="24"/>
              </w:rPr>
              <w:t>系统可根据患者的出入院及转科状态，每日提醒药师要完成的如入院评估、用药重整、出院带药用药教育、查房等工作内容，方便提高工作效率。</w:t>
            </w:r>
          </w:p>
        </w:tc>
      </w:tr>
      <w:tr w14:paraId="0F4E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right w:val="single" w:color="auto" w:sz="4" w:space="0"/>
            </w:tcBorders>
            <w:noWrap w:val="0"/>
            <w:vAlign w:val="top"/>
          </w:tcPr>
          <w:p w14:paraId="771EF34C">
            <w:pPr>
              <w:spacing w:line="360" w:lineRule="auto"/>
              <w:rPr>
                <w:rFonts w:ascii="宋体" w:hAnsi="宋体"/>
                <w:sz w:val="24"/>
              </w:rPr>
            </w:pPr>
            <w:r>
              <w:rPr>
                <w:rFonts w:hint="eastAsia" w:ascii="宋体" w:hAnsi="宋体"/>
                <w:sz w:val="24"/>
                <w:lang w:val="es-AR"/>
              </w:rPr>
              <w:t>★</w:t>
            </w:r>
            <w:r>
              <w:rPr>
                <w:rFonts w:hint="eastAsia" w:ascii="宋体" w:hAnsi="宋体"/>
                <w:sz w:val="24"/>
              </w:rPr>
              <w:t>6</w:t>
            </w:r>
          </w:p>
        </w:tc>
        <w:tc>
          <w:tcPr>
            <w:tcW w:w="8463" w:type="dxa"/>
            <w:tcBorders>
              <w:top w:val="single" w:color="auto" w:sz="4" w:space="0"/>
              <w:left w:val="single" w:color="auto" w:sz="4" w:space="0"/>
              <w:bottom w:val="single" w:color="auto" w:sz="4" w:space="0"/>
              <w:right w:val="single" w:color="auto" w:sz="4" w:space="0"/>
            </w:tcBorders>
            <w:noWrap w:val="0"/>
            <w:vAlign w:val="top"/>
          </w:tcPr>
          <w:p w14:paraId="44AC6B09">
            <w:pPr>
              <w:spacing w:line="360" w:lineRule="auto"/>
              <w:rPr>
                <w:rFonts w:ascii="宋体" w:hAnsi="宋体"/>
                <w:sz w:val="24"/>
                <w:lang w:eastAsia="zh-Hans"/>
              </w:rPr>
            </w:pPr>
            <w:r>
              <w:rPr>
                <w:rFonts w:ascii="宋体" w:hAnsi="宋体"/>
                <w:sz w:val="24"/>
                <w:lang w:eastAsia="zh-Hans"/>
              </w:rPr>
              <w:t>用药重整</w:t>
            </w:r>
          </w:p>
          <w:p w14:paraId="04948FE2">
            <w:pPr>
              <w:spacing w:line="360" w:lineRule="auto"/>
              <w:rPr>
                <w:rFonts w:ascii="宋体" w:hAnsi="宋体"/>
                <w:sz w:val="24"/>
              </w:rPr>
            </w:pPr>
            <w:r>
              <w:rPr>
                <w:rFonts w:ascii="宋体" w:hAnsi="宋体"/>
                <w:sz w:val="24"/>
                <w:lang w:eastAsia="zh-Hans"/>
              </w:rPr>
              <w:t>在入院、转科、出院的监护主体转换节点，通过系统内置的用药重整</w:t>
            </w:r>
            <w:r>
              <w:rPr>
                <w:rFonts w:hint="eastAsia" w:ascii="宋体" w:hAnsi="宋体"/>
                <w:sz w:val="24"/>
              </w:rPr>
              <w:t>表</w:t>
            </w:r>
            <w:r>
              <w:rPr>
                <w:rFonts w:ascii="宋体" w:hAnsi="宋体"/>
                <w:sz w:val="24"/>
                <w:lang w:eastAsia="zh-Hans"/>
              </w:rPr>
              <w:t>实现患者用药清单与医嘱信息的快速导入与对照，辅助药师及时发现存在的差异和问题</w:t>
            </w:r>
            <w:r>
              <w:rPr>
                <w:rFonts w:hint="eastAsia" w:ascii="宋体" w:hAnsi="宋体"/>
                <w:sz w:val="24"/>
              </w:rPr>
              <w:t>。（提供系统截图）</w:t>
            </w:r>
          </w:p>
        </w:tc>
      </w:tr>
      <w:tr w14:paraId="6BEA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right w:val="single" w:color="auto" w:sz="4" w:space="0"/>
            </w:tcBorders>
            <w:noWrap w:val="0"/>
            <w:vAlign w:val="top"/>
          </w:tcPr>
          <w:p w14:paraId="38ED283B">
            <w:pPr>
              <w:spacing w:line="360" w:lineRule="auto"/>
              <w:rPr>
                <w:rFonts w:ascii="宋体" w:hAnsi="宋体"/>
                <w:sz w:val="24"/>
              </w:rPr>
            </w:pPr>
            <w:r>
              <w:rPr>
                <w:rFonts w:hint="eastAsia" w:ascii="宋体" w:hAnsi="宋体"/>
                <w:kern w:val="0"/>
                <w:sz w:val="24"/>
              </w:rPr>
              <w:t>▲</w:t>
            </w:r>
            <w:r>
              <w:rPr>
                <w:rFonts w:hint="eastAsia" w:ascii="宋体" w:hAnsi="宋体"/>
                <w:sz w:val="24"/>
              </w:rPr>
              <w:t>7</w:t>
            </w:r>
          </w:p>
        </w:tc>
        <w:tc>
          <w:tcPr>
            <w:tcW w:w="8463" w:type="dxa"/>
            <w:tcBorders>
              <w:top w:val="single" w:color="auto" w:sz="4" w:space="0"/>
              <w:left w:val="single" w:color="auto" w:sz="4" w:space="0"/>
              <w:bottom w:val="single" w:color="auto" w:sz="4" w:space="0"/>
              <w:right w:val="single" w:color="auto" w:sz="4" w:space="0"/>
            </w:tcBorders>
            <w:noWrap w:val="0"/>
            <w:vAlign w:val="top"/>
          </w:tcPr>
          <w:p w14:paraId="1C5D89A5">
            <w:pPr>
              <w:spacing w:line="360" w:lineRule="auto"/>
              <w:rPr>
                <w:rFonts w:ascii="宋体" w:hAnsi="宋体"/>
                <w:sz w:val="24"/>
              </w:rPr>
            </w:pPr>
            <w:r>
              <w:rPr>
                <w:rFonts w:ascii="宋体" w:hAnsi="宋体"/>
                <w:sz w:val="24"/>
              </w:rPr>
              <w:t>用药教育</w:t>
            </w:r>
          </w:p>
          <w:p w14:paraId="43526694">
            <w:pPr>
              <w:spacing w:line="360" w:lineRule="auto"/>
              <w:rPr>
                <w:rFonts w:ascii="宋体" w:hAnsi="宋体"/>
                <w:sz w:val="24"/>
                <w:lang w:eastAsia="zh-Hans"/>
              </w:rPr>
            </w:pPr>
            <w:r>
              <w:rPr>
                <w:rFonts w:ascii="宋体" w:hAnsi="宋体"/>
                <w:sz w:val="24"/>
              </w:rPr>
              <w:t>内置用药教育专论知识库，</w:t>
            </w:r>
            <w:r>
              <w:rPr>
                <w:rFonts w:hint="eastAsia" w:ascii="宋体" w:hAnsi="宋体"/>
                <w:sz w:val="24"/>
              </w:rPr>
              <w:t>至少</w:t>
            </w:r>
            <w:r>
              <w:rPr>
                <w:rFonts w:ascii="宋体" w:hAnsi="宋体"/>
                <w:sz w:val="24"/>
              </w:rPr>
              <w:t>涵盖9000种中西药物的用药注意事项，实现在院患者和出院患者教育单的</w:t>
            </w:r>
            <w:r>
              <w:rPr>
                <w:rFonts w:hint="eastAsia" w:ascii="宋体" w:hAnsi="宋体"/>
                <w:sz w:val="24"/>
              </w:rPr>
              <w:t>辅助</w:t>
            </w:r>
            <w:r>
              <w:rPr>
                <w:rFonts w:ascii="宋体" w:hAnsi="宋体"/>
                <w:sz w:val="24"/>
              </w:rPr>
              <w:t>生成，同时支持药师对内容</w:t>
            </w:r>
            <w:r>
              <w:rPr>
                <w:rFonts w:hint="eastAsia" w:ascii="宋体" w:hAnsi="宋体"/>
                <w:sz w:val="24"/>
              </w:rPr>
              <w:t>进行</w:t>
            </w:r>
            <w:r>
              <w:rPr>
                <w:rFonts w:ascii="宋体" w:hAnsi="宋体"/>
                <w:sz w:val="24"/>
              </w:rPr>
              <w:t>二次编辑。用药咨询提供标准</w:t>
            </w:r>
            <w:r>
              <w:rPr>
                <w:rFonts w:hint="eastAsia" w:ascii="宋体" w:hAnsi="宋体"/>
                <w:sz w:val="24"/>
              </w:rPr>
              <w:t>咨询</w:t>
            </w:r>
            <w:r>
              <w:rPr>
                <w:rFonts w:ascii="宋体" w:hAnsi="宋体"/>
                <w:sz w:val="24"/>
              </w:rPr>
              <w:t>表，支持</w:t>
            </w:r>
            <w:r>
              <w:rPr>
                <w:rFonts w:hint="eastAsia" w:ascii="宋体" w:hAnsi="宋体"/>
                <w:sz w:val="24"/>
              </w:rPr>
              <w:t>快速导入</w:t>
            </w:r>
            <w:r>
              <w:rPr>
                <w:rFonts w:ascii="宋体" w:hAnsi="宋体"/>
                <w:sz w:val="24"/>
              </w:rPr>
              <w:t>患者</w:t>
            </w:r>
            <w:r>
              <w:rPr>
                <w:rFonts w:hint="eastAsia" w:ascii="宋体" w:hAnsi="宋体"/>
                <w:sz w:val="24"/>
              </w:rPr>
              <w:t>医嘱、检验检查等信息</w:t>
            </w:r>
            <w:r>
              <w:rPr>
                <w:rFonts w:ascii="宋体" w:hAnsi="宋体"/>
                <w:sz w:val="24"/>
              </w:rPr>
              <w:t>，辅助药师分类记录问题和</w:t>
            </w:r>
            <w:r>
              <w:rPr>
                <w:rFonts w:hint="eastAsia" w:ascii="宋体" w:hAnsi="宋体"/>
                <w:sz w:val="24"/>
              </w:rPr>
              <w:t>填写</w:t>
            </w:r>
            <w:r>
              <w:rPr>
                <w:rFonts w:ascii="宋体" w:hAnsi="宋体"/>
                <w:sz w:val="24"/>
              </w:rPr>
              <w:t>回</w:t>
            </w:r>
            <w:r>
              <w:rPr>
                <w:rFonts w:hint="eastAsia" w:ascii="宋体" w:hAnsi="宋体"/>
                <w:sz w:val="24"/>
              </w:rPr>
              <w:t>答</w:t>
            </w:r>
            <w:r>
              <w:rPr>
                <w:rFonts w:ascii="宋体" w:hAnsi="宋体"/>
                <w:sz w:val="24"/>
              </w:rPr>
              <w:t>内容。</w:t>
            </w:r>
          </w:p>
        </w:tc>
      </w:tr>
      <w:tr w14:paraId="04D6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right w:val="single" w:color="auto" w:sz="4" w:space="0"/>
            </w:tcBorders>
            <w:noWrap w:val="0"/>
            <w:vAlign w:val="top"/>
          </w:tcPr>
          <w:p w14:paraId="681BEF4A">
            <w:pPr>
              <w:spacing w:line="360" w:lineRule="auto"/>
              <w:rPr>
                <w:rFonts w:ascii="宋体" w:hAnsi="宋体"/>
                <w:sz w:val="24"/>
              </w:rPr>
            </w:pPr>
            <w:r>
              <w:rPr>
                <w:rFonts w:hint="eastAsia" w:ascii="宋体" w:hAnsi="宋体"/>
                <w:kern w:val="0"/>
                <w:sz w:val="24"/>
              </w:rPr>
              <w:t>▲</w:t>
            </w:r>
            <w:r>
              <w:rPr>
                <w:rFonts w:hint="eastAsia" w:ascii="宋体" w:hAnsi="宋体"/>
                <w:sz w:val="24"/>
              </w:rPr>
              <w:t>8</w:t>
            </w:r>
          </w:p>
        </w:tc>
        <w:tc>
          <w:tcPr>
            <w:tcW w:w="8463" w:type="dxa"/>
            <w:tcBorders>
              <w:top w:val="single" w:color="auto" w:sz="4" w:space="0"/>
              <w:left w:val="single" w:color="auto" w:sz="4" w:space="0"/>
              <w:bottom w:val="single" w:color="auto" w:sz="4" w:space="0"/>
              <w:right w:val="single" w:color="auto" w:sz="4" w:space="0"/>
            </w:tcBorders>
            <w:noWrap w:val="0"/>
            <w:vAlign w:val="top"/>
          </w:tcPr>
          <w:p w14:paraId="73DDA1A9">
            <w:pPr>
              <w:spacing w:line="360" w:lineRule="auto"/>
              <w:rPr>
                <w:rFonts w:ascii="宋体" w:hAnsi="宋体"/>
                <w:sz w:val="24"/>
                <w:lang w:eastAsia="zh-Hans"/>
              </w:rPr>
            </w:pPr>
            <w:r>
              <w:rPr>
                <w:rFonts w:ascii="宋体" w:hAnsi="宋体"/>
                <w:sz w:val="24"/>
                <w:lang w:eastAsia="zh-Hans"/>
              </w:rPr>
              <w:t>监护日志和全程记录</w:t>
            </w:r>
          </w:p>
          <w:p w14:paraId="09A210D4">
            <w:pPr>
              <w:spacing w:line="360" w:lineRule="auto"/>
              <w:rPr>
                <w:rFonts w:ascii="宋体" w:hAnsi="宋体"/>
                <w:sz w:val="24"/>
                <w:lang w:eastAsia="zh-Hans"/>
              </w:rPr>
            </w:pPr>
            <w:r>
              <w:rPr>
                <w:rFonts w:ascii="宋体" w:hAnsi="宋体"/>
                <w:sz w:val="24"/>
                <w:lang w:eastAsia="zh-Hans"/>
              </w:rPr>
              <w:t>支持</w:t>
            </w:r>
            <w:r>
              <w:rPr>
                <w:rFonts w:hint="eastAsia" w:ascii="宋体" w:hAnsi="宋体"/>
                <w:sz w:val="24"/>
              </w:rPr>
              <w:t>监护日志当天</w:t>
            </w:r>
            <w:r>
              <w:rPr>
                <w:rFonts w:ascii="宋体" w:hAnsi="宋体"/>
                <w:sz w:val="24"/>
                <w:lang w:eastAsia="zh-Hans"/>
              </w:rPr>
              <w:t>新开、停嘱信息的自动匹配，药师可导入患者</w:t>
            </w:r>
            <w:r>
              <w:rPr>
                <w:rFonts w:hint="eastAsia" w:ascii="宋体" w:hAnsi="宋体"/>
                <w:sz w:val="24"/>
              </w:rPr>
              <w:t>检验和病程记录等诊疗信息</w:t>
            </w:r>
            <w:r>
              <w:rPr>
                <w:rFonts w:ascii="宋体" w:hAnsi="宋体"/>
                <w:sz w:val="24"/>
                <w:lang w:eastAsia="zh-Hans"/>
              </w:rPr>
              <w:t>，</w:t>
            </w:r>
            <w:r>
              <w:rPr>
                <w:rFonts w:hint="eastAsia" w:ascii="宋体" w:hAnsi="宋体"/>
                <w:sz w:val="24"/>
              </w:rPr>
              <w:t>以便</w:t>
            </w:r>
            <w:r>
              <w:rPr>
                <w:rFonts w:ascii="宋体" w:hAnsi="宋体"/>
                <w:sz w:val="24"/>
                <w:lang w:eastAsia="zh-Hans"/>
              </w:rPr>
              <w:t>快速完善病情变化和治疗方案内容。药师可根据监护项目分类查阅患者本次住院期间</w:t>
            </w:r>
            <w:r>
              <w:rPr>
                <w:rFonts w:hint="eastAsia" w:ascii="宋体" w:hAnsi="宋体"/>
                <w:sz w:val="24"/>
              </w:rPr>
              <w:t>所接受的</w:t>
            </w:r>
            <w:r>
              <w:rPr>
                <w:rFonts w:ascii="宋体" w:hAnsi="宋体"/>
                <w:sz w:val="24"/>
                <w:lang w:eastAsia="zh-Hans"/>
              </w:rPr>
              <w:t>全部监护内容，可</w:t>
            </w:r>
            <w:r>
              <w:rPr>
                <w:rFonts w:hint="eastAsia" w:ascii="宋体" w:hAnsi="宋体"/>
                <w:sz w:val="24"/>
              </w:rPr>
              <w:t>预览及</w:t>
            </w:r>
            <w:r>
              <w:rPr>
                <w:rFonts w:ascii="宋体" w:hAnsi="宋体"/>
                <w:sz w:val="24"/>
                <w:lang w:eastAsia="zh-Hans"/>
              </w:rPr>
              <w:t>一键导出</w:t>
            </w:r>
            <w:r>
              <w:rPr>
                <w:rFonts w:hint="eastAsia" w:ascii="宋体" w:hAnsi="宋体"/>
                <w:sz w:val="24"/>
              </w:rPr>
              <w:t>PDF文件</w:t>
            </w:r>
            <w:r>
              <w:rPr>
                <w:rFonts w:ascii="宋体" w:hAnsi="宋体"/>
                <w:sz w:val="24"/>
                <w:lang w:eastAsia="zh-Hans"/>
              </w:rPr>
              <w:t>。支持药师查询历史住院患者的</w:t>
            </w:r>
            <w:r>
              <w:rPr>
                <w:rFonts w:hint="eastAsia" w:ascii="宋体" w:hAnsi="宋体"/>
                <w:sz w:val="24"/>
              </w:rPr>
              <w:t>用药、检验检查等</w:t>
            </w:r>
            <w:r>
              <w:rPr>
                <w:rFonts w:ascii="宋体" w:hAnsi="宋体"/>
                <w:sz w:val="24"/>
                <w:lang w:eastAsia="zh-Hans"/>
              </w:rPr>
              <w:t>诊疗情况及药学监护内容。</w:t>
            </w:r>
          </w:p>
        </w:tc>
      </w:tr>
      <w:tr w14:paraId="0680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right w:val="single" w:color="auto" w:sz="4" w:space="0"/>
            </w:tcBorders>
            <w:noWrap w:val="0"/>
            <w:vAlign w:val="top"/>
          </w:tcPr>
          <w:p w14:paraId="143F0EAF">
            <w:pPr>
              <w:spacing w:line="360" w:lineRule="auto"/>
              <w:rPr>
                <w:rFonts w:ascii="宋体" w:hAnsi="宋体"/>
                <w:sz w:val="24"/>
              </w:rPr>
            </w:pPr>
            <w:r>
              <w:rPr>
                <w:rFonts w:hint="eastAsia" w:ascii="宋体" w:hAnsi="宋体"/>
                <w:sz w:val="24"/>
                <w:lang w:val="es-AR"/>
              </w:rPr>
              <w:t>★</w:t>
            </w:r>
            <w:r>
              <w:rPr>
                <w:rFonts w:ascii="宋体" w:hAnsi="宋体"/>
                <w:sz w:val="24"/>
              </w:rPr>
              <w:t>9</w:t>
            </w:r>
          </w:p>
        </w:tc>
        <w:tc>
          <w:tcPr>
            <w:tcW w:w="8463" w:type="dxa"/>
            <w:tcBorders>
              <w:top w:val="single" w:color="auto" w:sz="4" w:space="0"/>
              <w:left w:val="single" w:color="auto" w:sz="4" w:space="0"/>
              <w:bottom w:val="single" w:color="auto" w:sz="4" w:space="0"/>
              <w:right w:val="single" w:color="auto" w:sz="4" w:space="0"/>
            </w:tcBorders>
            <w:noWrap w:val="0"/>
            <w:vAlign w:val="top"/>
          </w:tcPr>
          <w:p w14:paraId="5E01F193">
            <w:pPr>
              <w:spacing w:line="360" w:lineRule="auto"/>
              <w:rPr>
                <w:rFonts w:ascii="宋体" w:hAnsi="宋体"/>
                <w:sz w:val="24"/>
                <w:lang w:val="es-AR"/>
              </w:rPr>
            </w:pPr>
            <w:r>
              <w:rPr>
                <w:rFonts w:ascii="宋体" w:hAnsi="宋体"/>
                <w:sz w:val="24"/>
                <w:lang w:val="es-AR"/>
              </w:rPr>
              <w:t>电子药历</w:t>
            </w:r>
          </w:p>
          <w:p w14:paraId="4783C685">
            <w:pPr>
              <w:spacing w:line="360" w:lineRule="auto"/>
              <w:rPr>
                <w:rFonts w:ascii="宋体" w:hAnsi="宋体" w:cs="宋体"/>
                <w:sz w:val="24"/>
                <w:lang w:eastAsia="zh-Hans"/>
              </w:rPr>
            </w:pPr>
            <w:r>
              <w:rPr>
                <w:rFonts w:hint="eastAsia" w:ascii="宋体" w:hAnsi="宋体"/>
                <w:sz w:val="24"/>
                <w:lang w:val="es-AR"/>
              </w:rPr>
              <w:t>可自动抓取患者用药、诊断、检验从信息系统现有接口中可获取到的关键信息生成电子药历，辅助填写检验检查结果、病原学检测结果、住院医嘱，同步药师已填写的药物治疗日志及总结等内容，支持药师快速导入患者医嘱和用药时序图，支持查房记录和电子药历一键导出PDF</w:t>
            </w:r>
            <w:r>
              <w:rPr>
                <w:rFonts w:ascii="宋体" w:hAnsi="宋体"/>
                <w:sz w:val="24"/>
                <w:lang w:val="es-AR"/>
              </w:rPr>
              <w:t>文件。</w:t>
            </w:r>
            <w:r>
              <w:rPr>
                <w:rFonts w:hint="eastAsia" w:ascii="宋体" w:hAnsi="宋体"/>
                <w:sz w:val="24"/>
              </w:rPr>
              <w:t>（提供系统截图）</w:t>
            </w:r>
          </w:p>
        </w:tc>
      </w:tr>
      <w:tr w14:paraId="1DA1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right w:val="single" w:color="auto" w:sz="4" w:space="0"/>
            </w:tcBorders>
            <w:noWrap w:val="0"/>
            <w:vAlign w:val="top"/>
          </w:tcPr>
          <w:p w14:paraId="61DDFAC8">
            <w:pPr>
              <w:spacing w:line="360" w:lineRule="auto"/>
              <w:rPr>
                <w:rFonts w:ascii="宋体" w:hAnsi="宋体"/>
                <w:sz w:val="24"/>
              </w:rPr>
            </w:pPr>
            <w:r>
              <w:rPr>
                <w:rFonts w:ascii="宋体" w:hAnsi="宋体"/>
                <w:sz w:val="24"/>
              </w:rPr>
              <w:t>10</w:t>
            </w:r>
          </w:p>
        </w:tc>
        <w:tc>
          <w:tcPr>
            <w:tcW w:w="8463" w:type="dxa"/>
            <w:tcBorders>
              <w:top w:val="single" w:color="auto" w:sz="4" w:space="0"/>
              <w:left w:val="single" w:color="auto" w:sz="4" w:space="0"/>
              <w:bottom w:val="single" w:color="auto" w:sz="4" w:space="0"/>
              <w:right w:val="single" w:color="auto" w:sz="4" w:space="0"/>
            </w:tcBorders>
            <w:noWrap w:val="0"/>
            <w:vAlign w:val="top"/>
          </w:tcPr>
          <w:p w14:paraId="550A6909">
            <w:pPr>
              <w:spacing w:line="360" w:lineRule="auto"/>
              <w:rPr>
                <w:rFonts w:ascii="宋体" w:hAnsi="宋体"/>
                <w:sz w:val="24"/>
                <w:lang w:eastAsia="zh-Hans"/>
              </w:rPr>
            </w:pPr>
            <w:r>
              <w:rPr>
                <w:rFonts w:ascii="宋体" w:hAnsi="宋体"/>
                <w:sz w:val="24"/>
                <w:lang w:eastAsia="zh-Hans"/>
              </w:rPr>
              <w:t>用药建议</w:t>
            </w:r>
          </w:p>
          <w:p w14:paraId="0BFDD9EC">
            <w:pPr>
              <w:spacing w:line="360" w:lineRule="auto"/>
              <w:rPr>
                <w:rFonts w:ascii="宋体" w:hAnsi="宋体"/>
                <w:sz w:val="24"/>
              </w:rPr>
            </w:pPr>
            <w:r>
              <w:rPr>
                <w:rFonts w:ascii="宋体" w:hAnsi="宋体"/>
                <w:sz w:val="24"/>
                <w:lang w:eastAsia="zh-Hans"/>
              </w:rPr>
              <w:t>系统内置</w:t>
            </w:r>
            <w:r>
              <w:rPr>
                <w:rFonts w:hint="eastAsia" w:ascii="宋体" w:hAnsi="宋体"/>
                <w:sz w:val="24"/>
              </w:rPr>
              <w:t>药物</w:t>
            </w:r>
            <w:r>
              <w:rPr>
                <w:rFonts w:ascii="宋体" w:hAnsi="宋体"/>
                <w:sz w:val="24"/>
                <w:lang w:eastAsia="zh-Hans"/>
              </w:rPr>
              <w:t>相互作用等医嘱问题审核、老年用药风险识别、妊娠哺乳用药建议、肝肾功能不全剂量调整建议、</w:t>
            </w:r>
            <w:r>
              <w:rPr>
                <w:rFonts w:hint="eastAsia" w:ascii="宋体" w:hAnsi="宋体"/>
                <w:sz w:val="24"/>
              </w:rPr>
              <w:t>疾病用药方案</w:t>
            </w:r>
            <w:r>
              <w:rPr>
                <w:rFonts w:ascii="宋体" w:hAnsi="宋体"/>
                <w:sz w:val="24"/>
                <w:lang w:eastAsia="zh-Hans"/>
              </w:rPr>
              <w:t>推荐等药学监护知识库，匹配患者医疗情况</w:t>
            </w:r>
            <w:r>
              <w:rPr>
                <w:rFonts w:hint="eastAsia" w:ascii="宋体" w:hAnsi="宋体"/>
                <w:sz w:val="24"/>
              </w:rPr>
              <w:t>自动</w:t>
            </w:r>
            <w:r>
              <w:rPr>
                <w:rFonts w:ascii="宋体" w:hAnsi="宋体"/>
                <w:sz w:val="24"/>
                <w:lang w:eastAsia="zh-Hans"/>
              </w:rPr>
              <w:t>输出建议</w:t>
            </w:r>
            <w:r>
              <w:rPr>
                <w:rFonts w:hint="eastAsia" w:ascii="宋体" w:hAnsi="宋体"/>
                <w:sz w:val="24"/>
              </w:rPr>
              <w:t>，药师可对医嘱进行人工审核。药师可将采纳的建议内容快速导入用药建议表单中</w:t>
            </w:r>
            <w:r>
              <w:rPr>
                <w:rFonts w:ascii="宋体" w:hAnsi="宋体"/>
                <w:sz w:val="24"/>
                <w:lang w:eastAsia="zh-Hans"/>
              </w:rPr>
              <w:t>。</w:t>
            </w:r>
            <w:r>
              <w:rPr>
                <w:rFonts w:hint="eastAsia" w:ascii="宋体" w:hAnsi="宋体"/>
                <w:sz w:val="24"/>
              </w:rPr>
              <w:t>可根据适应性、有效性、安全性和依从性等维度对用药建议进行分类。</w:t>
            </w:r>
          </w:p>
        </w:tc>
      </w:tr>
      <w:tr w14:paraId="5FF4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right w:val="single" w:color="auto" w:sz="4" w:space="0"/>
            </w:tcBorders>
            <w:noWrap w:val="0"/>
            <w:vAlign w:val="top"/>
          </w:tcPr>
          <w:p w14:paraId="66E62068">
            <w:pPr>
              <w:spacing w:line="360" w:lineRule="auto"/>
              <w:rPr>
                <w:rFonts w:ascii="宋体" w:hAnsi="宋体"/>
                <w:sz w:val="24"/>
              </w:rPr>
            </w:pPr>
            <w:r>
              <w:rPr>
                <w:rFonts w:hint="eastAsia" w:ascii="宋体" w:hAnsi="宋体"/>
                <w:kern w:val="0"/>
                <w:sz w:val="24"/>
              </w:rPr>
              <w:t>▲</w:t>
            </w:r>
            <w:r>
              <w:rPr>
                <w:rFonts w:hint="eastAsia" w:ascii="宋体" w:hAnsi="宋体"/>
                <w:sz w:val="24"/>
              </w:rPr>
              <w:t>11</w:t>
            </w:r>
          </w:p>
        </w:tc>
        <w:tc>
          <w:tcPr>
            <w:tcW w:w="8463" w:type="dxa"/>
            <w:tcBorders>
              <w:top w:val="single" w:color="auto" w:sz="4" w:space="0"/>
              <w:left w:val="single" w:color="auto" w:sz="4" w:space="0"/>
              <w:bottom w:val="single" w:color="auto" w:sz="4" w:space="0"/>
              <w:right w:val="single" w:color="auto" w:sz="4" w:space="0"/>
            </w:tcBorders>
            <w:noWrap w:val="0"/>
            <w:vAlign w:val="top"/>
          </w:tcPr>
          <w:p w14:paraId="141DCAA3">
            <w:pPr>
              <w:spacing w:line="360" w:lineRule="auto"/>
              <w:rPr>
                <w:rFonts w:ascii="宋体" w:hAnsi="宋体"/>
                <w:sz w:val="24"/>
                <w:lang w:eastAsia="zh-Hans"/>
              </w:rPr>
            </w:pPr>
            <w:r>
              <w:rPr>
                <w:rFonts w:ascii="宋体" w:hAnsi="宋体"/>
                <w:sz w:val="24"/>
                <w:lang w:eastAsia="zh-Hans"/>
              </w:rPr>
              <w:t>不良反应识别</w:t>
            </w:r>
          </w:p>
          <w:p w14:paraId="3BF92151">
            <w:pPr>
              <w:spacing w:line="360" w:lineRule="auto"/>
              <w:rPr>
                <w:rFonts w:ascii="宋体" w:hAnsi="宋体"/>
                <w:sz w:val="24"/>
                <w:lang w:eastAsia="zh-Hans"/>
              </w:rPr>
            </w:pPr>
            <w:r>
              <w:rPr>
                <w:rFonts w:ascii="宋体" w:hAnsi="宋体"/>
                <w:sz w:val="24"/>
                <w:lang w:eastAsia="zh-Hans"/>
              </w:rPr>
              <w:t>系统内置</w:t>
            </w:r>
            <w:r>
              <w:rPr>
                <w:rFonts w:hint="eastAsia" w:ascii="宋体" w:hAnsi="宋体"/>
                <w:sz w:val="24"/>
              </w:rPr>
              <w:t>不良反应</w:t>
            </w:r>
            <w:r>
              <w:rPr>
                <w:rFonts w:ascii="宋体" w:hAnsi="宋体"/>
                <w:sz w:val="24"/>
                <w:lang w:eastAsia="zh-Hans"/>
              </w:rPr>
              <w:t>专论知识库，药物不良反应数据</w:t>
            </w:r>
            <w:r>
              <w:rPr>
                <w:rFonts w:hint="eastAsia" w:ascii="宋体" w:hAnsi="宋体"/>
                <w:sz w:val="24"/>
              </w:rPr>
              <w:t>来大型</w:t>
            </w:r>
            <w:r>
              <w:rPr>
                <w:rFonts w:ascii="宋体" w:hAnsi="宋体"/>
                <w:sz w:val="24"/>
                <w:lang w:eastAsia="zh-Hans"/>
              </w:rPr>
              <w:t>个例安全性上报系统，提示与患者检验结果和病程记录内容具有关联性的项目，</w:t>
            </w:r>
            <w:r>
              <w:rPr>
                <w:rFonts w:hint="eastAsia" w:ascii="宋体" w:hAnsi="宋体"/>
                <w:sz w:val="24"/>
              </w:rPr>
              <w:t>并将其作为监护原因快速导入药学监护等级评估。</w:t>
            </w:r>
            <w:r>
              <w:rPr>
                <w:rFonts w:ascii="宋体" w:hAnsi="宋体"/>
                <w:sz w:val="24"/>
                <w:lang w:eastAsia="zh-Hans"/>
              </w:rPr>
              <w:t>同时支持药师查询</w:t>
            </w:r>
            <w:r>
              <w:rPr>
                <w:rFonts w:hint="eastAsia" w:ascii="宋体" w:hAnsi="宋体"/>
                <w:sz w:val="24"/>
              </w:rPr>
              <w:t>患者用药</w:t>
            </w:r>
            <w:r>
              <w:rPr>
                <w:rFonts w:ascii="宋体" w:hAnsi="宋体"/>
                <w:sz w:val="24"/>
                <w:lang w:eastAsia="zh-Hans"/>
              </w:rPr>
              <w:t>常见不良反应和处理方案</w:t>
            </w:r>
            <w:r>
              <w:rPr>
                <w:rFonts w:hint="eastAsia" w:ascii="宋体" w:hAnsi="宋体"/>
                <w:sz w:val="24"/>
              </w:rPr>
              <w:t>、大型数据库中的不良反应上报率数据</w:t>
            </w:r>
            <w:r>
              <w:rPr>
                <w:rFonts w:ascii="宋体" w:hAnsi="宋体"/>
                <w:sz w:val="24"/>
                <w:lang w:eastAsia="zh-Hans"/>
              </w:rPr>
              <w:t>。</w:t>
            </w:r>
            <w:r>
              <w:rPr>
                <w:rFonts w:hint="eastAsia" w:ascii="宋体" w:hAnsi="宋体"/>
                <w:sz w:val="24"/>
              </w:rPr>
              <w:t>（提供系统截图）</w:t>
            </w:r>
          </w:p>
        </w:tc>
      </w:tr>
      <w:tr w14:paraId="161C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right w:val="single" w:color="auto" w:sz="4" w:space="0"/>
            </w:tcBorders>
            <w:noWrap w:val="0"/>
            <w:vAlign w:val="top"/>
          </w:tcPr>
          <w:p w14:paraId="5D62CD77">
            <w:pPr>
              <w:spacing w:line="360" w:lineRule="auto"/>
              <w:rPr>
                <w:rFonts w:ascii="宋体" w:hAnsi="宋体"/>
                <w:sz w:val="24"/>
              </w:rPr>
            </w:pPr>
            <w:r>
              <w:rPr>
                <w:rFonts w:hint="eastAsia" w:ascii="宋体" w:hAnsi="宋体"/>
                <w:kern w:val="0"/>
                <w:sz w:val="24"/>
              </w:rPr>
              <w:t>▲</w:t>
            </w:r>
            <w:r>
              <w:rPr>
                <w:rFonts w:hint="eastAsia" w:ascii="宋体" w:hAnsi="宋体"/>
                <w:sz w:val="24"/>
              </w:rPr>
              <w:t>12</w:t>
            </w:r>
          </w:p>
        </w:tc>
        <w:tc>
          <w:tcPr>
            <w:tcW w:w="8463" w:type="dxa"/>
            <w:tcBorders>
              <w:top w:val="single" w:color="auto" w:sz="4" w:space="0"/>
              <w:left w:val="single" w:color="auto" w:sz="4" w:space="0"/>
              <w:bottom w:val="single" w:color="auto" w:sz="4" w:space="0"/>
              <w:right w:val="single" w:color="auto" w:sz="4" w:space="0"/>
            </w:tcBorders>
            <w:noWrap w:val="0"/>
            <w:vAlign w:val="top"/>
          </w:tcPr>
          <w:p w14:paraId="125B9A45">
            <w:pPr>
              <w:spacing w:line="360" w:lineRule="auto"/>
              <w:rPr>
                <w:rFonts w:ascii="宋体" w:hAnsi="宋体"/>
                <w:sz w:val="24"/>
              </w:rPr>
            </w:pPr>
            <w:r>
              <w:rPr>
                <w:rFonts w:hint="eastAsia" w:ascii="宋体" w:hAnsi="宋体"/>
                <w:sz w:val="24"/>
              </w:rPr>
              <w:t>药物定量计算</w:t>
            </w:r>
          </w:p>
          <w:p w14:paraId="058860AD">
            <w:pPr>
              <w:spacing w:line="360" w:lineRule="auto"/>
              <w:rPr>
                <w:rFonts w:ascii="宋体" w:hAnsi="宋体" w:cs="宋体"/>
                <w:sz w:val="24"/>
              </w:rPr>
            </w:pPr>
            <w:r>
              <w:rPr>
                <w:rFonts w:hint="eastAsia" w:ascii="宋体" w:hAnsi="宋体"/>
                <w:sz w:val="24"/>
              </w:rPr>
              <w:t>针对在住院期间接受过治疗药物监测（TDM）的患者，系统</w:t>
            </w:r>
            <w:r>
              <w:rPr>
                <w:rFonts w:hint="eastAsia" w:ascii="宋体" w:hAnsi="宋体"/>
                <w:bCs/>
                <w:sz w:val="24"/>
              </w:rPr>
              <w:t>至少</w:t>
            </w:r>
            <w:r>
              <w:rPr>
                <w:rFonts w:hint="eastAsia" w:ascii="宋体" w:hAnsi="宋体"/>
                <w:sz w:val="24"/>
              </w:rPr>
              <w:t>内置万古霉素、他克莫司、环孢素、利培酮、丙戊酸、喹硫平、舍曲林物的用药剂量预测模型，采用机器学习技术构建的人工智能模型，针对患者接受监测的用药，自动从信息系统中抓取可通过现有接口获取到的模型中的临床参数，开展匹配运算，给出个体化用药剂量推荐。（提供系统截图）</w:t>
            </w:r>
          </w:p>
        </w:tc>
      </w:tr>
      <w:tr w14:paraId="29AA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right w:val="single" w:color="auto" w:sz="4" w:space="0"/>
            </w:tcBorders>
            <w:noWrap w:val="0"/>
            <w:vAlign w:val="top"/>
          </w:tcPr>
          <w:p w14:paraId="234AC540">
            <w:pPr>
              <w:spacing w:line="360" w:lineRule="auto"/>
              <w:rPr>
                <w:rFonts w:ascii="宋体" w:hAnsi="宋体"/>
                <w:sz w:val="24"/>
              </w:rPr>
            </w:pPr>
            <w:r>
              <w:rPr>
                <w:rFonts w:hint="eastAsia" w:ascii="宋体" w:hAnsi="宋体"/>
                <w:sz w:val="24"/>
              </w:rPr>
              <w:t>13</w:t>
            </w:r>
          </w:p>
        </w:tc>
        <w:tc>
          <w:tcPr>
            <w:tcW w:w="8463" w:type="dxa"/>
            <w:tcBorders>
              <w:top w:val="single" w:color="auto" w:sz="4" w:space="0"/>
              <w:left w:val="single" w:color="auto" w:sz="4" w:space="0"/>
              <w:bottom w:val="single" w:color="auto" w:sz="4" w:space="0"/>
              <w:right w:val="single" w:color="auto" w:sz="4" w:space="0"/>
            </w:tcBorders>
            <w:noWrap w:val="0"/>
            <w:vAlign w:val="top"/>
          </w:tcPr>
          <w:p w14:paraId="2B631116">
            <w:pPr>
              <w:spacing w:line="360" w:lineRule="auto"/>
              <w:rPr>
                <w:rFonts w:ascii="宋体" w:hAnsi="宋体"/>
                <w:sz w:val="24"/>
              </w:rPr>
            </w:pPr>
            <w:r>
              <w:rPr>
                <w:rFonts w:hint="eastAsia" w:ascii="宋体" w:hAnsi="宋体"/>
                <w:sz w:val="24"/>
              </w:rPr>
              <w:t>病例讨论</w:t>
            </w:r>
          </w:p>
          <w:p w14:paraId="10B590F3">
            <w:pPr>
              <w:spacing w:line="360" w:lineRule="auto"/>
              <w:rPr>
                <w:rFonts w:ascii="宋体" w:hAnsi="宋体"/>
                <w:sz w:val="24"/>
              </w:rPr>
            </w:pPr>
            <w:r>
              <w:rPr>
                <w:rFonts w:hint="eastAsia" w:ascii="宋体" w:hAnsi="宋体"/>
                <w:sz w:val="24"/>
              </w:rPr>
              <w:t>药师可作为主持人发起病例讨论及选择参与药师，参与药师可收到病例讨论邀请并结合病例摘要和讨论主题内容反馈意见，由主持人汇总并导出病例讨论记录。</w:t>
            </w:r>
          </w:p>
        </w:tc>
      </w:tr>
      <w:tr w14:paraId="61A3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right w:val="single" w:color="auto" w:sz="4" w:space="0"/>
            </w:tcBorders>
            <w:noWrap w:val="0"/>
            <w:vAlign w:val="top"/>
          </w:tcPr>
          <w:p w14:paraId="18ADD8FD">
            <w:pPr>
              <w:spacing w:line="360" w:lineRule="auto"/>
              <w:rPr>
                <w:rFonts w:ascii="宋体" w:hAnsi="宋体"/>
                <w:sz w:val="24"/>
              </w:rPr>
            </w:pPr>
            <w:r>
              <w:rPr>
                <w:rFonts w:hint="eastAsia" w:ascii="宋体" w:hAnsi="宋体"/>
                <w:kern w:val="0"/>
                <w:sz w:val="24"/>
              </w:rPr>
              <w:t>▲</w:t>
            </w:r>
            <w:r>
              <w:rPr>
                <w:rFonts w:hint="eastAsia" w:ascii="宋体" w:hAnsi="宋体"/>
                <w:sz w:val="24"/>
              </w:rPr>
              <w:t>14</w:t>
            </w:r>
          </w:p>
        </w:tc>
        <w:tc>
          <w:tcPr>
            <w:tcW w:w="8463" w:type="dxa"/>
            <w:tcBorders>
              <w:top w:val="single" w:color="auto" w:sz="4" w:space="0"/>
              <w:left w:val="single" w:color="auto" w:sz="4" w:space="0"/>
              <w:bottom w:val="single" w:color="auto" w:sz="4" w:space="0"/>
              <w:right w:val="single" w:color="auto" w:sz="4" w:space="0"/>
            </w:tcBorders>
            <w:noWrap w:val="0"/>
            <w:vAlign w:val="top"/>
          </w:tcPr>
          <w:p w14:paraId="61EFCD7E">
            <w:pPr>
              <w:spacing w:line="360" w:lineRule="auto"/>
              <w:rPr>
                <w:rFonts w:ascii="宋体" w:hAnsi="宋体"/>
                <w:sz w:val="24"/>
              </w:rPr>
            </w:pPr>
            <w:r>
              <w:rPr>
                <w:rFonts w:hint="eastAsia" w:ascii="宋体" w:hAnsi="宋体"/>
                <w:sz w:val="24"/>
              </w:rPr>
              <w:t>药学查房</w:t>
            </w:r>
          </w:p>
          <w:p w14:paraId="3A24624E">
            <w:pPr>
              <w:spacing w:line="360" w:lineRule="auto"/>
              <w:rPr>
                <w:rFonts w:ascii="宋体" w:hAnsi="宋体"/>
                <w:sz w:val="24"/>
              </w:rPr>
            </w:pPr>
            <w:r>
              <w:rPr>
                <w:rFonts w:hint="eastAsia" w:ascii="宋体" w:hAnsi="宋体"/>
                <w:sz w:val="24"/>
              </w:rPr>
              <w:t>系统可根据患者的药学监护等级和药师设置的监护频率提示药师完成每日查房工作。系统包括单独设计的移动查房APP，实现移动端与PC端同步填写查房记录表，PC端查房记录支持CA数字签名；移动端可支持查看患者医嘱、病程记录、检验检查、生命体征等重点诊疗信息及药师制定的监护计划，填写疾病评估量表、接收查房提醒并通过拍照和录音等方式记录查房要点，采集患者院外用药情况并同步至PC端入院用药重整表单。</w:t>
            </w:r>
          </w:p>
        </w:tc>
      </w:tr>
      <w:tr w14:paraId="75E0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right w:val="single" w:color="auto" w:sz="4" w:space="0"/>
            </w:tcBorders>
            <w:noWrap w:val="0"/>
            <w:vAlign w:val="top"/>
          </w:tcPr>
          <w:p w14:paraId="2F3C24CC">
            <w:pPr>
              <w:spacing w:line="360" w:lineRule="auto"/>
              <w:rPr>
                <w:rFonts w:ascii="宋体" w:hAnsi="宋体"/>
                <w:sz w:val="24"/>
              </w:rPr>
            </w:pPr>
            <w:r>
              <w:rPr>
                <w:rFonts w:hint="eastAsia" w:ascii="宋体" w:hAnsi="宋体"/>
                <w:sz w:val="24"/>
              </w:rPr>
              <w:t>15</w:t>
            </w:r>
          </w:p>
        </w:tc>
        <w:tc>
          <w:tcPr>
            <w:tcW w:w="8463" w:type="dxa"/>
            <w:tcBorders>
              <w:top w:val="single" w:color="auto" w:sz="4" w:space="0"/>
              <w:left w:val="single" w:color="auto" w:sz="4" w:space="0"/>
              <w:bottom w:val="single" w:color="auto" w:sz="4" w:space="0"/>
              <w:right w:val="single" w:color="auto" w:sz="4" w:space="0"/>
            </w:tcBorders>
            <w:noWrap w:val="0"/>
            <w:vAlign w:val="top"/>
          </w:tcPr>
          <w:p w14:paraId="33A0017E">
            <w:pPr>
              <w:spacing w:line="360" w:lineRule="auto"/>
              <w:rPr>
                <w:rFonts w:ascii="宋体" w:hAnsi="宋体"/>
                <w:sz w:val="24"/>
                <w:lang w:eastAsia="zh-Hans"/>
              </w:rPr>
            </w:pPr>
            <w:r>
              <w:rPr>
                <w:rFonts w:ascii="宋体" w:hAnsi="宋体"/>
                <w:sz w:val="24"/>
                <w:lang w:eastAsia="zh-Hans"/>
              </w:rPr>
              <w:t>知识查询</w:t>
            </w:r>
          </w:p>
          <w:p w14:paraId="265FC2D2">
            <w:pPr>
              <w:spacing w:line="360" w:lineRule="auto"/>
              <w:rPr>
                <w:rFonts w:ascii="宋体" w:hAnsi="宋体"/>
                <w:sz w:val="24"/>
                <w:lang w:eastAsia="zh-Hans"/>
              </w:rPr>
            </w:pPr>
            <w:r>
              <w:rPr>
                <w:rFonts w:hint="eastAsia" w:ascii="宋体" w:hAnsi="宋体"/>
                <w:sz w:val="24"/>
                <w:lang w:eastAsia="zh-Hans"/>
              </w:rPr>
              <w:t>提供药品说明书、</w:t>
            </w:r>
            <w:r>
              <w:rPr>
                <w:rFonts w:hint="eastAsia" w:ascii="宋体" w:hAnsi="宋体"/>
                <w:sz w:val="24"/>
              </w:rPr>
              <w:t>用药教育专论、健康教育专论、特殊人群用药建议（老年人、妊娠哺乳、肾功能不全、药物性肝损伤）、特殊</w:t>
            </w:r>
            <w:r>
              <w:rPr>
                <w:rFonts w:hint="eastAsia" w:ascii="宋体" w:hAnsi="宋体"/>
                <w:sz w:val="24"/>
                <w:lang w:eastAsia="zh-Hans"/>
              </w:rPr>
              <w:t>给药装置操作手册和视频、常用医药公式、药物相互作用</w:t>
            </w:r>
            <w:r>
              <w:rPr>
                <w:rFonts w:hint="eastAsia" w:ascii="宋体" w:hAnsi="宋体"/>
                <w:sz w:val="24"/>
              </w:rPr>
              <w:t>查询（药物-药物、食物-药物、抗肿瘤药、抗肝炎药、老年多重用药）</w:t>
            </w:r>
            <w:r>
              <w:rPr>
                <w:rFonts w:hint="eastAsia" w:ascii="宋体" w:hAnsi="宋体"/>
                <w:sz w:val="24"/>
                <w:lang w:eastAsia="zh-Hans"/>
              </w:rPr>
              <w:t>等知识库的查询功能。</w:t>
            </w:r>
          </w:p>
        </w:tc>
      </w:tr>
      <w:tr w14:paraId="7211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right w:val="single" w:color="auto" w:sz="4" w:space="0"/>
            </w:tcBorders>
            <w:noWrap w:val="0"/>
            <w:vAlign w:val="top"/>
          </w:tcPr>
          <w:p w14:paraId="1B793F2D">
            <w:pPr>
              <w:spacing w:line="360" w:lineRule="auto"/>
              <w:rPr>
                <w:rFonts w:ascii="宋体" w:hAnsi="宋体"/>
                <w:sz w:val="24"/>
              </w:rPr>
            </w:pPr>
            <w:r>
              <w:rPr>
                <w:rFonts w:hint="eastAsia" w:ascii="宋体" w:hAnsi="宋体"/>
                <w:sz w:val="24"/>
              </w:rPr>
              <w:t>16</w:t>
            </w:r>
          </w:p>
        </w:tc>
        <w:tc>
          <w:tcPr>
            <w:tcW w:w="8463" w:type="dxa"/>
            <w:tcBorders>
              <w:top w:val="single" w:color="auto" w:sz="4" w:space="0"/>
              <w:left w:val="single" w:color="auto" w:sz="4" w:space="0"/>
              <w:bottom w:val="single" w:color="auto" w:sz="4" w:space="0"/>
              <w:right w:val="single" w:color="auto" w:sz="4" w:space="0"/>
            </w:tcBorders>
            <w:noWrap w:val="0"/>
            <w:vAlign w:val="top"/>
          </w:tcPr>
          <w:p w14:paraId="01A5CDB0">
            <w:pPr>
              <w:spacing w:line="360" w:lineRule="auto"/>
              <w:rPr>
                <w:rFonts w:ascii="宋体" w:hAnsi="宋体"/>
                <w:sz w:val="24"/>
              </w:rPr>
            </w:pPr>
            <w:r>
              <w:rPr>
                <w:rFonts w:ascii="宋体" w:hAnsi="宋体"/>
                <w:sz w:val="24"/>
              </w:rPr>
              <w:t>统计分析</w:t>
            </w:r>
          </w:p>
          <w:p w14:paraId="2D9510F3">
            <w:pPr>
              <w:spacing w:line="360" w:lineRule="auto"/>
              <w:rPr>
                <w:rFonts w:ascii="宋体" w:hAnsi="宋体"/>
                <w:sz w:val="24"/>
              </w:rPr>
            </w:pPr>
            <w:r>
              <w:rPr>
                <w:rFonts w:hint="eastAsia" w:ascii="宋体" w:hAnsi="宋体"/>
                <w:sz w:val="24"/>
              </w:rPr>
              <w:t>可实现人工医嘱审核、监护计划、用药重整、用药咨询、入院评估等各监护项目的工作量统计，实现针对全院和不同科室的住院药学监护率统计。</w:t>
            </w:r>
          </w:p>
        </w:tc>
      </w:tr>
      <w:tr w14:paraId="78CC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tcBorders>
              <w:top w:val="single" w:color="auto" w:sz="4" w:space="0"/>
              <w:left w:val="single" w:color="auto" w:sz="4" w:space="0"/>
              <w:bottom w:val="single" w:color="auto" w:sz="4" w:space="0"/>
              <w:right w:val="single" w:color="auto" w:sz="4" w:space="0"/>
            </w:tcBorders>
            <w:noWrap w:val="0"/>
            <w:vAlign w:val="top"/>
          </w:tcPr>
          <w:p w14:paraId="2E6D82A2">
            <w:pPr>
              <w:spacing w:line="360" w:lineRule="auto"/>
              <w:rPr>
                <w:rFonts w:ascii="宋体" w:hAnsi="宋体"/>
                <w:sz w:val="24"/>
              </w:rPr>
            </w:pPr>
            <w:r>
              <w:rPr>
                <w:rFonts w:hint="eastAsia" w:ascii="宋体" w:hAnsi="宋体"/>
                <w:sz w:val="24"/>
              </w:rPr>
              <w:t>17</w:t>
            </w:r>
          </w:p>
        </w:tc>
        <w:tc>
          <w:tcPr>
            <w:tcW w:w="8463" w:type="dxa"/>
            <w:tcBorders>
              <w:top w:val="single" w:color="auto" w:sz="4" w:space="0"/>
              <w:left w:val="single" w:color="auto" w:sz="4" w:space="0"/>
              <w:bottom w:val="single" w:color="auto" w:sz="4" w:space="0"/>
              <w:right w:val="single" w:color="auto" w:sz="4" w:space="0"/>
            </w:tcBorders>
            <w:noWrap w:val="0"/>
            <w:vAlign w:val="top"/>
          </w:tcPr>
          <w:p w14:paraId="5225E8BD">
            <w:pPr>
              <w:spacing w:line="360" w:lineRule="auto"/>
              <w:rPr>
                <w:rFonts w:ascii="宋体" w:hAnsi="宋体"/>
                <w:sz w:val="24"/>
              </w:rPr>
            </w:pPr>
            <w:r>
              <w:rPr>
                <w:rFonts w:hint="eastAsia" w:ascii="宋体" w:hAnsi="宋体"/>
                <w:sz w:val="24"/>
                <w:szCs w:val="21"/>
              </w:rPr>
              <w:t>药学服务大模型</w:t>
            </w:r>
          </w:p>
          <w:p w14:paraId="132FF2BA">
            <w:pPr>
              <w:spacing w:line="360" w:lineRule="auto"/>
              <w:rPr>
                <w:rFonts w:ascii="宋体" w:hAnsi="宋体"/>
                <w:sz w:val="24"/>
                <w:lang w:val="es-AR"/>
              </w:rPr>
            </w:pPr>
            <w:r>
              <w:rPr>
                <w:rFonts w:hint="eastAsia" w:ascii="宋体" w:hAnsi="宋体"/>
                <w:sz w:val="24"/>
                <w:lang w:val="es-AR"/>
              </w:rPr>
              <w:t>依托于院内本地部署的DeepSeek基座，构建药学专业数据集完成检索增强生成</w:t>
            </w:r>
            <w:r>
              <w:rPr>
                <w:rFonts w:hint="eastAsia" w:ascii="宋体" w:hAnsi="宋体"/>
                <w:sz w:val="24"/>
                <w:lang w:val="es-AR" w:eastAsia="zh-CN"/>
              </w:rPr>
              <w:t>，</w:t>
            </w:r>
            <w:bookmarkStart w:id="0" w:name="_GoBack"/>
            <w:bookmarkEnd w:id="0"/>
            <w:r>
              <w:rPr>
                <w:rFonts w:hint="eastAsia" w:ascii="宋体" w:hAnsi="宋体"/>
                <w:sz w:val="24"/>
                <w:lang w:val="es-AR"/>
              </w:rPr>
              <w:t>搭载于</w:t>
            </w:r>
            <w:r>
              <w:rPr>
                <w:rFonts w:hint="eastAsia" w:ascii="宋体" w:hAnsi="宋体"/>
                <w:sz w:val="24"/>
              </w:rPr>
              <w:t>模块</w:t>
            </w:r>
            <w:r>
              <w:rPr>
                <w:rFonts w:hint="eastAsia" w:ascii="宋体" w:hAnsi="宋体"/>
                <w:sz w:val="24"/>
                <w:lang w:val="es-AR"/>
              </w:rPr>
              <w:t>中即时回答各类临床用药问题并提供参考来源。</w:t>
            </w:r>
          </w:p>
        </w:tc>
      </w:tr>
    </w:tbl>
    <w:p w14:paraId="6C91467C">
      <w:pPr>
        <w:autoSpaceDE w:val="0"/>
        <w:autoSpaceDN w:val="0"/>
        <w:adjustRightInd w:val="0"/>
        <w:spacing w:line="360" w:lineRule="auto"/>
        <w:jc w:val="left"/>
        <w:rPr>
          <w:rFonts w:hint="eastAsia" w:ascii="宋体" w:hAnsi="宋体" w:eastAsia="宋体" w:cs="宋体"/>
          <w:kern w:val="0"/>
          <w:sz w:val="24"/>
          <w:szCs w:val="24"/>
        </w:rPr>
      </w:pPr>
    </w:p>
    <w:p w14:paraId="2F700BA9">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四</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资格条件</w:t>
      </w:r>
    </w:p>
    <w:p w14:paraId="6BDD3E39">
      <w:pPr>
        <w:pStyle w:val="16"/>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（1）具有合法经营资质的独立法人、其他组织；</w:t>
      </w:r>
    </w:p>
    <w:p w14:paraId="27684A26">
      <w:pPr>
        <w:pStyle w:val="16"/>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）未被“信用中国”网站（www.creditchina.gov.cn）列入失信被执行人名单、重大税收违法案件当事人名单，未被中国政府采购网（www.ccgp.gov.cn）列入政府采购严重违法失信行为记录名单。</w:t>
      </w:r>
    </w:p>
    <w:p w14:paraId="04247265">
      <w:pPr>
        <w:pStyle w:val="16"/>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）本项目不接受联合体投标</w:t>
      </w:r>
    </w:p>
    <w:p w14:paraId="4C02E06A">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N2YyNGE3MGRmODA3YWUxMTEzMzYyNzE2N2EyZGMifQ=="/>
  </w:docVars>
  <w:rsids>
    <w:rsidRoot w:val="00802568"/>
    <w:rsid w:val="00097888"/>
    <w:rsid w:val="000B35DF"/>
    <w:rsid w:val="0013594E"/>
    <w:rsid w:val="001B75E0"/>
    <w:rsid w:val="001C1877"/>
    <w:rsid w:val="001D1C86"/>
    <w:rsid w:val="002E581F"/>
    <w:rsid w:val="00442A8D"/>
    <w:rsid w:val="007E4B52"/>
    <w:rsid w:val="00802568"/>
    <w:rsid w:val="0090336E"/>
    <w:rsid w:val="009D50C6"/>
    <w:rsid w:val="00B43BBE"/>
    <w:rsid w:val="00BE15FC"/>
    <w:rsid w:val="00C6537D"/>
    <w:rsid w:val="00DE00A7"/>
    <w:rsid w:val="00E327F1"/>
    <w:rsid w:val="00F33866"/>
    <w:rsid w:val="060614D7"/>
    <w:rsid w:val="0D995E8D"/>
    <w:rsid w:val="14094B03"/>
    <w:rsid w:val="141B74F9"/>
    <w:rsid w:val="1CE60459"/>
    <w:rsid w:val="1DC57AE4"/>
    <w:rsid w:val="1F0A03FC"/>
    <w:rsid w:val="21B06347"/>
    <w:rsid w:val="31785D43"/>
    <w:rsid w:val="49B50201"/>
    <w:rsid w:val="4BB93175"/>
    <w:rsid w:val="4E75200D"/>
    <w:rsid w:val="53284977"/>
    <w:rsid w:val="54294421"/>
    <w:rsid w:val="582D1057"/>
    <w:rsid w:val="59D9400C"/>
    <w:rsid w:val="65E840C9"/>
    <w:rsid w:val="66836CE5"/>
    <w:rsid w:val="6D3A0424"/>
    <w:rsid w:val="79501600"/>
    <w:rsid w:val="7B0C44BD"/>
    <w:rsid w:val="7BE74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Body Text"/>
    <w:basedOn w:val="1"/>
    <w:qFormat/>
    <w:uiPriority w:val="99"/>
    <w:pPr>
      <w:spacing w:after="120"/>
    </w:pPr>
  </w:style>
  <w:style w:type="paragraph" w:styleId="4">
    <w:name w:val="Body Text Indent"/>
    <w:basedOn w:val="1"/>
    <w:qFormat/>
    <w:uiPriority w:val="99"/>
    <w:pPr>
      <w:spacing w:line="480" w:lineRule="exact"/>
      <w:ind w:firstLine="525"/>
    </w:pPr>
    <w:rPr>
      <w:rFonts w:ascii="宋体" w:eastAsia="宋体"/>
      <w:sz w:val="24"/>
      <w:szCs w:val="20"/>
    </w:rPr>
  </w:style>
  <w:style w:type="paragraph" w:styleId="5">
    <w:name w:val="Balloon Text"/>
    <w:basedOn w:val="1"/>
    <w:link w:val="19"/>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8"/>
    <w:autoRedefine/>
    <w:semiHidden/>
    <w:unhideWhenUsed/>
    <w:qFormat/>
    <w:uiPriority w:val="99"/>
    <w:rPr>
      <w:b/>
      <w:bCs/>
    </w:rPr>
  </w:style>
  <w:style w:type="character" w:styleId="11">
    <w:name w:val="page number"/>
    <w:qFormat/>
    <w:uiPriority w:val="0"/>
  </w:style>
  <w:style w:type="character" w:styleId="12">
    <w:name w:val="annotation reference"/>
    <w:basedOn w:val="10"/>
    <w:autoRedefine/>
    <w:semiHidden/>
    <w:unhideWhenUsed/>
    <w:qFormat/>
    <w:uiPriority w:val="99"/>
    <w:rPr>
      <w:sz w:val="21"/>
      <w:szCs w:val="21"/>
    </w:rPr>
  </w:style>
  <w:style w:type="character" w:customStyle="1" w:styleId="13">
    <w:name w:val="页眉 字符"/>
    <w:basedOn w:val="10"/>
    <w:link w:val="7"/>
    <w:autoRedefine/>
    <w:qFormat/>
    <w:uiPriority w:val="99"/>
    <w:rPr>
      <w:sz w:val="18"/>
      <w:szCs w:val="18"/>
    </w:rPr>
  </w:style>
  <w:style w:type="character" w:customStyle="1" w:styleId="14">
    <w:name w:val="页脚 字符"/>
    <w:basedOn w:val="10"/>
    <w:link w:val="6"/>
    <w:autoRedefine/>
    <w:qFormat/>
    <w:uiPriority w:val="99"/>
    <w:rPr>
      <w:sz w:val="18"/>
      <w:szCs w:val="18"/>
    </w:rPr>
  </w:style>
  <w:style w:type="character" w:customStyle="1" w:styleId="15">
    <w:name w:val="NormalCharacter"/>
    <w:autoRedefine/>
    <w:semiHidden/>
    <w:qFormat/>
    <w:uiPriority w:val="0"/>
  </w:style>
  <w:style w:type="paragraph" w:styleId="16">
    <w:name w:val="List Paragraph"/>
    <w:basedOn w:val="1"/>
    <w:autoRedefine/>
    <w:qFormat/>
    <w:uiPriority w:val="34"/>
    <w:pPr>
      <w:ind w:firstLine="420" w:firstLineChars="200"/>
    </w:pPr>
  </w:style>
  <w:style w:type="character" w:customStyle="1" w:styleId="17">
    <w:name w:val="批注文字 字符"/>
    <w:basedOn w:val="10"/>
    <w:link w:val="2"/>
    <w:autoRedefine/>
    <w:semiHidden/>
    <w:qFormat/>
    <w:uiPriority w:val="99"/>
  </w:style>
  <w:style w:type="character" w:customStyle="1" w:styleId="18">
    <w:name w:val="批注主题 字符"/>
    <w:basedOn w:val="17"/>
    <w:link w:val="8"/>
    <w:autoRedefine/>
    <w:semiHidden/>
    <w:qFormat/>
    <w:uiPriority w:val="99"/>
    <w:rPr>
      <w:b/>
      <w:bCs/>
    </w:rPr>
  </w:style>
  <w:style w:type="character" w:customStyle="1" w:styleId="19">
    <w:name w:val="批注框文本 字符"/>
    <w:basedOn w:val="10"/>
    <w:link w:val="5"/>
    <w:autoRedefine/>
    <w:semiHidden/>
    <w:qFormat/>
    <w:uiPriority w:val="99"/>
    <w:rPr>
      <w:sz w:val="18"/>
      <w:szCs w:val="18"/>
    </w:rPr>
  </w:style>
  <w:style w:type="paragraph" w:customStyle="1" w:styleId="20">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21">
    <w:name w:val="font01"/>
    <w:qFormat/>
    <w:uiPriority w:val="0"/>
    <w:rPr>
      <w:rFonts w:hint="eastAsia" w:ascii="宋体" w:hAnsi="宋体" w:eastAsia="宋体" w:cs="宋体"/>
      <w:color w:val="000000"/>
      <w:sz w:val="22"/>
      <w:szCs w:val="22"/>
      <w:u w:val="none"/>
    </w:rPr>
  </w:style>
  <w:style w:type="paragraph" w:customStyle="1" w:styleId="22">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表格"/>
    <w:basedOn w:val="1"/>
    <w:qFormat/>
    <w:uiPriority w:val="0"/>
    <w:pPr>
      <w:spacing w:line="276" w:lineRule="auto"/>
      <w:jc w:val="center"/>
    </w:pPr>
    <w:rPr>
      <w:rFonts w:ascii="宋体" w:hAnsi="宋体"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11</Pages>
  <Words>723</Words>
  <Characters>832</Characters>
  <Lines>20</Lines>
  <Paragraphs>5</Paragraphs>
  <TotalTime>0</TotalTime>
  <ScaleCrop>false</ScaleCrop>
  <LinksUpToDate>false</LinksUpToDate>
  <CharactersWithSpaces>838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2024-04-02T07:56:00Z</dcterms:created>
  <dc:creator>Windows 用户</dc:creator>
  <cp:lastModifiedBy>小胖老虎</cp:lastModifiedBy>
  <dcterms:modified xsi:type="dcterms:W3CDTF">2025-05-12T08:35:51Z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5BA4D0E65F324D6CAF1CDD63B8D3D2DE_12</vt:lpwstr>
  </property>
  <property fmtid="{D5CDD505-2E9C-101B-9397-08002B2CF9AE}" pid="4" name="KSOTemplateDocerSaveRecord">
    <vt:lpwstr>eyJoZGlkIjoiNmEzNTc1YWI2NWM3ZWQyYzFhN2M3Y2ExNWEyOTJlMGQiLCJ1c2VySWQiOiI1Mjc4MjAyOTQifQ==</vt:lpwstr>
  </property>
</Properties>
</file>