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8894"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一、项目名称</w:t>
      </w:r>
    </w:p>
    <w:p w14:paraId="640D4BDD" w14:textId="7D8A08FF" w:rsidR="00E347A7" w:rsidRDefault="00DB18E8" w:rsidP="001D1C86">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新华医院2025年等保测评服务</w:t>
      </w:r>
    </w:p>
    <w:p w14:paraId="6D243CAB"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二、项目参数:</w:t>
      </w:r>
    </w:p>
    <w:p w14:paraId="2348A595"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一、</w:t>
      </w:r>
      <w:r w:rsidRPr="00DB18E8">
        <w:rPr>
          <w:rFonts w:ascii="宋体" w:eastAsia="宋体" w:hAnsi="宋体" w:hint="eastAsia"/>
          <w:sz w:val="24"/>
          <w:szCs w:val="24"/>
        </w:rPr>
        <w:tab/>
        <w:t>服务内容</w:t>
      </w:r>
    </w:p>
    <w:p w14:paraId="350515FA"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为上海交通大学医学院附属新华医院新华医院2025年信息系统等级保护测评项目，依据 GB/T 22239-2019《信息系统安全等级保护基本要求》(三级)、GB/T 18336-2008《信息 技术安全技术信息技术安全性评估准则》、DB31/T 272-2008《计算机信息系统安全测评通用技术 规范》等相关标准，对新华医院的新华医院数据集成平台、电子病历系统、互联网医院、门户网站、OA系统、移动医疗服务系统(微信公众号、体检健康)、医院核心业务信息系统（HIS、LIS、RIS）、医院智慧运营管理平台等8个三级系统展开等级保护测评工作，对测评工作中发现安全风险问题汇总后及时反馈，协助实施问题整改，待完成整改后，再对整改情况进行复核，以保证被测系统安全性方面满足等级 保护标准三级的要求。</w:t>
      </w:r>
    </w:p>
    <w:p w14:paraId="1F28F149"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二、</w:t>
      </w:r>
      <w:r w:rsidRPr="00DB18E8">
        <w:rPr>
          <w:rFonts w:ascii="宋体" w:eastAsia="宋体" w:hAnsi="宋体" w:hint="eastAsia"/>
          <w:sz w:val="24"/>
          <w:szCs w:val="24"/>
        </w:rPr>
        <w:tab/>
        <w:t>服务要求</w:t>
      </w:r>
    </w:p>
    <w:p w14:paraId="00BD52B8"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（一）技术要求</w:t>
      </w:r>
    </w:p>
    <w:p w14:paraId="7A1AFE1C"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1、安全物理环境</w:t>
      </w:r>
    </w:p>
    <w:p w14:paraId="78936AE3"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安全物理环境差距评估将通过访谈、文档审查和实地察看的方式差距评估信息系统的安全物理环境保障情况。主要涉及机房。</w:t>
      </w:r>
    </w:p>
    <w:p w14:paraId="4A786F70"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2、安全通信网络</w:t>
      </w:r>
    </w:p>
    <w:p w14:paraId="095807F6"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安全通信网络差距评估将通过访谈、检查和测试的方式差距评估信息系统的安全通信网络保障情况。主要涉及对象为：主要涉及网络互联设备与安全设备。</w:t>
      </w:r>
    </w:p>
    <w:p w14:paraId="11362DE7"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3、安全区域边界</w:t>
      </w:r>
    </w:p>
    <w:p w14:paraId="668BBFF9"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安全区域边界差距评估将通过访谈、检查和测试的方式差距评估信息系统的安全区域边界安全保障情况。主要涉及对象为：主要涉及网络互联设备与安全设备。</w:t>
      </w:r>
    </w:p>
    <w:p w14:paraId="1A50911F"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4、安全计算环境</w:t>
      </w:r>
    </w:p>
    <w:p w14:paraId="1FDC07B0"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安全计算环境差距评估将通过访谈、检查和测试的方式差距评估信息系统的主机和应用安全保障情况。主要涉及主机（存储操作系统）和数据库管理系统、应用系统。</w:t>
      </w:r>
    </w:p>
    <w:p w14:paraId="571FB1F8"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5、安全管理中心</w:t>
      </w:r>
    </w:p>
    <w:p w14:paraId="75FB586C"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lastRenderedPageBreak/>
        <w:t>安全管理中心评估将通过访谈、检查和测试的方式差距评估信息系统的各类安全管理情况。主要涉及对象为：应用系统鉴别数据、业务数据等系统关键数据。</w:t>
      </w:r>
    </w:p>
    <w:p w14:paraId="467C2590"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（二）管理要求</w:t>
      </w:r>
    </w:p>
    <w:p w14:paraId="23B9E8BF"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1、安全管理制度</w:t>
      </w:r>
    </w:p>
    <w:p w14:paraId="2E229C4A"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安全管理制度差距评估将通过访谈和检查的方式差距评估信息系统的安全管理制度建立情况。主要涉及对象为：信息安全管理体系、日常安全管理制度、重要操作规程及相关执行记录等。</w:t>
      </w:r>
    </w:p>
    <w:p w14:paraId="00D27F81"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2、安全管理机构</w:t>
      </w:r>
    </w:p>
    <w:p w14:paraId="26722951"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安全管理机构差距评估将通过访谈和检查的方式差距评估信息系统的安全管理机构建立情况。主要涉及对象为：安全管理机构设立文档、信息安全小组名单、岗位说明书、等文档及执行记录。</w:t>
      </w:r>
    </w:p>
    <w:p w14:paraId="04A7DDC6"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3、安全管理人员</w:t>
      </w:r>
    </w:p>
    <w:p w14:paraId="36F3AFA3"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安全管理人员差距评估将通过访谈和检查的方式差距评估信息系统的安全管理人员方面情况。主要涉及对象为：人事管理制度、外部人员访问要求等安全管理制度及执行记录。</w:t>
      </w:r>
    </w:p>
    <w:p w14:paraId="3DA5D2F9"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4、安全建设管理</w:t>
      </w:r>
    </w:p>
    <w:p w14:paraId="1D9B7905"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建设管理差距评估将通过访谈和检查的方式差距评估信息系统的安全建设管理方面情况。主要涉及对象为：系统建设过程中涉及的相关文档，如：系统定级报告、安全设计方案、测试验收报告等文档及软件开发、工程实施等方面的安全管理制度及执行记录。</w:t>
      </w:r>
    </w:p>
    <w:p w14:paraId="707E7122"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5、安全运维管理</w:t>
      </w:r>
    </w:p>
    <w:p w14:paraId="3DC707A8"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安全运维管理差距评估将通过访谈和检查的方式差距评估信息系统的安全运维管理方面情况。主要涉及对象为：系统运维过程中涉及的安全管理制度及执行记录。</w:t>
      </w:r>
    </w:p>
    <w:p w14:paraId="177D9DDD"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三、</w:t>
      </w:r>
      <w:r w:rsidRPr="00DB18E8">
        <w:rPr>
          <w:rFonts w:ascii="宋体" w:eastAsia="宋体" w:hAnsi="宋体" w:hint="eastAsia"/>
          <w:sz w:val="24"/>
          <w:szCs w:val="24"/>
        </w:rPr>
        <w:tab/>
        <w:t>服务及验收要求</w:t>
      </w:r>
    </w:p>
    <w:p w14:paraId="491DD4FE"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1、在安全等级测评工作中发现安全风险问题汇总后及时反馈采购人，同时督促其实施问题整改。</w:t>
      </w:r>
    </w:p>
    <w:p w14:paraId="1880E679"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2、待采购人完成整改后，再对整改情况进行复核，以保证其医院的新华医院数据集成平台、电子病历系统、互联网医院、门户网站、OA系统、移动医疗服务</w:t>
      </w:r>
      <w:r w:rsidRPr="00DB18E8">
        <w:rPr>
          <w:rFonts w:ascii="宋体" w:eastAsia="宋体" w:hAnsi="宋体" w:hint="eastAsia"/>
          <w:sz w:val="24"/>
          <w:szCs w:val="24"/>
        </w:rPr>
        <w:lastRenderedPageBreak/>
        <w:t>系统(微信公众号、体检健康)、医院核心业务信息系统（HIS、LIS、RIS）、医院智慧运营管理平台等8个三级系统在安全性方面满足等级保护标准(三级)的要求。</w:t>
      </w:r>
    </w:p>
    <w:p w14:paraId="24166D66"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3、获取详细的测评信息之后，对其进行归类记录，按照被测对象的定级结果，对测评记录进行整理，并进行分析评估，以期发现被测对象和等级保护标准的差距以及存在的安全隐患。</w:t>
      </w:r>
    </w:p>
    <w:p w14:paraId="0B6FB9CD"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4、将分类的评估结果综合为测评的整体结论，撰写问题汇总与整改建议。</w:t>
      </w:r>
    </w:p>
    <w:p w14:paraId="5837957C"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5、若涉及整改，在整改完成后，开展复测评工作。</w:t>
      </w:r>
    </w:p>
    <w:p w14:paraId="676E8FBC"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6、供应商在响应文件中提供服务承诺：</w:t>
      </w:r>
    </w:p>
    <w:p w14:paraId="178D0966"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1）组建一支有丰富经验的服务团队，致力于本项目的安全测评服务工作，保证为采购人提供优质服务。</w:t>
      </w:r>
    </w:p>
    <w:p w14:paraId="18AE4953"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★2）</w:t>
      </w:r>
      <w:r w:rsidRPr="00DB18E8">
        <w:rPr>
          <w:rFonts w:ascii="宋体" w:eastAsia="宋体" w:hAnsi="宋体" w:hint="eastAsia"/>
          <w:sz w:val="24"/>
          <w:szCs w:val="24"/>
        </w:rPr>
        <w:tab/>
        <w:t>提供多种技术服务方式，包括在实施期间提供驻场服务（5*8）、电话支持（7*24）、响应时间1小时到现场等。</w:t>
      </w:r>
    </w:p>
    <w:p w14:paraId="713FC2A0"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3）</w:t>
      </w:r>
      <w:r w:rsidRPr="00DB18E8">
        <w:rPr>
          <w:rFonts w:ascii="宋体" w:eastAsia="宋体" w:hAnsi="宋体" w:hint="eastAsia"/>
          <w:sz w:val="24"/>
          <w:szCs w:val="24"/>
        </w:rPr>
        <w:tab/>
        <w:t>遵循守法、公平、公正、独立的原则进行测评服务。</w:t>
      </w:r>
    </w:p>
    <w:p w14:paraId="361A6D49"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4）</w:t>
      </w:r>
      <w:r w:rsidRPr="00DB18E8">
        <w:rPr>
          <w:rFonts w:ascii="宋体" w:eastAsia="宋体" w:hAnsi="宋体" w:hint="eastAsia"/>
          <w:sz w:val="24"/>
          <w:szCs w:val="24"/>
        </w:rPr>
        <w:tab/>
        <w:t>不得以任何形式将本项目业务转包或分包给第三方。</w:t>
      </w:r>
    </w:p>
    <w:p w14:paraId="2EDF586C"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7、双方签署验收文件时，成交供应商应提交全套、完整的全面技术资料，以及所有与用户、设备等相关联的说明、表格等资料，且获得等保备案证明。</w:t>
      </w:r>
    </w:p>
    <w:p w14:paraId="494FE4FA"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8、本项目全部工作应合同签订后半年内完成。</w:t>
      </w:r>
    </w:p>
    <w:p w14:paraId="19101813"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四、</w:t>
      </w:r>
      <w:r w:rsidRPr="00DB18E8">
        <w:rPr>
          <w:rFonts w:ascii="宋体" w:eastAsia="宋体" w:hAnsi="宋体" w:hint="eastAsia"/>
          <w:sz w:val="24"/>
          <w:szCs w:val="24"/>
        </w:rPr>
        <w:tab/>
        <w:t xml:space="preserve">提交文档要求 </w:t>
      </w:r>
    </w:p>
    <w:p w14:paraId="19784ECC"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1、现场测评前，提交安全等级测评工作计划及测评方案；</w:t>
      </w:r>
    </w:p>
    <w:p w14:paraId="37739CEF"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2、初次现场安全测评完成后，分别出具新华医院数据集成平台、电子病历系统、互联网医院、门户网站、OA系统、移动医疗服务系统(微信公众号、体检健康)、医院核心业务信息系统（HIS、LIS、RIS）、医院智慧运营管理平台等8个三级系统的《测评问题汇总》;</w:t>
      </w:r>
    </w:p>
    <w:p w14:paraId="695858D5"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3、全部安全测评工作完成后，分别出具新华医院数据集成平台、电子病历系统、互联网医院、门户网站、OA系统、移动医疗服务系统(微信公众号、体检健康)、医院核心业务信息系统（HIS、LIS、RIS）、医院智慧运营管理平台等8个三级系统的《安全等级测评报告》。</w:t>
      </w:r>
    </w:p>
    <w:p w14:paraId="7D54E5AD"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五、</w:t>
      </w:r>
      <w:r w:rsidRPr="00DB18E8">
        <w:rPr>
          <w:rFonts w:ascii="宋体" w:eastAsia="宋体" w:hAnsi="宋体" w:hint="eastAsia"/>
          <w:sz w:val="24"/>
          <w:szCs w:val="24"/>
        </w:rPr>
        <w:tab/>
        <w:t>保密要求</w:t>
      </w:r>
    </w:p>
    <w:p w14:paraId="3CFC192E"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lastRenderedPageBreak/>
        <w:t>供应商应严格遵照有关保密工作要求，签订保密协议。未经采购方允许，不得以任何理由向不承担保密义务的任何第三方泄露涉密信息、医务工作秘密，不得私自复制任何涉密信息、医务工作秘密。</w:t>
      </w:r>
    </w:p>
    <w:p w14:paraId="2E5ED2F4" w14:textId="77777777" w:rsidR="00DB18E8" w:rsidRPr="00DB18E8" w:rsidRDefault="00DB18E8" w:rsidP="00DB18E8">
      <w:pPr>
        <w:spacing w:line="360" w:lineRule="auto"/>
        <w:rPr>
          <w:rFonts w:ascii="宋体" w:eastAsia="宋体" w:hAnsi="宋体" w:hint="eastAsia"/>
          <w:sz w:val="24"/>
          <w:szCs w:val="24"/>
        </w:rPr>
      </w:pPr>
    </w:p>
    <w:p w14:paraId="06CF9AEF" w14:textId="77777777" w:rsidR="00DB18E8" w:rsidRPr="00DB18E8"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六、</w:t>
      </w:r>
      <w:r w:rsidRPr="00DB18E8">
        <w:rPr>
          <w:rFonts w:ascii="宋体" w:eastAsia="宋体" w:hAnsi="宋体" w:hint="eastAsia"/>
          <w:sz w:val="24"/>
          <w:szCs w:val="24"/>
        </w:rPr>
        <w:tab/>
        <w:t>报价</w:t>
      </w:r>
    </w:p>
    <w:p w14:paraId="750DE4E9" w14:textId="65777074" w:rsidR="00446AA2" w:rsidRPr="00446AA2" w:rsidRDefault="00DB18E8" w:rsidP="00DB18E8">
      <w:pPr>
        <w:spacing w:line="360" w:lineRule="auto"/>
        <w:rPr>
          <w:rFonts w:ascii="宋体" w:eastAsia="宋体" w:hAnsi="宋体" w:hint="eastAsia"/>
          <w:sz w:val="24"/>
          <w:szCs w:val="24"/>
        </w:rPr>
      </w:pPr>
      <w:r w:rsidRPr="00DB18E8">
        <w:rPr>
          <w:rFonts w:ascii="宋体" w:eastAsia="宋体" w:hAnsi="宋体" w:hint="eastAsia"/>
          <w:sz w:val="24"/>
          <w:szCs w:val="24"/>
        </w:rPr>
        <w:t>响应报价采用固定总价，和本项目相关的费用均应包含在响应报价中，供应商应充分考虑人工费、服务费、税费、不可预见费等。供应商漏报的单价或每单价报价中漏报、少报的费用，视为此项费用已隐含在响应报价中，中标后不得再向采购方收取任何费用。任何在构成响应总价的分项费用中未列明的费用，除采购文件中另有明确规定以外，均应被认为已经包括在响应总价中，供应商不得以任何理由要求采购方额外支付任何款项。</w:t>
      </w:r>
    </w:p>
    <w:p w14:paraId="3C416020" w14:textId="77777777" w:rsidR="00220551" w:rsidRPr="00446AA2" w:rsidRDefault="00220551" w:rsidP="00220551">
      <w:pPr>
        <w:adjustRightInd w:val="0"/>
        <w:snapToGrid w:val="0"/>
        <w:spacing w:line="360" w:lineRule="auto"/>
        <w:rPr>
          <w:rFonts w:ascii="宋体" w:eastAsia="宋体" w:hAnsi="宋体" w:hint="eastAsia"/>
          <w:sz w:val="24"/>
          <w:szCs w:val="24"/>
        </w:rPr>
      </w:pPr>
    </w:p>
    <w:p w14:paraId="331182B1" w14:textId="77777777" w:rsidR="001D1C86" w:rsidRPr="001D1C86" w:rsidRDefault="00B43BBE" w:rsidP="00220551">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41CF9CB0" w14:textId="6BCE62FE" w:rsidR="001D1C86" w:rsidRPr="001D1C86" w:rsidRDefault="001D1C86" w:rsidP="001D1C86">
      <w:pPr>
        <w:adjustRightInd w:val="0"/>
        <w:snapToGrid w:val="0"/>
        <w:spacing w:line="360" w:lineRule="auto"/>
        <w:ind w:firstLineChars="200" w:firstLine="480"/>
        <w:rPr>
          <w:rFonts w:ascii="宋体" w:eastAsia="宋体" w:hAnsi="宋体" w:hint="eastAsia"/>
          <w:sz w:val="24"/>
          <w:szCs w:val="24"/>
        </w:rPr>
      </w:pPr>
      <w:r w:rsidRPr="001D1C86">
        <w:rPr>
          <w:rFonts w:ascii="宋体" w:eastAsia="宋体" w:hAnsi="宋体" w:hint="eastAsia"/>
          <w:sz w:val="24"/>
          <w:szCs w:val="24"/>
        </w:rPr>
        <w:t>人民币</w:t>
      </w:r>
      <w:r w:rsidR="00446AA2">
        <w:rPr>
          <w:rFonts w:ascii="宋体" w:eastAsia="宋体" w:hAnsi="宋体" w:hint="eastAsia"/>
          <w:sz w:val="24"/>
          <w:szCs w:val="24"/>
        </w:rPr>
        <w:t>60</w:t>
      </w:r>
      <w:r w:rsidRPr="001D1C86">
        <w:rPr>
          <w:rFonts w:ascii="宋体" w:eastAsia="宋体" w:hAnsi="宋体"/>
          <w:sz w:val="24"/>
          <w:szCs w:val="24"/>
        </w:rPr>
        <w:t>.00万元</w:t>
      </w:r>
    </w:p>
    <w:p w14:paraId="54BAE45A" w14:textId="77777777" w:rsidR="001D1C86" w:rsidRP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2FC01177" w14:textId="77777777" w:rsidR="00DB18E8" w:rsidRPr="00DB18E8" w:rsidRDefault="00DB18E8" w:rsidP="00DB18E8">
      <w:pPr>
        <w:spacing w:line="360" w:lineRule="auto"/>
        <w:rPr>
          <w:rFonts w:ascii="宋体" w:eastAsia="宋体" w:hAnsi="宋体" w:cs="Times New Roman" w:hint="eastAsia"/>
          <w:kern w:val="0"/>
          <w:sz w:val="24"/>
          <w:szCs w:val="24"/>
        </w:rPr>
      </w:pPr>
      <w:r w:rsidRPr="00DB18E8">
        <w:rPr>
          <w:rFonts w:ascii="宋体" w:eastAsia="宋体" w:hAnsi="宋体" w:cs="Times New Roman" w:hint="eastAsia"/>
          <w:kern w:val="0"/>
          <w:sz w:val="24"/>
          <w:szCs w:val="24"/>
        </w:rPr>
        <w:t>1）、具有独立承担民事责任的能力。</w:t>
      </w:r>
    </w:p>
    <w:p w14:paraId="766ADF97" w14:textId="77777777" w:rsidR="00DB18E8" w:rsidRPr="00DB18E8" w:rsidRDefault="00DB18E8" w:rsidP="00DB18E8">
      <w:pPr>
        <w:spacing w:line="360" w:lineRule="auto"/>
        <w:rPr>
          <w:rFonts w:ascii="宋体" w:eastAsia="宋体" w:hAnsi="宋体" w:cs="Times New Roman" w:hint="eastAsia"/>
          <w:kern w:val="0"/>
          <w:sz w:val="24"/>
          <w:szCs w:val="24"/>
        </w:rPr>
      </w:pPr>
      <w:r w:rsidRPr="00DB18E8">
        <w:rPr>
          <w:rFonts w:ascii="宋体" w:eastAsia="宋体" w:hAnsi="宋体" w:cs="Times New Roman" w:hint="eastAsia"/>
          <w:kern w:val="0"/>
          <w:sz w:val="24"/>
          <w:szCs w:val="24"/>
        </w:rPr>
        <w:t>2）、本项目不允许分包、转包。</w:t>
      </w:r>
    </w:p>
    <w:p w14:paraId="7D108A21" w14:textId="77777777" w:rsidR="00DB18E8" w:rsidRPr="00DB18E8" w:rsidRDefault="00DB18E8" w:rsidP="00DB18E8">
      <w:pPr>
        <w:spacing w:line="360" w:lineRule="auto"/>
        <w:rPr>
          <w:rFonts w:ascii="宋体" w:eastAsia="宋体" w:hAnsi="宋体" w:cs="Times New Roman" w:hint="eastAsia"/>
          <w:kern w:val="0"/>
          <w:sz w:val="24"/>
          <w:szCs w:val="24"/>
        </w:rPr>
      </w:pPr>
      <w:r w:rsidRPr="00DB18E8">
        <w:rPr>
          <w:rFonts w:ascii="宋体" w:eastAsia="宋体" w:hAnsi="宋体" w:cs="Times New Roman" w:hint="eastAsia"/>
          <w:kern w:val="0"/>
          <w:sz w:val="24"/>
          <w:szCs w:val="24"/>
        </w:rPr>
        <w:t>3）、本项目不接受联合体。</w:t>
      </w:r>
    </w:p>
    <w:p w14:paraId="7E9011F0" w14:textId="77777777" w:rsidR="00DB18E8" w:rsidRPr="00DB18E8" w:rsidRDefault="00DB18E8" w:rsidP="00DB18E8">
      <w:pPr>
        <w:spacing w:line="360" w:lineRule="auto"/>
        <w:rPr>
          <w:rFonts w:ascii="宋体" w:eastAsia="宋体" w:hAnsi="宋体" w:cs="Times New Roman" w:hint="eastAsia"/>
          <w:kern w:val="0"/>
          <w:sz w:val="24"/>
          <w:szCs w:val="24"/>
        </w:rPr>
      </w:pPr>
      <w:r w:rsidRPr="00DB18E8">
        <w:rPr>
          <w:rFonts w:ascii="宋体" w:eastAsia="宋体" w:hAnsi="宋体" w:cs="Times New Roman" w:hint="eastAsia"/>
          <w:kern w:val="0"/>
          <w:sz w:val="24"/>
          <w:szCs w:val="24"/>
        </w:rPr>
        <w:t>4）、单位负责人为同一人或者存在直接控股、管理关系的不同供应商，不得参加同一合同项下的政府采购活动。</w:t>
      </w:r>
    </w:p>
    <w:p w14:paraId="780D316D" w14:textId="77777777" w:rsidR="00DB18E8" w:rsidRPr="00DB18E8" w:rsidRDefault="00DB18E8" w:rsidP="00DB18E8">
      <w:pPr>
        <w:spacing w:line="360" w:lineRule="auto"/>
        <w:rPr>
          <w:rFonts w:ascii="宋体" w:eastAsia="宋体" w:hAnsi="宋体" w:cs="Times New Roman" w:hint="eastAsia"/>
          <w:kern w:val="0"/>
          <w:sz w:val="24"/>
          <w:szCs w:val="24"/>
        </w:rPr>
      </w:pPr>
      <w:r w:rsidRPr="00DB18E8">
        <w:rPr>
          <w:rFonts w:ascii="宋体" w:eastAsia="宋体" w:hAnsi="宋体" w:cs="Times New Roman" w:hint="eastAsia"/>
          <w:kern w:val="0"/>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FC1DAE7" w14:textId="2D2E0B93" w:rsidR="00446AA2" w:rsidRPr="00E846B4" w:rsidRDefault="00DB18E8" w:rsidP="00DB18E8">
      <w:pPr>
        <w:spacing w:line="360" w:lineRule="auto"/>
        <w:rPr>
          <w:rFonts w:ascii="宋体" w:eastAsia="宋体" w:hAnsi="宋体" w:cs="Times New Roman" w:hint="eastAsia"/>
          <w:kern w:val="0"/>
          <w:sz w:val="24"/>
          <w:szCs w:val="24"/>
        </w:rPr>
      </w:pPr>
      <w:r w:rsidRPr="00DB18E8">
        <w:rPr>
          <w:rFonts w:ascii="宋体" w:eastAsia="宋体" w:hAnsi="宋体" w:cs="Times New Roman" w:hint="eastAsia"/>
          <w:kern w:val="0"/>
          <w:sz w:val="24"/>
          <w:szCs w:val="24"/>
        </w:rPr>
        <w:t>6）、具有有效的《网络安全等级测评与检测评估机构服务认证证书》。</w:t>
      </w:r>
    </w:p>
    <w:p w14:paraId="1FAC47FE" w14:textId="77777777" w:rsidR="0094303D" w:rsidRPr="002D6E4A" w:rsidRDefault="0094303D" w:rsidP="0094303D">
      <w:pPr>
        <w:adjustRightInd w:val="0"/>
        <w:snapToGrid w:val="0"/>
        <w:spacing w:line="360" w:lineRule="auto"/>
        <w:rPr>
          <w:rFonts w:ascii="宋体" w:eastAsia="宋体" w:hAnsi="宋体" w:hint="eastAsia"/>
          <w:b/>
          <w:sz w:val="24"/>
          <w:szCs w:val="24"/>
        </w:rPr>
      </w:pPr>
      <w:r w:rsidRPr="002D6E4A">
        <w:rPr>
          <w:rFonts w:ascii="宋体" w:eastAsia="宋体" w:hAnsi="宋体" w:hint="eastAsia"/>
          <w:b/>
          <w:sz w:val="24"/>
          <w:szCs w:val="24"/>
        </w:rPr>
        <w:t>（四）商务要求</w:t>
      </w:r>
    </w:p>
    <w:p w14:paraId="2F529C16" w14:textId="356D5E3C" w:rsidR="0094303D" w:rsidRDefault="0094303D" w:rsidP="0094303D">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sidRPr="002D6E4A">
        <w:rPr>
          <w:rFonts w:ascii="宋体" w:eastAsia="宋体" w:hAnsi="宋体" w:hint="eastAsia"/>
          <w:sz w:val="24"/>
          <w:szCs w:val="24"/>
        </w:rPr>
        <w:t>服务期限</w:t>
      </w:r>
      <w:r>
        <w:rPr>
          <w:rFonts w:ascii="宋体" w:eastAsia="宋体" w:hAnsi="宋体" w:hint="eastAsia"/>
          <w:sz w:val="24"/>
          <w:szCs w:val="24"/>
        </w:rPr>
        <w:t>：</w:t>
      </w:r>
      <w:r w:rsidR="00446AA2" w:rsidRPr="00446AA2">
        <w:rPr>
          <w:rFonts w:ascii="宋体" w:eastAsia="宋体" w:hAnsi="宋体" w:hint="eastAsia"/>
          <w:sz w:val="24"/>
          <w:szCs w:val="24"/>
        </w:rPr>
        <w:t>合同签订之日起半年内</w:t>
      </w:r>
    </w:p>
    <w:p w14:paraId="4DFFD921" w14:textId="1B2739F2" w:rsidR="0094303D" w:rsidRPr="001D1C86" w:rsidRDefault="0094303D" w:rsidP="0094303D">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Pr="002D6E4A">
        <w:rPr>
          <w:rFonts w:ascii="宋体" w:eastAsia="宋体" w:hAnsi="宋体"/>
          <w:sz w:val="24"/>
          <w:szCs w:val="24"/>
        </w:rPr>
        <w:t xml:space="preserve"> </w:t>
      </w:r>
      <w:r w:rsidR="00DB18E8" w:rsidRPr="00DB18E8">
        <w:rPr>
          <w:rFonts w:ascii="宋体" w:eastAsia="宋体" w:hAnsi="宋体" w:hint="eastAsia"/>
          <w:sz w:val="24"/>
          <w:szCs w:val="24"/>
        </w:rPr>
        <w:t>项目交付验收合格后开具正规发票后按照医院流程，甲方一次性</w:t>
      </w:r>
      <w:r w:rsidR="00DB18E8" w:rsidRPr="00DB18E8">
        <w:rPr>
          <w:rFonts w:ascii="宋体" w:eastAsia="宋体" w:hAnsi="宋体" w:hint="eastAsia"/>
          <w:sz w:val="24"/>
          <w:szCs w:val="24"/>
        </w:rPr>
        <w:lastRenderedPageBreak/>
        <w:t>支付给乙方合同全款。</w:t>
      </w:r>
    </w:p>
    <w:p w14:paraId="6B39A219" w14:textId="77777777" w:rsidR="001D1C86" w:rsidRPr="0094303D" w:rsidRDefault="001D1C86" w:rsidP="001D1C86">
      <w:pPr>
        <w:adjustRightInd w:val="0"/>
        <w:snapToGrid w:val="0"/>
        <w:spacing w:line="360" w:lineRule="auto"/>
        <w:rPr>
          <w:rFonts w:ascii="宋体" w:eastAsia="宋体" w:hAnsi="宋体" w:hint="eastAsia"/>
          <w:sz w:val="24"/>
          <w:szCs w:val="24"/>
        </w:rPr>
      </w:pPr>
    </w:p>
    <w:sectPr w:rsidR="001D1C86" w:rsidRPr="00943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596F2" w14:textId="77777777" w:rsidR="002E581F" w:rsidRDefault="002E581F" w:rsidP="001D1C86">
      <w:pPr>
        <w:rPr>
          <w:rFonts w:hint="eastAsia"/>
        </w:rPr>
      </w:pPr>
      <w:r>
        <w:separator/>
      </w:r>
    </w:p>
  </w:endnote>
  <w:endnote w:type="continuationSeparator" w:id="0">
    <w:p w14:paraId="2BEFCC79" w14:textId="77777777" w:rsidR="002E581F" w:rsidRDefault="002E581F"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5F8C" w14:textId="77777777" w:rsidR="002E581F" w:rsidRDefault="002E581F" w:rsidP="001D1C86">
      <w:pPr>
        <w:rPr>
          <w:rFonts w:hint="eastAsia"/>
        </w:rPr>
      </w:pPr>
      <w:r>
        <w:separator/>
      </w:r>
    </w:p>
  </w:footnote>
  <w:footnote w:type="continuationSeparator" w:id="0">
    <w:p w14:paraId="1D8A9EF1" w14:textId="77777777" w:rsidR="002E581F" w:rsidRDefault="002E581F"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1343377">
    <w:abstractNumId w:val="0"/>
  </w:num>
  <w:num w:numId="2" w16cid:durableId="77483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97888"/>
    <w:rsid w:val="001D1C86"/>
    <w:rsid w:val="00220551"/>
    <w:rsid w:val="002E581F"/>
    <w:rsid w:val="00446AA2"/>
    <w:rsid w:val="004A7A67"/>
    <w:rsid w:val="00712FBB"/>
    <w:rsid w:val="00802568"/>
    <w:rsid w:val="00843FB2"/>
    <w:rsid w:val="0090336E"/>
    <w:rsid w:val="0094303D"/>
    <w:rsid w:val="009D50C6"/>
    <w:rsid w:val="00A8258B"/>
    <w:rsid w:val="00B43BBE"/>
    <w:rsid w:val="00B562B1"/>
    <w:rsid w:val="00D50362"/>
    <w:rsid w:val="00DB18E8"/>
    <w:rsid w:val="00E347A7"/>
    <w:rsid w:val="00E8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A9DA9A"/>
  <w15:docId w15:val="{78C13E76-2724-4C56-8498-B6E21FF3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99"/>
    <w:qFormat/>
    <w:rsid w:val="004A7A67"/>
  </w:style>
  <w:style w:type="paragraph" w:styleId="a9">
    <w:name w:val="List Paragraph"/>
    <w:basedOn w:val="a"/>
    <w:link w:val="a8"/>
    <w:autoRedefine/>
    <w:uiPriority w:val="99"/>
    <w:qFormat/>
    <w:rsid w:val="004A7A67"/>
    <w:pPr>
      <w:widowControl/>
      <w:ind w:firstLineChars="200" w:firstLine="420"/>
      <w:textAlignment w:val="baseline"/>
    </w:pPr>
  </w:style>
  <w:style w:type="character" w:styleId="aa">
    <w:name w:val="annotation reference"/>
    <w:autoRedefine/>
    <w:uiPriority w:val="99"/>
    <w:qFormat/>
    <w:rsid w:val="00446AA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3493">
      <w:bodyDiv w:val="1"/>
      <w:marLeft w:val="0"/>
      <w:marRight w:val="0"/>
      <w:marTop w:val="0"/>
      <w:marBottom w:val="0"/>
      <w:divBdr>
        <w:top w:val="none" w:sz="0" w:space="0" w:color="auto"/>
        <w:left w:val="none" w:sz="0" w:space="0" w:color="auto"/>
        <w:bottom w:val="none" w:sz="0" w:space="0" w:color="auto"/>
        <w:right w:val="none" w:sz="0" w:space="0" w:color="auto"/>
      </w:divBdr>
    </w:div>
    <w:div w:id="110974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1432</Words>
  <Characters>1490</Characters>
  <Application>Microsoft Office Word</Application>
  <DocSecurity>0</DocSecurity>
  <Lines>82</Lines>
  <Paragraphs>108</Paragraphs>
  <ScaleCrop>false</ScaleCrop>
  <Company>Organization</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11</cp:revision>
  <dcterms:created xsi:type="dcterms:W3CDTF">2024-03-28T03:06:00Z</dcterms:created>
  <dcterms:modified xsi:type="dcterms:W3CDTF">2025-05-23T09:57:00Z</dcterms:modified>
</cp:coreProperties>
</file>