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7ECB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宋体" w:hAnsi="宋体" w:cs="宋体"/>
          <w:sz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项目概述：通过此次招标拟确定一家中标人，为新华医院提供为期三年的</w:t>
      </w:r>
      <w:r>
        <w:rPr>
          <w:rFonts w:hint="eastAsia" w:ascii="Arial" w:hAnsi="Arial" w:cs="宋体"/>
          <w:color w:val="000000"/>
          <w:kern w:val="0"/>
          <w:sz w:val="24"/>
          <w:szCs w:val="24"/>
          <w:lang w:val="en-US" w:eastAsia="zh-CN" w:bidi="ar"/>
        </w:rPr>
        <w:t>儿</w:t>
      </w: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科医疗责任保险经纪服务。</w:t>
      </w:r>
      <w:bookmarkStart w:id="0" w:name="_Toc395012881"/>
    </w:p>
    <w:p w14:paraId="17C24A39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</w:rPr>
        <w:t>服务</w:t>
      </w:r>
      <w:bookmarkEnd w:id="0"/>
      <w:r>
        <w:rPr>
          <w:rFonts w:hint="eastAsia" w:ascii="宋体" w:hAnsi="宋体" w:cs="宋体"/>
          <w:sz w:val="24"/>
        </w:rPr>
        <w:t>期限：自202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lang w:val="en-US" w:eastAsia="zh-CN"/>
        </w:rPr>
        <w:t>xx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xx日</w:t>
      </w:r>
      <w:r>
        <w:rPr>
          <w:rFonts w:hint="eastAsia" w:ascii="宋体" w:hAnsi="宋体" w:cs="宋体"/>
          <w:sz w:val="24"/>
        </w:rPr>
        <w:t>至</w:t>
      </w:r>
      <w:r>
        <w:rPr>
          <w:rFonts w:hint="eastAsia" w:ascii="宋体" w:hAnsi="宋体" w:cs="宋体"/>
          <w:sz w:val="24"/>
          <w:lang w:val="zh-CN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val="zh-CN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xx</w:t>
      </w:r>
      <w:r>
        <w:rPr>
          <w:rFonts w:hint="eastAsia"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  <w:lang w:val="en-US" w:eastAsia="zh-CN"/>
        </w:rPr>
        <w:t>日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为期3年（</w:t>
      </w:r>
      <w:r>
        <w:rPr>
          <w:rFonts w:hint="eastAsia" w:ascii="宋体" w:hAnsi="宋体" w:cs="宋体"/>
          <w:sz w:val="24"/>
          <w:lang w:val="en-US" w:eastAsia="zh-CN"/>
        </w:rPr>
        <w:t>合同一年一签）</w:t>
      </w:r>
    </w:p>
    <w:p w14:paraId="4E2081C3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服务要求</w:t>
      </w:r>
    </w:p>
    <w:p w14:paraId="5FC10334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协助医方进行保险采购；协助医方办理投保并对相关保单进行审核。</w:t>
      </w:r>
    </w:p>
    <w:p w14:paraId="3A40B9F0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对于医院的纠纷处置提供“一案一反馈”。</w:t>
      </w:r>
    </w:p>
    <w:p w14:paraId="3DFF17F8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针对往年尚未结案的医疗纠纷案件协助医院处理，确保医院利益不受损失。</w:t>
      </w:r>
    </w:p>
    <w:p w14:paraId="3703E2E1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设立专项服务团队、专家团队组，要求安排一名常驻人员负责协助医院纠纷处置及保险理赔。</w:t>
      </w:r>
    </w:p>
    <w:p w14:paraId="5AEE76F7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协助处理与医院有关的个人医责纠纷案件，提供专业建议。</w:t>
      </w:r>
    </w:p>
    <w:p w14:paraId="53DBD6E9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在约定的服务期满后，依旧保证医院的利益。协助医院与保险公司进行对接沟通，协助处理医疗纠纷赔案，直至最终完成结案。</w:t>
      </w:r>
    </w:p>
    <w:p w14:paraId="400C264A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根据医院的要求，在收到医疗责纠纷事故材料后，按照规定的时间进行处理。</w:t>
      </w:r>
    </w:p>
    <w:p w14:paraId="74DB954D">
      <w:pPr>
        <w:widowControl/>
        <w:numPr>
          <w:ilvl w:val="1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收到医疗纠纷事故材料后，在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5</w:t>
      </w: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个工作日内反馈理赔意见及方案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。</w:t>
      </w:r>
    </w:p>
    <w:p w14:paraId="75E3D66D">
      <w:pPr>
        <w:widowControl/>
        <w:numPr>
          <w:ilvl w:val="1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医疗纠纷材料在双方意见统一后，需在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3</w:t>
      </w:r>
      <w:r>
        <w:rPr>
          <w:rFonts w:hint="eastAsia" w:ascii="Arial" w:hAnsi="Arial" w:cs="宋体"/>
          <w:color w:val="000000"/>
          <w:kern w:val="0"/>
          <w:sz w:val="24"/>
          <w:szCs w:val="24"/>
          <w:lang w:bidi="ar"/>
        </w:rPr>
        <w:t>个工作日内向保险公司发起索赔。</w:t>
      </w:r>
    </w:p>
    <w:p w14:paraId="663AB75A">
      <w:pPr>
        <w:adjustRightInd w:val="0"/>
        <w:snapToGrid w:val="0"/>
        <w:spacing w:line="360" w:lineRule="auto"/>
        <w:outlineLvl w:val="0"/>
        <w:rPr>
          <w:rFonts w:ascii="宋体" w:hAnsi="宋体"/>
          <w:sz w:val="24"/>
          <w:szCs w:val="24"/>
        </w:rPr>
      </w:pPr>
      <w:bookmarkStart w:id="1" w:name="_GoBack"/>
      <w:bookmarkEnd w:id="1"/>
    </w:p>
    <w:p w14:paraId="64E81E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D2C93"/>
    <w:multiLevelType w:val="multilevel"/>
    <w:tmpl w:val="147D2C9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15B0015"/>
    <w:multiLevelType w:val="singleLevel"/>
    <w:tmpl w:val="615B00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15E9A"/>
    <w:rsid w:val="0491498E"/>
    <w:rsid w:val="11C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2025-07-05T12:46:00Z</dcterms:created>
  <dc:creator>杨俐君</dc:creator>
  <cp:lastModifiedBy>杨俐君</cp:lastModifiedBy>
  <dcterms:modified xsi:type="dcterms:W3CDTF">2025-07-05T13:23:36Z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986754FDF7784D30AB4DC5B7277FAA4F_11</vt:lpwstr>
  </property>
  <property fmtid="{D5CDD505-2E9C-101B-9397-08002B2CF9AE}" pid="4" name="KSOTemplateDocerSaveRecord">
    <vt:lpwstr>eyJoZGlkIjoiOTk1MDI2OWM5MzRhNzc2MDgxNDZhZmRhMmE3MWIxOTkiLCJ1c2VySWQiOiI2NDA4MzE2NjgifQ==</vt:lpwstr>
  </property>
</Properties>
</file>