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F9BDB">
      <w:pPr>
        <w:spacing w:line="360" w:lineRule="auto"/>
        <w:rPr>
          <w:rFonts w:ascii="宋体" w:hAnsi="宋体" w:eastAsia="宋体"/>
          <w:b/>
          <w:sz w:val="24"/>
          <w:szCs w:val="24"/>
          <w:highlight w:val="none"/>
        </w:rPr>
      </w:pPr>
      <w:r>
        <w:rPr>
          <w:rFonts w:hint="eastAsia" w:ascii="宋体" w:hAnsi="宋体" w:eastAsia="宋体"/>
          <w:b/>
          <w:sz w:val="24"/>
          <w:szCs w:val="24"/>
          <w:highlight w:val="none"/>
        </w:rPr>
        <w:t>一、项目名称</w:t>
      </w:r>
    </w:p>
    <w:p w14:paraId="0EECEECA">
      <w:pPr>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上海交通大学医学院附属新华医院</w:t>
      </w:r>
      <w:bookmarkStart w:id="0" w:name="_GoBack"/>
      <w:r>
        <w:rPr>
          <w:rFonts w:hint="eastAsia" w:ascii="宋体" w:hAnsi="宋体" w:eastAsia="宋体" w:cs="宋体"/>
          <w:kern w:val="0"/>
          <w:sz w:val="24"/>
          <w:szCs w:val="24"/>
          <w:highlight w:val="none"/>
        </w:rPr>
        <w:t>中药饮片</w:t>
      </w:r>
      <w:r>
        <w:rPr>
          <w:rFonts w:ascii="宋体" w:hAnsi="宋体" w:eastAsia="宋体" w:cs="宋体"/>
          <w:kern w:val="0"/>
          <w:sz w:val="24"/>
          <w:szCs w:val="24"/>
          <w:highlight w:val="none"/>
        </w:rPr>
        <w:t>(含中药配方颗粒)服务</w:t>
      </w:r>
      <w:bookmarkEnd w:id="0"/>
      <w:r>
        <w:rPr>
          <w:rFonts w:ascii="宋体" w:hAnsi="宋体" w:eastAsia="宋体" w:cs="宋体"/>
          <w:kern w:val="0"/>
          <w:sz w:val="24"/>
          <w:szCs w:val="24"/>
          <w:highlight w:val="none"/>
        </w:rPr>
        <w:t>采购</w:t>
      </w:r>
      <w:r>
        <w:rPr>
          <w:rFonts w:hint="eastAsia" w:ascii="宋体" w:hAnsi="宋体" w:eastAsia="宋体" w:cs="宋体"/>
          <w:kern w:val="0"/>
          <w:sz w:val="24"/>
          <w:szCs w:val="24"/>
          <w:highlight w:val="none"/>
        </w:rPr>
        <w:t>项目</w:t>
      </w:r>
    </w:p>
    <w:p w14:paraId="642DBDFF">
      <w:pPr>
        <w:spacing w:line="360" w:lineRule="auto"/>
        <w:rPr>
          <w:rFonts w:ascii="宋体" w:hAnsi="宋体" w:eastAsia="宋体"/>
          <w:b/>
          <w:sz w:val="24"/>
          <w:szCs w:val="24"/>
          <w:highlight w:val="none"/>
        </w:rPr>
      </w:pPr>
      <w:r>
        <w:rPr>
          <w:rFonts w:hint="eastAsia" w:ascii="宋体" w:hAnsi="宋体" w:eastAsia="宋体"/>
          <w:b/>
          <w:sz w:val="24"/>
          <w:szCs w:val="24"/>
          <w:highlight w:val="none"/>
        </w:rPr>
        <w:t>二、项目参数</w:t>
      </w:r>
    </w:p>
    <w:p w14:paraId="49DEDC9E">
      <w:pPr>
        <w:spacing w:line="360" w:lineRule="auto"/>
        <w:rPr>
          <w:rFonts w:ascii="宋体" w:hAnsi="宋体" w:eastAsia="宋体"/>
          <w:b/>
          <w:sz w:val="24"/>
          <w:szCs w:val="24"/>
          <w:highlight w:val="none"/>
        </w:rPr>
      </w:pPr>
      <w:r>
        <w:rPr>
          <w:rFonts w:hint="eastAsia" w:ascii="宋体" w:hAnsi="宋体" w:eastAsia="宋体"/>
          <w:b/>
          <w:sz w:val="24"/>
          <w:szCs w:val="24"/>
          <w:highlight w:val="none"/>
        </w:rPr>
        <w:t>（一）名称</w:t>
      </w:r>
    </w:p>
    <w:p w14:paraId="7D9E464C">
      <w:pPr>
        <w:spacing w:line="360" w:lineRule="auto"/>
        <w:rPr>
          <w:rFonts w:hint="eastAsia" w:ascii="宋体" w:hAnsi="宋体" w:eastAsia="宋体"/>
          <w:sz w:val="24"/>
          <w:szCs w:val="24"/>
          <w:highlight w:val="none"/>
          <w:lang w:eastAsia="zh-CN"/>
        </w:rPr>
      </w:pPr>
      <w:r>
        <w:rPr>
          <w:rFonts w:ascii="宋体" w:hAnsi="宋体" w:eastAsia="宋体"/>
          <w:sz w:val="24"/>
          <w:szCs w:val="24"/>
          <w:highlight w:val="none"/>
        </w:rPr>
        <w:t>包件</w:t>
      </w:r>
      <w:r>
        <w:rPr>
          <w:rFonts w:hint="eastAsia" w:ascii="宋体" w:hAnsi="宋体" w:eastAsia="宋体"/>
          <w:sz w:val="24"/>
          <w:szCs w:val="24"/>
          <w:highlight w:val="none"/>
        </w:rPr>
        <w:t>1：</w:t>
      </w:r>
      <w:r>
        <w:rPr>
          <w:rFonts w:hint="eastAsia" w:ascii="宋体" w:hAnsi="宋体" w:eastAsia="宋体"/>
          <w:sz w:val="24"/>
          <w:szCs w:val="24"/>
          <w:highlight w:val="none"/>
          <w:lang w:eastAsia="zh-CN"/>
        </w:rPr>
        <w:t>中药饮片代煎代配及膏方委托加工服务</w:t>
      </w:r>
    </w:p>
    <w:p w14:paraId="2F81CD8B">
      <w:pPr>
        <w:spacing w:line="360" w:lineRule="auto"/>
        <w:rPr>
          <w:rFonts w:hint="eastAsia" w:ascii="宋体" w:hAnsi="宋体" w:eastAsia="宋体"/>
          <w:sz w:val="24"/>
          <w:szCs w:val="24"/>
          <w:highlight w:val="none"/>
          <w:lang w:eastAsia="zh-CN"/>
        </w:rPr>
      </w:pPr>
      <w:r>
        <w:rPr>
          <w:rFonts w:ascii="宋体" w:hAnsi="宋体" w:eastAsia="宋体"/>
          <w:sz w:val="24"/>
          <w:szCs w:val="24"/>
          <w:highlight w:val="none"/>
        </w:rPr>
        <w:t>包件</w:t>
      </w:r>
      <w:r>
        <w:rPr>
          <w:rFonts w:hint="eastAsia" w:ascii="宋体" w:hAnsi="宋体" w:eastAsia="宋体"/>
          <w:sz w:val="24"/>
          <w:szCs w:val="24"/>
          <w:highlight w:val="none"/>
        </w:rPr>
        <w:t>2：</w:t>
      </w:r>
      <w:r>
        <w:rPr>
          <w:rFonts w:hint="eastAsia" w:ascii="宋体" w:hAnsi="宋体" w:eastAsia="宋体"/>
          <w:sz w:val="24"/>
          <w:szCs w:val="24"/>
          <w:highlight w:val="none"/>
          <w:lang w:eastAsia="zh-CN"/>
        </w:rPr>
        <w:t>中药配方颗粒委托加工服务</w:t>
      </w:r>
    </w:p>
    <w:p w14:paraId="0FA93E63">
      <w:pPr>
        <w:spacing w:line="360" w:lineRule="auto"/>
        <w:rPr>
          <w:rFonts w:ascii="宋体" w:hAnsi="宋体" w:eastAsia="宋体"/>
          <w:b/>
          <w:sz w:val="24"/>
          <w:szCs w:val="24"/>
          <w:highlight w:val="none"/>
        </w:rPr>
      </w:pPr>
      <w:r>
        <w:rPr>
          <w:rFonts w:hint="eastAsia" w:ascii="宋体" w:hAnsi="宋体" w:eastAsia="宋体"/>
          <w:b/>
          <w:sz w:val="24"/>
          <w:szCs w:val="24"/>
          <w:highlight w:val="none"/>
        </w:rPr>
        <w:t>（二）最高限价</w:t>
      </w:r>
    </w:p>
    <w:p w14:paraId="59292A77">
      <w:pPr>
        <w:spacing w:line="360" w:lineRule="auto"/>
        <w:rPr>
          <w:rFonts w:ascii="宋体" w:hAnsi="宋体" w:eastAsia="宋体"/>
          <w:sz w:val="24"/>
          <w:szCs w:val="24"/>
          <w:highlight w:val="none"/>
        </w:rPr>
      </w:pPr>
      <w:r>
        <w:rPr>
          <w:rFonts w:hint="eastAsia" w:ascii="宋体" w:hAnsi="宋体" w:eastAsia="宋体"/>
          <w:sz w:val="24"/>
          <w:szCs w:val="24"/>
          <w:highlight w:val="none"/>
        </w:rPr>
        <w:t>/</w:t>
      </w:r>
    </w:p>
    <w:p w14:paraId="26DB8D1F">
      <w:pPr>
        <w:spacing w:line="360" w:lineRule="auto"/>
        <w:rPr>
          <w:rFonts w:ascii="宋体" w:hAnsi="宋体" w:eastAsia="宋体"/>
          <w:b/>
          <w:sz w:val="24"/>
          <w:szCs w:val="24"/>
          <w:highlight w:val="none"/>
        </w:rPr>
      </w:pPr>
      <w:r>
        <w:rPr>
          <w:rFonts w:hint="eastAsia" w:ascii="宋体" w:hAnsi="宋体" w:eastAsia="宋体"/>
          <w:b/>
          <w:sz w:val="24"/>
          <w:szCs w:val="24"/>
          <w:highlight w:val="none"/>
        </w:rPr>
        <w:t>（三）资格条件</w:t>
      </w:r>
    </w:p>
    <w:p w14:paraId="0C3F802A">
      <w:pPr>
        <w:spacing w:line="360" w:lineRule="auto"/>
        <w:rPr>
          <w:rFonts w:hint="eastAsia" w:ascii="宋体" w:hAnsi="宋体" w:eastAsia="宋体"/>
          <w:b/>
          <w:sz w:val="24"/>
          <w:szCs w:val="24"/>
          <w:highlight w:val="none"/>
          <w:lang w:eastAsia="zh-CN"/>
        </w:rPr>
      </w:pPr>
      <w:r>
        <w:rPr>
          <w:rFonts w:ascii="宋体" w:hAnsi="宋体" w:eastAsia="宋体"/>
          <w:b/>
          <w:sz w:val="24"/>
          <w:szCs w:val="24"/>
          <w:highlight w:val="none"/>
        </w:rPr>
        <w:t>包件</w:t>
      </w:r>
      <w:r>
        <w:rPr>
          <w:rFonts w:hint="eastAsia" w:ascii="宋体" w:hAnsi="宋体" w:eastAsia="宋体"/>
          <w:b/>
          <w:sz w:val="24"/>
          <w:szCs w:val="24"/>
          <w:highlight w:val="none"/>
        </w:rPr>
        <w:t>1：</w:t>
      </w:r>
      <w:r>
        <w:rPr>
          <w:rFonts w:hint="eastAsia" w:ascii="宋体" w:hAnsi="宋体" w:eastAsia="宋体"/>
          <w:b/>
          <w:sz w:val="24"/>
          <w:szCs w:val="24"/>
          <w:highlight w:val="none"/>
          <w:lang w:eastAsia="zh-CN"/>
        </w:rPr>
        <w:t>中药饮片代煎代配及膏方委托加工服务</w:t>
      </w:r>
    </w:p>
    <w:p w14:paraId="7F07D611">
      <w:pPr>
        <w:spacing w:line="360" w:lineRule="auto"/>
        <w:ind w:firstLine="480" w:firstLineChars="200"/>
        <w:rPr>
          <w:rFonts w:ascii="宋体" w:hAnsi="宋体" w:eastAsia="宋体"/>
          <w:b/>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投标人</w:t>
      </w:r>
      <w:r>
        <w:rPr>
          <w:rFonts w:ascii="宋体" w:hAnsi="宋体" w:eastAsia="宋体"/>
          <w:sz w:val="24"/>
          <w:szCs w:val="24"/>
          <w:highlight w:val="none"/>
        </w:rPr>
        <w:t>须具有独立承担民事责任的能力；</w:t>
      </w:r>
    </w:p>
    <w:p w14:paraId="6AAC4D99">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投标人</w:t>
      </w:r>
      <w:r>
        <w:rPr>
          <w:rFonts w:ascii="宋体" w:hAnsi="宋体" w:eastAsia="宋体"/>
          <w:sz w:val="24"/>
          <w:szCs w:val="24"/>
          <w:highlight w:val="none"/>
        </w:rPr>
        <w:t>须具有良好的商业信誉和健全的财务会计制度；</w:t>
      </w:r>
    </w:p>
    <w:p w14:paraId="6F29D77F">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投标人</w:t>
      </w:r>
      <w:r>
        <w:rPr>
          <w:rFonts w:ascii="宋体" w:hAnsi="宋体" w:eastAsia="宋体"/>
          <w:sz w:val="24"/>
          <w:szCs w:val="24"/>
          <w:highlight w:val="none"/>
        </w:rPr>
        <w:t>须具有履行合同所必需的设备和专业技术能力；</w:t>
      </w:r>
    </w:p>
    <w:p w14:paraId="333D191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w:t>
      </w:r>
      <w:r>
        <w:rPr>
          <w:rFonts w:hint="eastAsia" w:ascii="宋体" w:hAnsi="宋体" w:eastAsia="宋体"/>
          <w:sz w:val="24"/>
          <w:szCs w:val="24"/>
          <w:highlight w:val="none"/>
        </w:rPr>
        <w:t>投标人</w:t>
      </w:r>
      <w:r>
        <w:rPr>
          <w:rFonts w:ascii="宋体" w:hAnsi="宋体" w:eastAsia="宋体"/>
          <w:sz w:val="24"/>
          <w:szCs w:val="24"/>
          <w:highlight w:val="none"/>
        </w:rPr>
        <w:t xml:space="preserve">须有依法缴纳税收和社会保障资金的良好记录； </w:t>
      </w:r>
    </w:p>
    <w:p w14:paraId="49F7C425">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w:t>
      </w:r>
      <w:r>
        <w:rPr>
          <w:rFonts w:hint="eastAsia" w:ascii="宋体" w:hAnsi="宋体" w:eastAsia="宋体"/>
          <w:sz w:val="24"/>
          <w:szCs w:val="24"/>
          <w:highlight w:val="none"/>
        </w:rPr>
        <w:t>投标人</w:t>
      </w:r>
      <w:r>
        <w:rPr>
          <w:rFonts w:ascii="宋体" w:hAnsi="宋体" w:eastAsia="宋体"/>
          <w:sz w:val="24"/>
          <w:szCs w:val="24"/>
          <w:highlight w:val="none"/>
        </w:rPr>
        <w:t>参加政府采购活动前三年内，在经营活动中没有重大违法记录；</w:t>
      </w:r>
    </w:p>
    <w:p w14:paraId="412C9BE7">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w:t>
      </w:r>
      <w:r>
        <w:rPr>
          <w:rFonts w:hint="eastAsia" w:ascii="宋体" w:hAnsi="宋体" w:eastAsia="宋体"/>
          <w:sz w:val="24"/>
          <w:szCs w:val="24"/>
          <w:highlight w:val="none"/>
        </w:rPr>
        <w:t>投标人</w:t>
      </w:r>
      <w:r>
        <w:rPr>
          <w:rFonts w:ascii="宋体" w:hAnsi="宋体" w:eastAsia="宋体"/>
          <w:sz w:val="24"/>
          <w:szCs w:val="24"/>
          <w:highlight w:val="none"/>
        </w:rPr>
        <w:t>在近三年内未被国家财政部指定的“信用中国”网站（www.creditchina.gov.cn）、“中国政府采购网”（www.ccgp.gov.cn）列入失信被执行人、重大税收违法案件当事人名单、政府采购严重违法失信名单；</w:t>
      </w:r>
    </w:p>
    <w:p w14:paraId="6765CC4D">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7）单位负责人为同一人或者存在直接控股、管理关系的不同单位，不得参加同一包件的竞争或者未划分包件的同一采购项目的竞争；</w:t>
      </w:r>
    </w:p>
    <w:p w14:paraId="3F308B53">
      <w:pPr>
        <w:pStyle w:val="8"/>
        <w:spacing w:line="360" w:lineRule="auto"/>
        <w:rPr>
          <w:rFonts w:ascii="宋体" w:hAnsi="宋体"/>
          <w:bCs/>
          <w:highlight w:val="none"/>
        </w:rPr>
      </w:pPr>
      <w:r>
        <w:rPr>
          <w:rFonts w:ascii="宋体" w:hAnsi="宋体"/>
          <w:highlight w:val="none"/>
        </w:rPr>
        <w:t>（</w:t>
      </w:r>
      <w:r>
        <w:rPr>
          <w:rFonts w:hint="eastAsia" w:ascii="宋体" w:hAnsi="宋体"/>
          <w:highlight w:val="none"/>
        </w:rPr>
        <w:t>8</w:t>
      </w:r>
      <w:r>
        <w:rPr>
          <w:rFonts w:ascii="宋体" w:hAnsi="宋体"/>
          <w:highlight w:val="none"/>
        </w:rPr>
        <w:t>）</w:t>
      </w:r>
      <w:r>
        <w:rPr>
          <w:rFonts w:hint="eastAsia" w:ascii="宋体" w:hAnsi="宋体"/>
          <w:bCs/>
          <w:highlight w:val="none"/>
        </w:rPr>
        <w:t>投标人须为生产厂家并具有有效期内的《药品生产许可证》</w:t>
      </w:r>
    </w:p>
    <w:p w14:paraId="475B8894">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9）本项目不接受联合体投标。</w:t>
      </w:r>
    </w:p>
    <w:p w14:paraId="1D93711B">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w:t>
      </w:r>
      <w:r>
        <w:rPr>
          <w:rFonts w:hint="eastAsia" w:ascii="宋体" w:hAnsi="宋体" w:eastAsia="宋体"/>
          <w:sz w:val="24"/>
          <w:szCs w:val="24"/>
          <w:highlight w:val="none"/>
        </w:rPr>
        <w:t>1</w:t>
      </w:r>
      <w:r>
        <w:rPr>
          <w:rFonts w:ascii="宋体" w:hAnsi="宋体" w:eastAsia="宋体"/>
          <w:sz w:val="24"/>
          <w:szCs w:val="24"/>
          <w:highlight w:val="none"/>
        </w:rPr>
        <w:t>0）法律、行政法规规定的其他条件。</w:t>
      </w:r>
    </w:p>
    <w:p w14:paraId="73B6DC6F">
      <w:pPr>
        <w:spacing w:line="360" w:lineRule="auto"/>
        <w:rPr>
          <w:rFonts w:ascii="宋体" w:hAnsi="宋体" w:eastAsia="宋体"/>
          <w:sz w:val="24"/>
          <w:szCs w:val="24"/>
          <w:highlight w:val="none"/>
        </w:rPr>
      </w:pPr>
    </w:p>
    <w:p w14:paraId="5C690AFC">
      <w:pPr>
        <w:spacing w:line="360" w:lineRule="auto"/>
        <w:rPr>
          <w:rFonts w:hint="eastAsia" w:ascii="宋体" w:hAnsi="宋体" w:eastAsia="宋体"/>
          <w:b/>
          <w:sz w:val="24"/>
          <w:szCs w:val="24"/>
          <w:highlight w:val="none"/>
          <w:lang w:eastAsia="zh-CN"/>
        </w:rPr>
      </w:pPr>
      <w:r>
        <w:rPr>
          <w:rFonts w:ascii="宋体" w:hAnsi="宋体" w:eastAsia="宋体"/>
          <w:b/>
          <w:sz w:val="24"/>
          <w:szCs w:val="24"/>
          <w:highlight w:val="none"/>
        </w:rPr>
        <w:t>包件</w:t>
      </w:r>
      <w:r>
        <w:rPr>
          <w:rFonts w:hint="eastAsia" w:ascii="宋体" w:hAnsi="宋体" w:eastAsia="宋体"/>
          <w:b/>
          <w:sz w:val="24"/>
          <w:szCs w:val="24"/>
          <w:highlight w:val="none"/>
        </w:rPr>
        <w:t>2：</w:t>
      </w:r>
      <w:r>
        <w:rPr>
          <w:rFonts w:hint="eastAsia" w:ascii="宋体" w:hAnsi="宋体" w:eastAsia="宋体"/>
          <w:b/>
          <w:sz w:val="24"/>
          <w:szCs w:val="24"/>
          <w:highlight w:val="none"/>
          <w:lang w:eastAsia="zh-CN"/>
        </w:rPr>
        <w:t>中药配方颗粒委托加工服务</w:t>
      </w:r>
    </w:p>
    <w:p w14:paraId="209207FC">
      <w:pPr>
        <w:spacing w:line="360" w:lineRule="auto"/>
        <w:ind w:firstLine="720" w:firstLineChars="300"/>
        <w:rPr>
          <w:rFonts w:ascii="宋体" w:hAnsi="宋体" w:eastAsia="宋体"/>
          <w:b/>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投标人</w:t>
      </w:r>
      <w:r>
        <w:rPr>
          <w:rFonts w:ascii="宋体" w:hAnsi="宋体" w:eastAsia="宋体"/>
          <w:sz w:val="24"/>
          <w:szCs w:val="24"/>
          <w:highlight w:val="none"/>
        </w:rPr>
        <w:t>须具有独立承担民事责任的能力；</w:t>
      </w:r>
    </w:p>
    <w:p w14:paraId="1D490E17">
      <w:pPr>
        <w:spacing w:line="360" w:lineRule="auto"/>
        <w:ind w:firstLine="720" w:firstLineChars="3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投标人</w:t>
      </w:r>
      <w:r>
        <w:rPr>
          <w:rFonts w:ascii="宋体" w:hAnsi="宋体" w:eastAsia="宋体"/>
          <w:sz w:val="24"/>
          <w:szCs w:val="24"/>
          <w:highlight w:val="none"/>
        </w:rPr>
        <w:t>须具有良好的商业信誉和健全的财务会计制度；</w:t>
      </w:r>
    </w:p>
    <w:p w14:paraId="16AE3D08">
      <w:pPr>
        <w:spacing w:line="360" w:lineRule="auto"/>
        <w:ind w:firstLine="720" w:firstLineChars="3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投标人</w:t>
      </w:r>
      <w:r>
        <w:rPr>
          <w:rFonts w:ascii="宋体" w:hAnsi="宋体" w:eastAsia="宋体"/>
          <w:sz w:val="24"/>
          <w:szCs w:val="24"/>
          <w:highlight w:val="none"/>
        </w:rPr>
        <w:t>须具有履行合同所必需的设备和专业技术能力；</w:t>
      </w:r>
    </w:p>
    <w:p w14:paraId="356829FC">
      <w:pPr>
        <w:spacing w:line="360" w:lineRule="auto"/>
        <w:ind w:firstLine="720" w:firstLineChars="3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w:t>
      </w:r>
      <w:r>
        <w:rPr>
          <w:rFonts w:hint="eastAsia" w:ascii="宋体" w:hAnsi="宋体" w:eastAsia="宋体"/>
          <w:sz w:val="24"/>
          <w:szCs w:val="24"/>
          <w:highlight w:val="none"/>
        </w:rPr>
        <w:t>投标人</w:t>
      </w:r>
      <w:r>
        <w:rPr>
          <w:rFonts w:ascii="宋体" w:hAnsi="宋体" w:eastAsia="宋体"/>
          <w:sz w:val="24"/>
          <w:szCs w:val="24"/>
          <w:highlight w:val="none"/>
        </w:rPr>
        <w:t xml:space="preserve">须有依法缴纳税收和社会保障资金的良好记录； </w:t>
      </w:r>
    </w:p>
    <w:p w14:paraId="781F665C">
      <w:pPr>
        <w:spacing w:line="360" w:lineRule="auto"/>
        <w:ind w:firstLine="720" w:firstLineChars="3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w:t>
      </w:r>
      <w:r>
        <w:rPr>
          <w:rFonts w:hint="eastAsia" w:ascii="宋体" w:hAnsi="宋体" w:eastAsia="宋体"/>
          <w:sz w:val="24"/>
          <w:szCs w:val="24"/>
          <w:highlight w:val="none"/>
        </w:rPr>
        <w:t>投标人</w:t>
      </w:r>
      <w:r>
        <w:rPr>
          <w:rFonts w:ascii="宋体" w:hAnsi="宋体" w:eastAsia="宋体"/>
          <w:sz w:val="24"/>
          <w:szCs w:val="24"/>
          <w:highlight w:val="none"/>
        </w:rPr>
        <w:t>参加政府采购活动前三年内，在经营活动中没有重大违法记录；</w:t>
      </w:r>
    </w:p>
    <w:p w14:paraId="67A6D201">
      <w:pPr>
        <w:spacing w:line="360" w:lineRule="auto"/>
        <w:ind w:firstLine="720" w:firstLineChars="3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w:t>
      </w:r>
      <w:r>
        <w:rPr>
          <w:rFonts w:hint="eastAsia" w:ascii="宋体" w:hAnsi="宋体" w:eastAsia="宋体"/>
          <w:sz w:val="24"/>
          <w:szCs w:val="24"/>
          <w:highlight w:val="none"/>
        </w:rPr>
        <w:t>投标人</w:t>
      </w:r>
      <w:r>
        <w:rPr>
          <w:rFonts w:ascii="宋体" w:hAnsi="宋体" w:eastAsia="宋体"/>
          <w:sz w:val="24"/>
          <w:szCs w:val="24"/>
          <w:highlight w:val="none"/>
        </w:rPr>
        <w:t>在近三年内未被国家财政部指定的“信用中国”网站（www.creditchina.gov.cn）、“中国政府采购网”（www.ccgp.gov.cn）列入失信被执行人、重大税收违法案件当事人名单、政府采购严重违法失信名单；</w:t>
      </w:r>
    </w:p>
    <w:p w14:paraId="05D35080">
      <w:pPr>
        <w:spacing w:line="360" w:lineRule="auto"/>
        <w:ind w:firstLine="720" w:firstLineChars="3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7）单位负责人为同一人或者存在直接控股、管理关系的不同单位，不得参加同一包件的竞争或者未划分包件的同一采购项目的竞争；</w:t>
      </w:r>
    </w:p>
    <w:p w14:paraId="16C3F3B4">
      <w:pPr>
        <w:pStyle w:val="8"/>
        <w:spacing w:line="360" w:lineRule="auto"/>
        <w:ind w:firstLine="720" w:firstLineChars="300"/>
        <w:rPr>
          <w:rFonts w:ascii="宋体" w:hAnsi="宋体"/>
          <w:bCs/>
          <w:highlight w:val="none"/>
        </w:rPr>
      </w:pPr>
      <w:r>
        <w:rPr>
          <w:rFonts w:ascii="宋体" w:hAnsi="宋体"/>
          <w:highlight w:val="none"/>
        </w:rPr>
        <w:t>（</w:t>
      </w:r>
      <w:r>
        <w:rPr>
          <w:rFonts w:hint="eastAsia" w:ascii="宋体" w:hAnsi="宋体"/>
          <w:highlight w:val="none"/>
        </w:rPr>
        <w:t>8</w:t>
      </w:r>
      <w:r>
        <w:rPr>
          <w:rFonts w:ascii="宋体" w:hAnsi="宋体"/>
          <w:highlight w:val="none"/>
        </w:rPr>
        <w:t>）</w:t>
      </w:r>
      <w:r>
        <w:rPr>
          <w:rFonts w:hint="eastAsia" w:ascii="宋体" w:hAnsi="宋体"/>
          <w:bCs/>
          <w:highlight w:val="none"/>
        </w:rPr>
        <w:t>投标人须为生产厂家并具有有效期内的《药品生产许可证》；</w:t>
      </w:r>
    </w:p>
    <w:p w14:paraId="7668F284">
      <w:pPr>
        <w:spacing w:line="360" w:lineRule="auto"/>
        <w:ind w:firstLine="720" w:firstLineChars="3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9）本项目不接受联合体投标。</w:t>
      </w:r>
    </w:p>
    <w:p w14:paraId="332C9FA6">
      <w:pPr>
        <w:spacing w:line="360" w:lineRule="auto"/>
        <w:ind w:firstLine="720" w:firstLineChars="300"/>
        <w:rPr>
          <w:rFonts w:ascii="宋体" w:hAnsi="宋体" w:eastAsia="宋体"/>
          <w:sz w:val="24"/>
          <w:szCs w:val="24"/>
          <w:highlight w:val="none"/>
        </w:rPr>
      </w:pPr>
      <w:r>
        <w:rPr>
          <w:rFonts w:ascii="宋体" w:hAnsi="宋体" w:eastAsia="宋体"/>
          <w:sz w:val="24"/>
          <w:szCs w:val="24"/>
          <w:highlight w:val="none"/>
        </w:rPr>
        <w:t>（</w:t>
      </w:r>
      <w:r>
        <w:rPr>
          <w:rFonts w:hint="eastAsia" w:ascii="宋体" w:hAnsi="宋体" w:eastAsia="宋体"/>
          <w:sz w:val="24"/>
          <w:szCs w:val="24"/>
          <w:highlight w:val="none"/>
        </w:rPr>
        <w:t>1</w:t>
      </w:r>
      <w:r>
        <w:rPr>
          <w:rFonts w:ascii="宋体" w:hAnsi="宋体" w:eastAsia="宋体"/>
          <w:sz w:val="24"/>
          <w:szCs w:val="24"/>
          <w:highlight w:val="none"/>
        </w:rPr>
        <w:t>0）法律、行政法规规定的其他条件。</w:t>
      </w:r>
    </w:p>
    <w:p w14:paraId="75E331C1">
      <w:pPr>
        <w:spacing w:line="360" w:lineRule="auto"/>
        <w:rPr>
          <w:rFonts w:ascii="宋体" w:hAnsi="宋体" w:eastAsia="宋体"/>
          <w:b/>
          <w:sz w:val="24"/>
          <w:szCs w:val="24"/>
          <w:highlight w:val="none"/>
        </w:rPr>
      </w:pPr>
      <w:r>
        <w:rPr>
          <w:rFonts w:hint="eastAsia" w:ascii="宋体" w:hAnsi="宋体" w:eastAsia="宋体"/>
          <w:b/>
          <w:sz w:val="24"/>
          <w:szCs w:val="24"/>
          <w:highlight w:val="none"/>
        </w:rPr>
        <w:t>（四）功能及技术参数</w:t>
      </w:r>
    </w:p>
    <w:p w14:paraId="26479EDA">
      <w:pPr>
        <w:spacing w:line="360" w:lineRule="auto"/>
        <w:rPr>
          <w:rFonts w:hint="eastAsia" w:ascii="宋体" w:hAnsi="宋体" w:eastAsia="宋体"/>
          <w:b/>
          <w:sz w:val="24"/>
          <w:szCs w:val="24"/>
          <w:lang w:eastAsia="zh-CN"/>
        </w:rPr>
      </w:pPr>
      <w:r>
        <w:rPr>
          <w:rFonts w:ascii="宋体" w:hAnsi="宋体" w:eastAsia="宋体"/>
          <w:b/>
          <w:sz w:val="24"/>
          <w:szCs w:val="24"/>
        </w:rPr>
        <w:t>包件</w:t>
      </w:r>
      <w:r>
        <w:rPr>
          <w:rFonts w:hint="eastAsia" w:ascii="宋体" w:hAnsi="宋体" w:eastAsia="宋体"/>
          <w:b/>
          <w:sz w:val="24"/>
          <w:szCs w:val="24"/>
        </w:rPr>
        <w:t>1：</w:t>
      </w:r>
      <w:r>
        <w:rPr>
          <w:rFonts w:hint="eastAsia" w:ascii="宋体" w:hAnsi="宋体" w:eastAsia="宋体"/>
          <w:b/>
          <w:sz w:val="24"/>
          <w:szCs w:val="24"/>
          <w:lang w:eastAsia="zh-CN"/>
        </w:rPr>
        <w:t>中药饮片代煎代配及膏方委托加工服务</w:t>
      </w:r>
    </w:p>
    <w:p w14:paraId="446C974B">
      <w:pPr>
        <w:spacing w:line="360" w:lineRule="auto"/>
        <w:ind w:firstLine="482" w:firstLineChars="200"/>
        <w:rPr>
          <w:rFonts w:ascii="宋体" w:hAnsi="宋体" w:eastAsia="宋体"/>
          <w:b/>
          <w:sz w:val="24"/>
          <w:szCs w:val="24"/>
        </w:rPr>
      </w:pPr>
      <w:r>
        <w:rPr>
          <w:rFonts w:hint="eastAsia" w:ascii="宋体" w:hAnsi="宋体" w:eastAsia="宋体"/>
          <w:b/>
          <w:sz w:val="24"/>
          <w:szCs w:val="24"/>
        </w:rPr>
        <w:t>一、项目概况</w:t>
      </w:r>
    </w:p>
    <w:p w14:paraId="7BCB76E7">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服务范围：</w:t>
      </w:r>
      <w:r>
        <w:rPr>
          <w:rFonts w:hint="eastAsia" w:ascii="宋体" w:hAnsi="宋体" w:eastAsia="宋体"/>
          <w:sz w:val="24"/>
          <w:szCs w:val="24"/>
          <w:lang w:eastAsia="zh-CN"/>
        </w:rPr>
        <w:t>中药饮片代煎代配及膏方委托加工服务</w:t>
      </w:r>
      <w:r>
        <w:rPr>
          <w:rFonts w:hint="eastAsia" w:ascii="宋体" w:hAnsi="宋体" w:eastAsia="宋体"/>
          <w:sz w:val="24"/>
          <w:szCs w:val="24"/>
        </w:rPr>
        <w:t>；</w:t>
      </w:r>
    </w:p>
    <w:p w14:paraId="20A4CB3C">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服务</w:t>
      </w:r>
      <w:r>
        <w:rPr>
          <w:rFonts w:hint="eastAsia" w:ascii="宋体" w:hAnsi="宋体" w:eastAsia="宋体"/>
          <w:sz w:val="24"/>
          <w:szCs w:val="24"/>
          <w:lang w:val="en-US" w:eastAsia="zh-CN"/>
        </w:rPr>
        <w:t>标准</w:t>
      </w:r>
      <w:r>
        <w:rPr>
          <w:rFonts w:hint="eastAsia" w:ascii="宋体" w:hAnsi="宋体" w:eastAsia="宋体"/>
          <w:sz w:val="24"/>
          <w:szCs w:val="24"/>
        </w:rPr>
        <w:t>：具有中药饮片炮制、提取、浓缩、干燥、制粒等完整生产能力，并制定每个品种详细的生产工艺、标准操作规程，严格执行药品生产质量管理规范（</w:t>
      </w:r>
      <w:r>
        <w:rPr>
          <w:rFonts w:ascii="宋体" w:hAnsi="宋体" w:eastAsia="宋体"/>
          <w:sz w:val="24"/>
          <w:szCs w:val="24"/>
        </w:rPr>
        <w:t>GMP）中的有关规定。</w:t>
      </w:r>
      <w:r>
        <w:rPr>
          <w:rFonts w:hint="eastAsia" w:ascii="宋体" w:hAnsi="宋体" w:eastAsia="宋体"/>
          <w:sz w:val="24"/>
          <w:szCs w:val="24"/>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14:paraId="6184ACCD">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中标人数量：2</w:t>
      </w:r>
    </w:p>
    <w:p w14:paraId="074A2F74">
      <w:pPr>
        <w:spacing w:line="360" w:lineRule="auto"/>
        <w:ind w:firstLine="482" w:firstLineChars="200"/>
        <w:rPr>
          <w:rFonts w:ascii="宋体" w:hAnsi="宋体" w:eastAsia="宋体"/>
          <w:b/>
          <w:sz w:val="24"/>
          <w:szCs w:val="24"/>
        </w:rPr>
      </w:pPr>
      <w:r>
        <w:rPr>
          <w:rFonts w:hint="eastAsia" w:ascii="宋体" w:hAnsi="宋体" w:eastAsia="宋体"/>
          <w:b/>
          <w:sz w:val="24"/>
          <w:szCs w:val="24"/>
        </w:rPr>
        <w:t>二、</w:t>
      </w:r>
      <w:r>
        <w:rPr>
          <w:rFonts w:hint="eastAsia" w:ascii="宋体" w:hAnsi="宋体" w:eastAsia="宋体"/>
          <w:b/>
          <w:sz w:val="24"/>
          <w:szCs w:val="24"/>
          <w:lang w:val="en-US" w:eastAsia="zh-CN"/>
        </w:rPr>
        <w:t>项目</w:t>
      </w:r>
      <w:r>
        <w:rPr>
          <w:rFonts w:hint="eastAsia" w:ascii="宋体" w:hAnsi="宋体" w:eastAsia="宋体"/>
          <w:b/>
          <w:sz w:val="24"/>
          <w:szCs w:val="24"/>
        </w:rPr>
        <w:t>需求</w:t>
      </w:r>
    </w:p>
    <w:p w14:paraId="6F917617">
      <w:pPr>
        <w:spacing w:line="360" w:lineRule="auto"/>
        <w:ind w:firstLine="482" w:firstLineChars="200"/>
        <w:rPr>
          <w:rFonts w:ascii="宋体" w:hAnsi="宋体" w:eastAsia="宋体"/>
          <w:b/>
          <w:sz w:val="24"/>
          <w:szCs w:val="24"/>
        </w:rPr>
      </w:pPr>
      <w:r>
        <w:rPr>
          <w:rFonts w:hint="eastAsia" w:ascii="宋体" w:hAnsi="宋体" w:eastAsia="宋体"/>
          <w:b/>
          <w:sz w:val="24"/>
          <w:szCs w:val="24"/>
        </w:rPr>
        <w:t>（一）</w:t>
      </w:r>
      <w:r>
        <w:rPr>
          <w:rFonts w:ascii="宋体" w:hAnsi="宋体" w:eastAsia="宋体"/>
          <w:b/>
          <w:sz w:val="24"/>
          <w:szCs w:val="24"/>
        </w:rPr>
        <w:t>服务要求</w:t>
      </w:r>
    </w:p>
    <w:p w14:paraId="0A9F3FA5">
      <w:pPr>
        <w:spacing w:line="360" w:lineRule="auto"/>
        <w:ind w:firstLine="720" w:firstLineChars="3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投标人须取得上海市医疗机构委托中药煎药资质评估合格证</w:t>
      </w:r>
      <w:r>
        <w:rPr>
          <w:rFonts w:hint="eastAsia" w:ascii="宋体" w:hAnsi="宋体" w:eastAsia="宋体"/>
          <w:sz w:val="24"/>
          <w:szCs w:val="24"/>
          <w:lang w:eastAsia="zh-CN"/>
        </w:rPr>
        <w:t>，</w:t>
      </w:r>
      <w:r>
        <w:rPr>
          <w:rFonts w:ascii="宋体" w:hAnsi="宋体" w:eastAsia="宋体"/>
          <w:sz w:val="24"/>
          <w:szCs w:val="24"/>
        </w:rPr>
        <w:t>投标人从事调剂人员的资质须符合相关要求。</w:t>
      </w:r>
    </w:p>
    <w:p w14:paraId="4F70B929">
      <w:pPr>
        <w:spacing w:line="360" w:lineRule="auto"/>
        <w:ind w:firstLine="720" w:firstLineChars="300"/>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中药饮片代煎代配</w:t>
      </w:r>
      <w:r>
        <w:rPr>
          <w:rFonts w:hint="eastAsia" w:ascii="宋体" w:hAnsi="宋体" w:eastAsia="宋体"/>
          <w:sz w:val="24"/>
          <w:szCs w:val="24"/>
          <w:lang w:val="en-US" w:eastAsia="zh-CN"/>
        </w:rPr>
        <w:t>及膏方</w:t>
      </w:r>
      <w:r>
        <w:rPr>
          <w:rFonts w:ascii="宋体" w:hAnsi="宋体" w:eastAsia="宋体"/>
          <w:sz w:val="24"/>
          <w:szCs w:val="24"/>
        </w:rPr>
        <w:t>发放服务：</w:t>
      </w:r>
    </w:p>
    <w:p w14:paraId="327C4ABD">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患者到医院中药房窗口领取代煎、代配药品：要求服务供应商应于接收处方后第二天上午10点前，将代煎、代配药品送达至医院中药房，由中药师核对后发放给患者。若发现缺漏、破损等质量问题，服务供应商需在接到医院反馈情况后及时处理，当天重新代煎代配该处方并送达患者指定地点，一切发生的费用由服务供应商承担。</w:t>
      </w:r>
    </w:p>
    <w:p w14:paraId="654BFD44">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快递至患者指定地点：要求服务供应商应于接收处方后第二天送至患者指定地点，且所需快递费用由服务供应商承担。若患者投诉药品未及时送达或收到药品存在质量问题等情况，服务供应商需全权处理，且于当天补送至患者指定地点，所产生的费用全部由服务供应商承担。</w:t>
      </w:r>
    </w:p>
    <w:p w14:paraId="2F3FF3EB">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患者有权选择是否需要提供快递中药饮片服务，医院对此只收取中药饮片费用及代煎费用，其余不再额外收取费用，快递服务及费用均由服务供应商承担，且不得额外向患者收取任何费用。</w:t>
      </w:r>
    </w:p>
    <w:p w14:paraId="0A30DF95">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服务供应商需严格按照医生开具的处方要求进行煎药，不得私下克扣中药饮片，不得偷工减料，不得以次充好，不得违反操作流程。</w:t>
      </w:r>
    </w:p>
    <w:p w14:paraId="30BBFFB3">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所有代煎、代配的中药饮片，必须满足运输过程中药品储存的温湿度要求。要求服务供应商具备相关配送服务能力，并提供配送硬件、人员等相关证明材料。如果配送服务为外包方式，要求额外提供服务供应商与配送单位之间的服务合同或协议。</w:t>
      </w:r>
    </w:p>
    <w:p w14:paraId="4C5B0072">
      <w:pPr>
        <w:spacing w:line="360" w:lineRule="auto"/>
        <w:ind w:firstLine="480" w:firstLineChars="200"/>
        <w:rPr>
          <w:rFonts w:ascii="宋体" w:hAnsi="宋体" w:eastAsia="宋体"/>
          <w:color w:val="000000"/>
          <w:sz w:val="24"/>
        </w:rPr>
      </w:pPr>
      <w:r>
        <w:rPr>
          <w:rFonts w:hint="eastAsia" w:ascii="宋体" w:hAnsi="宋体" w:eastAsia="宋体"/>
          <w:color w:val="000000"/>
          <w:sz w:val="24"/>
        </w:rPr>
        <w:t>4</w:t>
      </w:r>
      <w:r>
        <w:rPr>
          <w:rFonts w:ascii="宋体" w:hAnsi="宋体" w:eastAsia="宋体"/>
          <w:color w:val="000000"/>
          <w:sz w:val="24"/>
        </w:rPr>
        <w:t>.</w:t>
      </w:r>
      <w:r>
        <w:rPr>
          <w:rFonts w:hint="eastAsia" w:ascii="宋体" w:hAnsi="宋体" w:eastAsia="宋体"/>
          <w:color w:val="000000"/>
          <w:sz w:val="24"/>
        </w:rPr>
        <w:t>服务时间：365天，包含节假日、双休日在内。</w:t>
      </w:r>
    </w:p>
    <w:p w14:paraId="5A2CE0A4">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5.</w:t>
      </w:r>
      <w:r>
        <w:rPr>
          <w:rFonts w:hint="eastAsia" w:ascii="宋体" w:hAnsi="宋体" w:eastAsia="宋体"/>
          <w:color w:val="000000"/>
          <w:sz w:val="24"/>
        </w:rPr>
        <w:t>投标人提供的饮片品种数量需覆盖目前医院所使用品种，</w:t>
      </w:r>
      <w:r>
        <w:rPr>
          <w:rFonts w:hint="eastAsia" w:ascii="宋体" w:hAnsi="宋体" w:eastAsia="宋体"/>
          <w:color w:val="000000"/>
          <w:sz w:val="24"/>
          <w:lang w:val="en-US" w:eastAsia="zh-CN"/>
        </w:rPr>
        <w:t>包含集采饮片和溯源饮片，</w:t>
      </w:r>
      <w:r>
        <w:rPr>
          <w:rFonts w:hint="eastAsia" w:ascii="宋体" w:hAnsi="宋体" w:eastAsia="宋体"/>
          <w:color w:val="000000"/>
          <w:sz w:val="24"/>
        </w:rPr>
        <w:t>并提供饮片清单。</w:t>
      </w:r>
    </w:p>
    <w:p w14:paraId="06B2DB82">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6.</w:t>
      </w:r>
      <w:r>
        <w:rPr>
          <w:rFonts w:hint="eastAsia" w:ascii="宋体" w:hAnsi="宋体" w:eastAsia="宋体"/>
          <w:color w:val="000000"/>
          <w:sz w:val="24"/>
        </w:rPr>
        <w:t>人员配备：</w:t>
      </w:r>
    </w:p>
    <w:p w14:paraId="169BBB3C">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6</w:t>
      </w:r>
      <w:r>
        <w:rPr>
          <w:rFonts w:hint="eastAsia" w:ascii="宋体" w:hAnsi="宋体" w:eastAsia="宋体"/>
          <w:color w:val="000000"/>
          <w:sz w:val="24"/>
        </w:rPr>
        <w:t>.1服务供应商需指派一名业务员负责新华医院中药饮片相关事宜，要求在服务方案中明确具体人员，且提供法人委托书、身份证复印件，并承诺同意与医院签订廉洁购销合同。</w:t>
      </w:r>
    </w:p>
    <w:p w14:paraId="6F6A9854">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6</w:t>
      </w:r>
      <w:r>
        <w:rPr>
          <w:rFonts w:hint="eastAsia" w:ascii="宋体" w:hAnsi="宋体" w:eastAsia="宋体"/>
          <w:color w:val="000000"/>
          <w:sz w:val="24"/>
        </w:rPr>
        <w:t>.2</w:t>
      </w:r>
      <w:r>
        <w:rPr>
          <w:rFonts w:hint="eastAsia" w:ascii="宋体" w:hAnsi="宋体" w:eastAsia="宋体"/>
          <w:color w:val="000000"/>
          <w:sz w:val="24"/>
          <w:lang w:val="en-US" w:eastAsia="zh-CN"/>
        </w:rPr>
        <w:t>.1</w:t>
      </w:r>
      <w:r>
        <w:rPr>
          <w:rFonts w:hint="eastAsia" w:ascii="宋体" w:hAnsi="宋体" w:eastAsia="宋体"/>
          <w:color w:val="000000"/>
          <w:sz w:val="24"/>
        </w:rPr>
        <w:t>服务供应商需指派一至多名具有中药学专业资质的人员常驻新华医院，协助院方为患者提供相关服务。服务期限内，每年需提供上述人员合格的健康证报告，体检费用由服务供应商承担。</w:t>
      </w:r>
    </w:p>
    <w:p w14:paraId="6762BCCF">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6</w:t>
      </w:r>
      <w:r>
        <w:rPr>
          <w:rFonts w:hint="eastAsia" w:ascii="宋体" w:hAnsi="宋体" w:eastAsia="宋体"/>
          <w:color w:val="000000"/>
          <w:sz w:val="24"/>
        </w:rPr>
        <w:t>.</w:t>
      </w:r>
      <w:r>
        <w:rPr>
          <w:rFonts w:hint="eastAsia" w:ascii="宋体" w:hAnsi="宋体" w:eastAsia="宋体"/>
          <w:color w:val="000000"/>
          <w:sz w:val="24"/>
          <w:lang w:val="en-US" w:eastAsia="zh-CN"/>
        </w:rPr>
        <w:t>2.2</w:t>
      </w:r>
      <w:r>
        <w:rPr>
          <w:rFonts w:hint="eastAsia" w:ascii="宋体" w:hAnsi="宋体" w:eastAsia="宋体"/>
          <w:color w:val="000000"/>
          <w:sz w:val="24"/>
        </w:rPr>
        <w:t>上述人员工作时间应遵守院方的人事安排，如因加班等超出工作时间所产生的费用，由服务供应商承担。</w:t>
      </w:r>
    </w:p>
    <w:p w14:paraId="51F2396C">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6</w:t>
      </w:r>
      <w:r>
        <w:rPr>
          <w:rFonts w:hint="eastAsia" w:ascii="宋体" w:hAnsi="宋体" w:eastAsia="宋体"/>
          <w:color w:val="000000"/>
          <w:sz w:val="24"/>
        </w:rPr>
        <w:t>.</w:t>
      </w:r>
      <w:r>
        <w:rPr>
          <w:rFonts w:hint="eastAsia" w:ascii="宋体" w:hAnsi="宋体" w:eastAsia="宋体"/>
          <w:color w:val="000000"/>
          <w:sz w:val="24"/>
          <w:lang w:val="en-US" w:eastAsia="zh-CN"/>
        </w:rPr>
        <w:t>2.3</w:t>
      </w:r>
      <w:r>
        <w:rPr>
          <w:rFonts w:hint="eastAsia" w:ascii="宋体" w:hAnsi="宋体" w:eastAsia="宋体"/>
          <w:color w:val="000000"/>
          <w:sz w:val="24"/>
        </w:rPr>
        <w:t>上述人员要求为服务单位在职人员，提供开标日前半年内任意一个月依法缴纳社保的相关证明文件。且人员未经院方同意，不得擅自调整、更换。</w:t>
      </w:r>
    </w:p>
    <w:p w14:paraId="5491D779">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7.</w:t>
      </w:r>
      <w:r>
        <w:rPr>
          <w:rFonts w:hint="eastAsia" w:ascii="宋体" w:hAnsi="宋体" w:eastAsia="宋体"/>
          <w:color w:val="000000"/>
          <w:sz w:val="24"/>
        </w:rPr>
        <w:t>信息化要求：</w:t>
      </w:r>
    </w:p>
    <w:p w14:paraId="7A0424BB">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7</w:t>
      </w:r>
      <w:r>
        <w:rPr>
          <w:rFonts w:hint="eastAsia" w:ascii="宋体" w:hAnsi="宋体" w:eastAsia="宋体"/>
          <w:color w:val="000000"/>
          <w:sz w:val="24"/>
        </w:rPr>
        <w:t>.1医院对管理软件整体实施更新或升级时，如涉及中药饮片软件更新或升级，服务供应商应做到与医院软件整体保持同步。</w:t>
      </w:r>
    </w:p>
    <w:p w14:paraId="0C0209BB">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7</w:t>
      </w:r>
      <w:r>
        <w:rPr>
          <w:rFonts w:hint="eastAsia" w:ascii="宋体" w:hAnsi="宋体" w:eastAsia="宋体"/>
          <w:color w:val="000000"/>
          <w:sz w:val="24"/>
        </w:rPr>
        <w:t>.2提供免费信息功能，通过无线手持设备和煎药管理平台系统，对配方煎药全过程实施信息化管理，并可追溯配方、煎药、包装、送药全过程。</w:t>
      </w:r>
    </w:p>
    <w:p w14:paraId="453BFEB6">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7</w:t>
      </w:r>
      <w:r>
        <w:rPr>
          <w:rFonts w:hint="eastAsia" w:ascii="宋体" w:hAnsi="宋体" w:eastAsia="宋体"/>
          <w:color w:val="000000"/>
          <w:sz w:val="24"/>
        </w:rPr>
        <w:t>.3若需医院新增信息接口，用于与服务供应商进行中药饮片代煎代配订单数据传输，医院新增接口产生的所有费用由服务供应商承担。</w:t>
      </w:r>
    </w:p>
    <w:p w14:paraId="29A7534D">
      <w:pPr>
        <w:spacing w:line="360" w:lineRule="auto"/>
        <w:ind w:firstLine="480" w:firstLineChars="200"/>
        <w:rPr>
          <w:rFonts w:ascii="宋体" w:hAnsi="宋体" w:eastAsia="宋体"/>
          <w:color w:val="000000"/>
          <w:sz w:val="24"/>
        </w:rPr>
      </w:pPr>
      <w:r>
        <w:rPr>
          <w:rFonts w:hint="eastAsia" w:ascii="宋体" w:hAnsi="宋体" w:eastAsia="宋体"/>
          <w:color w:val="000000"/>
          <w:sz w:val="24"/>
          <w:lang w:val="en-US" w:eastAsia="zh-CN"/>
        </w:rPr>
        <w:t>7</w:t>
      </w:r>
      <w:r>
        <w:rPr>
          <w:rFonts w:ascii="宋体" w:hAnsi="宋体" w:eastAsia="宋体"/>
          <w:color w:val="000000"/>
          <w:sz w:val="24"/>
        </w:rPr>
        <w:t>.4</w:t>
      </w:r>
      <w:r>
        <w:rPr>
          <w:rFonts w:hint="eastAsia" w:ascii="宋体" w:hAnsi="宋体" w:eastAsia="宋体"/>
          <w:color w:val="000000"/>
          <w:sz w:val="24"/>
        </w:rPr>
        <w:t>投标人须与招标人签订保密协议，加强信息安全管理，保护患者隐私。</w:t>
      </w:r>
    </w:p>
    <w:p w14:paraId="17AEAF23">
      <w:pPr>
        <w:spacing w:line="360" w:lineRule="auto"/>
        <w:ind w:firstLine="482" w:firstLineChars="200"/>
        <w:rPr>
          <w:rFonts w:ascii="宋体" w:hAnsi="宋体" w:eastAsia="宋体"/>
          <w:b/>
          <w:sz w:val="24"/>
          <w:szCs w:val="24"/>
        </w:rPr>
      </w:pPr>
      <w:r>
        <w:rPr>
          <w:rFonts w:hint="eastAsia" w:ascii="宋体" w:hAnsi="宋体" w:eastAsia="宋体"/>
          <w:b/>
          <w:sz w:val="24"/>
          <w:szCs w:val="24"/>
        </w:rPr>
        <w:t>（二）质量要求</w:t>
      </w:r>
    </w:p>
    <w:p w14:paraId="71BB7EA4">
      <w:pPr>
        <w:spacing w:line="360" w:lineRule="auto"/>
        <w:ind w:firstLine="482" w:firstLineChars="200"/>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饮片质量要求</w:t>
      </w:r>
    </w:p>
    <w:p w14:paraId="268FC392">
      <w:pPr>
        <w:spacing w:line="360" w:lineRule="auto"/>
        <w:ind w:firstLine="480" w:firstLineChars="200"/>
        <w:rPr>
          <w:rFonts w:ascii="宋体" w:hAnsi="宋体" w:eastAsia="宋体"/>
          <w:sz w:val="24"/>
          <w:szCs w:val="24"/>
        </w:rPr>
      </w:pPr>
      <w:r>
        <w:rPr>
          <w:rFonts w:hint="eastAsia" w:ascii="宋体" w:hAnsi="宋体" w:eastAsia="宋体"/>
          <w:sz w:val="24"/>
          <w:szCs w:val="24"/>
        </w:rPr>
        <w:t>用于调剂的中药饮片必须为符合《上海市中药饮片炮制规范》标准的合格药品。</w:t>
      </w:r>
    </w:p>
    <w:p w14:paraId="2FE5BE28">
      <w:pPr>
        <w:spacing w:line="360" w:lineRule="auto"/>
        <w:ind w:firstLine="482" w:firstLineChars="200"/>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饮片调剂质量管理</w:t>
      </w:r>
    </w:p>
    <w:p w14:paraId="1F707D96">
      <w:pPr>
        <w:spacing w:line="360" w:lineRule="auto"/>
        <w:ind w:firstLine="482" w:firstLineChars="200"/>
        <w:rPr>
          <w:rFonts w:ascii="宋体" w:hAnsi="宋体" w:eastAsia="宋体"/>
          <w:b/>
          <w:sz w:val="24"/>
          <w:szCs w:val="24"/>
        </w:rPr>
      </w:pPr>
      <w:r>
        <w:rPr>
          <w:rFonts w:ascii="宋体" w:hAnsi="宋体" w:eastAsia="宋体"/>
          <w:b/>
          <w:sz w:val="24"/>
          <w:szCs w:val="24"/>
        </w:rPr>
        <w:t>2.1</w:t>
      </w:r>
      <w:r>
        <w:rPr>
          <w:rFonts w:hint="eastAsia" w:ascii="宋体" w:hAnsi="宋体" w:eastAsia="宋体"/>
          <w:b/>
          <w:sz w:val="24"/>
          <w:szCs w:val="24"/>
        </w:rPr>
        <w:t>处方传递及标签书写</w:t>
      </w:r>
    </w:p>
    <w:p w14:paraId="6F19A5BB">
      <w:pPr>
        <w:spacing w:line="360" w:lineRule="auto"/>
        <w:ind w:firstLine="480" w:firstLineChars="200"/>
        <w:rPr>
          <w:rFonts w:ascii="宋体" w:hAnsi="宋体" w:eastAsia="宋体"/>
          <w:sz w:val="24"/>
          <w:szCs w:val="24"/>
        </w:rPr>
      </w:pPr>
      <w:r>
        <w:rPr>
          <w:rFonts w:hint="eastAsia" w:ascii="宋体" w:hAnsi="宋体" w:eastAsia="宋体"/>
          <w:sz w:val="24"/>
          <w:szCs w:val="24"/>
        </w:rPr>
        <w:t>1）招标人通过药品配送平台将处方传至投标人。</w:t>
      </w:r>
    </w:p>
    <w:p w14:paraId="3415B2C8">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）投标人根据处方准确书写标签</w:t>
      </w:r>
      <w:r>
        <w:rPr>
          <w:rFonts w:ascii="宋体" w:hAnsi="宋体" w:eastAsia="宋体"/>
          <w:sz w:val="24"/>
          <w:szCs w:val="24"/>
        </w:rPr>
        <w:t>(打印)，内容包括:患者姓名、领药号、药贴数、日期</w:t>
      </w:r>
      <w:r>
        <w:rPr>
          <w:rFonts w:hint="eastAsia" w:ascii="宋体" w:hAnsi="宋体" w:eastAsia="宋体"/>
          <w:sz w:val="24"/>
          <w:szCs w:val="24"/>
        </w:rPr>
        <w:t>；</w:t>
      </w:r>
      <w:r>
        <w:rPr>
          <w:rFonts w:ascii="宋体" w:hAnsi="宋体" w:eastAsia="宋体"/>
          <w:sz w:val="24"/>
          <w:szCs w:val="24"/>
        </w:rPr>
        <w:t>标签需贴在外袋上。</w:t>
      </w:r>
    </w:p>
    <w:p w14:paraId="1EEB3FEB">
      <w:pPr>
        <w:spacing w:line="360" w:lineRule="auto"/>
        <w:ind w:firstLine="480" w:firstLineChars="200"/>
        <w:rPr>
          <w:rFonts w:ascii="宋体" w:hAnsi="宋体" w:eastAsia="宋体"/>
          <w:sz w:val="24"/>
          <w:szCs w:val="24"/>
        </w:rPr>
      </w:pPr>
      <w:r>
        <w:rPr>
          <w:rFonts w:hint="eastAsia" w:ascii="宋体" w:hAnsi="宋体" w:eastAsia="宋体"/>
          <w:sz w:val="24"/>
          <w:szCs w:val="24"/>
        </w:rPr>
        <w:t>3）投标人如发现处方中所写药品剂量超常规等问题，应及时与招标人联系。</w:t>
      </w:r>
    </w:p>
    <w:p w14:paraId="7326C2CD">
      <w:pPr>
        <w:spacing w:line="360" w:lineRule="auto"/>
        <w:ind w:firstLine="480" w:firstLineChars="200"/>
        <w:rPr>
          <w:rFonts w:ascii="宋体" w:hAnsi="宋体" w:eastAsia="宋体"/>
          <w:sz w:val="24"/>
          <w:szCs w:val="24"/>
        </w:rPr>
      </w:pPr>
      <w:r>
        <w:rPr>
          <w:rFonts w:hint="eastAsia" w:ascii="宋体" w:hAnsi="宋体" w:eastAsia="宋体"/>
          <w:sz w:val="24"/>
          <w:szCs w:val="24"/>
        </w:rPr>
        <w:t>4）投标人必须按约定的时间准确无误的将代煎代配的中药配送至招标人提供的地点。</w:t>
      </w:r>
    </w:p>
    <w:p w14:paraId="2D23B871">
      <w:pPr>
        <w:spacing w:line="360" w:lineRule="auto"/>
        <w:ind w:firstLine="482" w:firstLineChars="200"/>
        <w:rPr>
          <w:rFonts w:ascii="宋体" w:hAnsi="宋体" w:eastAsia="宋体"/>
          <w:b/>
          <w:sz w:val="24"/>
          <w:szCs w:val="24"/>
        </w:rPr>
      </w:pPr>
      <w:r>
        <w:rPr>
          <w:rFonts w:ascii="宋体" w:hAnsi="宋体" w:eastAsia="宋体"/>
          <w:b/>
          <w:sz w:val="24"/>
          <w:szCs w:val="24"/>
        </w:rPr>
        <w:t>2.2</w:t>
      </w:r>
      <w:r>
        <w:rPr>
          <w:rFonts w:hint="eastAsia" w:ascii="宋体" w:hAnsi="宋体" w:eastAsia="宋体"/>
          <w:b/>
          <w:sz w:val="24"/>
          <w:szCs w:val="24"/>
        </w:rPr>
        <w:t>饮片调剂质量控制</w:t>
      </w:r>
    </w:p>
    <w:p w14:paraId="7447FBCB">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1）严格按照《处方管理办法》、《医院中药饮片管理规范》等文件要求进行调剂。</w:t>
      </w:r>
    </w:p>
    <w:p w14:paraId="089391BC">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）投标人从事调剂人员的资质须符合相关要求。</w:t>
      </w:r>
    </w:p>
    <w:p w14:paraId="204A9DDC">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投标人须按照招标人提供的《中药饮片调剂规程》操作，同时必须严格按照《上海市中药饮片炮制规范》中的“处方应付”之规定调配。</w:t>
      </w:r>
    </w:p>
    <w:p w14:paraId="690F92E0">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w:t>
      </w:r>
      <w:r>
        <w:rPr>
          <w:rFonts w:ascii="宋体" w:hAnsi="宋体" w:eastAsia="宋体"/>
          <w:sz w:val="24"/>
          <w:szCs w:val="24"/>
          <w:highlight w:val="none"/>
        </w:rPr>
        <w:t>投标人在处方调配前须先行审方，如发现有配伍禁忌及药品剂量超常规等问题应及时与招标人联系</w:t>
      </w:r>
      <w:r>
        <w:rPr>
          <w:rFonts w:hint="eastAsia" w:ascii="宋体" w:hAnsi="宋体" w:eastAsia="宋体"/>
          <w:sz w:val="24"/>
          <w:szCs w:val="24"/>
          <w:highlight w:val="none"/>
        </w:rPr>
        <w:t>。</w:t>
      </w:r>
    </w:p>
    <w:p w14:paraId="74338F8F">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5）称量必须准确，每张处方总份量误差应小于±5%（招标人负责定期或不定期进行抽查并考核）。</w:t>
      </w:r>
    </w:p>
    <w:p w14:paraId="64665019">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6）每张处方调配完毕，必须由专人负责（药师以上人员）符合，复核率应达到100%。</w:t>
      </w:r>
    </w:p>
    <w:p w14:paraId="47C289AC">
      <w:pPr>
        <w:spacing w:line="360" w:lineRule="auto"/>
        <w:ind w:firstLine="482" w:firstLineChars="200"/>
        <w:rPr>
          <w:rFonts w:ascii="宋体" w:hAnsi="宋体" w:eastAsia="宋体"/>
          <w:b/>
          <w:sz w:val="24"/>
          <w:szCs w:val="24"/>
          <w:highlight w:val="none"/>
        </w:rPr>
      </w:pPr>
      <w:r>
        <w:rPr>
          <w:rFonts w:ascii="宋体" w:hAnsi="宋体" w:eastAsia="宋体"/>
          <w:b/>
          <w:sz w:val="24"/>
          <w:szCs w:val="24"/>
          <w:highlight w:val="none"/>
        </w:rPr>
        <w:t>2.3</w:t>
      </w:r>
      <w:r>
        <w:rPr>
          <w:rFonts w:hint="eastAsia" w:ascii="宋体" w:hAnsi="宋体" w:eastAsia="宋体"/>
          <w:b/>
          <w:sz w:val="24"/>
          <w:szCs w:val="24"/>
          <w:highlight w:val="none"/>
        </w:rPr>
        <w:t>煎药质量控制</w:t>
      </w:r>
    </w:p>
    <w:p w14:paraId="4CEB6B88">
      <w:pPr>
        <w:spacing w:line="360" w:lineRule="auto"/>
        <w:ind w:firstLine="480" w:firstLineChars="200"/>
        <w:rPr>
          <w:rFonts w:ascii="宋体" w:hAnsi="宋体" w:eastAsia="宋体"/>
          <w:sz w:val="24"/>
          <w:szCs w:val="24"/>
        </w:rPr>
      </w:pPr>
      <w:r>
        <w:rPr>
          <w:rFonts w:hint="eastAsia" w:ascii="宋体" w:hAnsi="宋体" w:eastAsia="宋体"/>
          <w:sz w:val="24"/>
          <w:szCs w:val="24"/>
        </w:rPr>
        <w:t>1）投标人应严格执行国中医药发</w:t>
      </w:r>
      <w:r>
        <w:rPr>
          <w:rFonts w:ascii="宋体" w:hAnsi="宋体" w:eastAsia="宋体"/>
          <w:sz w:val="24"/>
          <w:szCs w:val="24"/>
        </w:rPr>
        <w:t>[2009]3号《医疗机构中药煎药室管理规范》，加强煎药质量管理。</w:t>
      </w:r>
    </w:p>
    <w:p w14:paraId="1BEEEFF1">
      <w:pPr>
        <w:spacing w:line="360" w:lineRule="auto"/>
        <w:ind w:firstLine="480" w:firstLineChars="200"/>
        <w:rPr>
          <w:rFonts w:ascii="宋体" w:hAnsi="宋体" w:eastAsia="宋体"/>
          <w:sz w:val="24"/>
          <w:szCs w:val="24"/>
        </w:rPr>
      </w:pPr>
      <w:r>
        <w:rPr>
          <w:rFonts w:hint="eastAsia" w:ascii="宋体" w:hAnsi="宋体" w:eastAsia="宋体"/>
          <w:sz w:val="24"/>
          <w:szCs w:val="24"/>
        </w:rPr>
        <w:t>2）投标人对所煎中药的质量负全部责任。招标人对投标人煎药进行不定期抽查。如发现煎药问题，或患者投诉，经招标人或相关部门分析判定确系配药或煎药差错</w:t>
      </w:r>
      <w:r>
        <w:rPr>
          <w:rFonts w:ascii="宋体" w:hAnsi="宋体" w:eastAsia="宋体"/>
          <w:sz w:val="24"/>
          <w:szCs w:val="24"/>
        </w:rPr>
        <w:t>(含破损)，需重煎、补煎或患者已服用，造成一定后果的，由投标人承担全部责任。</w:t>
      </w:r>
    </w:p>
    <w:p w14:paraId="35A92DAF">
      <w:pPr>
        <w:spacing w:line="360" w:lineRule="auto"/>
        <w:ind w:firstLine="480" w:firstLineChars="200"/>
        <w:rPr>
          <w:rFonts w:ascii="宋体" w:hAnsi="宋体" w:eastAsia="宋体"/>
          <w:sz w:val="24"/>
          <w:szCs w:val="24"/>
        </w:rPr>
      </w:pPr>
      <w:r>
        <w:rPr>
          <w:rFonts w:hint="eastAsia" w:ascii="宋体" w:hAnsi="宋体" w:eastAsia="宋体"/>
          <w:sz w:val="24"/>
          <w:szCs w:val="24"/>
        </w:rPr>
        <w:t>3）需配备中药代煎代配相关设备：如煎药机、自动挤压煎药机、多功能煎药机、中药液体包装机等设备。</w:t>
      </w:r>
    </w:p>
    <w:p w14:paraId="148196DA">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val="en-US" w:eastAsia="zh-CN"/>
        </w:rPr>
        <w:t>投标人须接受招标人</w:t>
      </w:r>
      <w:r>
        <w:rPr>
          <w:rFonts w:hint="eastAsia" w:ascii="宋体" w:hAnsi="宋体" w:eastAsia="宋体"/>
          <w:sz w:val="24"/>
          <w:szCs w:val="24"/>
        </w:rPr>
        <w:t>开展日常检查和不定期检查</w:t>
      </w:r>
      <w:r>
        <w:rPr>
          <w:rFonts w:hint="eastAsia" w:ascii="宋体" w:hAnsi="宋体" w:eastAsia="宋体"/>
          <w:sz w:val="24"/>
          <w:szCs w:val="24"/>
          <w:lang w:eastAsia="zh-CN"/>
        </w:rPr>
        <w:t>，</w:t>
      </w:r>
      <w:r>
        <w:rPr>
          <w:rFonts w:hint="eastAsia" w:ascii="宋体" w:hAnsi="宋体" w:eastAsia="宋体"/>
          <w:sz w:val="24"/>
          <w:szCs w:val="24"/>
          <w:lang w:val="en-US" w:eastAsia="zh-CN"/>
        </w:rPr>
        <w:t>保证</w:t>
      </w:r>
      <w:r>
        <w:rPr>
          <w:rFonts w:ascii="宋体" w:hAnsi="宋体" w:eastAsia="宋体"/>
          <w:sz w:val="24"/>
          <w:szCs w:val="24"/>
        </w:rPr>
        <w:t>质量管理制度、岗位职责和标准操作规程的落实；建立中药饮片煎煮质量管理智能化记录系统，保证数据原始、真实、准确、安全和可追溯，电子记录数据应当以安全、 可靠方式定期备份，连续且不缺失；中药饮片煎煮及代煎剂运送各环节原始纸质记录应当真实、完整、准确，与电子记录数据互相印证、有效衔接，记录及凭证至少保存1年；代煎中药饮片各环节处</w:t>
      </w:r>
      <w:r>
        <w:rPr>
          <w:rFonts w:hint="eastAsia" w:ascii="宋体" w:hAnsi="宋体" w:eastAsia="宋体"/>
          <w:sz w:val="24"/>
          <w:szCs w:val="24"/>
        </w:rPr>
        <w:t>应当安装电子监控，实行实时无死角监控，满足日常监督管理和事故调查的需要。电子监控录像至少保存</w:t>
      </w:r>
      <w:r>
        <w:rPr>
          <w:rFonts w:ascii="宋体" w:hAnsi="宋体" w:eastAsia="宋体"/>
          <w:sz w:val="24"/>
          <w:szCs w:val="24"/>
        </w:rPr>
        <w:t>1个月；代煎企业应当建立代煎药品留样制度，妥善保存至少7天，实现可追溯，到期留样处置应符合环保等相关要求</w:t>
      </w:r>
      <w:r>
        <w:rPr>
          <w:rFonts w:hint="eastAsia" w:ascii="宋体" w:hAnsi="宋体" w:eastAsia="宋体"/>
          <w:sz w:val="24"/>
          <w:szCs w:val="24"/>
        </w:rPr>
        <w:t>。</w:t>
      </w:r>
    </w:p>
    <w:p w14:paraId="0A9A4774">
      <w:pPr>
        <w:spacing w:line="360" w:lineRule="auto"/>
        <w:ind w:firstLine="480" w:firstLineChars="200"/>
        <w:rPr>
          <w:rFonts w:ascii="宋体" w:hAnsi="宋体" w:eastAsia="宋体"/>
          <w:sz w:val="24"/>
          <w:szCs w:val="24"/>
        </w:rPr>
      </w:pPr>
      <w:r>
        <w:rPr>
          <w:rFonts w:hint="eastAsia" w:ascii="宋体" w:hAnsi="宋体" w:eastAsia="宋体"/>
          <w:sz w:val="24"/>
          <w:szCs w:val="24"/>
        </w:rPr>
        <w:t>5）为了保证煎药服务的质量，除了投标人自身工作人员外，招标人将组织数名有丰富调剂和煎药经验的主管中药师定期且随机的对投标人煎药服务进行质量抽查，并有记录，加强饮片调剂及煎药的全过程管理。</w:t>
      </w:r>
    </w:p>
    <w:p w14:paraId="7234068E">
      <w:pPr>
        <w:spacing w:line="360" w:lineRule="auto"/>
        <w:rPr>
          <w:rFonts w:ascii="宋体" w:hAnsi="宋体" w:eastAsia="宋体"/>
          <w:sz w:val="24"/>
          <w:szCs w:val="24"/>
        </w:rPr>
      </w:pPr>
    </w:p>
    <w:p w14:paraId="1FA2F67E">
      <w:pPr>
        <w:spacing w:line="360" w:lineRule="auto"/>
        <w:rPr>
          <w:rFonts w:hint="eastAsia" w:ascii="宋体" w:hAnsi="宋体" w:eastAsia="宋体"/>
          <w:b/>
          <w:sz w:val="24"/>
          <w:szCs w:val="24"/>
          <w:lang w:eastAsia="zh-CN"/>
        </w:rPr>
      </w:pPr>
      <w:r>
        <w:rPr>
          <w:rFonts w:ascii="宋体" w:hAnsi="宋体" w:eastAsia="宋体"/>
          <w:b/>
          <w:sz w:val="24"/>
          <w:szCs w:val="24"/>
        </w:rPr>
        <w:t>包件</w:t>
      </w:r>
      <w:r>
        <w:rPr>
          <w:rFonts w:hint="eastAsia" w:ascii="宋体" w:hAnsi="宋体" w:eastAsia="宋体"/>
          <w:b/>
          <w:sz w:val="24"/>
          <w:szCs w:val="24"/>
        </w:rPr>
        <w:t>2：</w:t>
      </w:r>
      <w:r>
        <w:rPr>
          <w:rFonts w:hint="eastAsia" w:ascii="宋体" w:hAnsi="宋体" w:eastAsia="宋体"/>
          <w:b/>
          <w:sz w:val="24"/>
          <w:szCs w:val="24"/>
          <w:lang w:eastAsia="zh-CN"/>
        </w:rPr>
        <w:t>中药配方颗粒委托加工服务</w:t>
      </w:r>
    </w:p>
    <w:p w14:paraId="7D097AAB">
      <w:pPr>
        <w:spacing w:line="360" w:lineRule="auto"/>
        <w:ind w:firstLine="482" w:firstLineChars="200"/>
        <w:rPr>
          <w:rStyle w:val="73"/>
          <w:rFonts w:ascii="宋体" w:hAnsi="宋体" w:eastAsia="宋体" w:cs="Times New Roman"/>
          <w:b/>
          <w:sz w:val="24"/>
          <w:szCs w:val="24"/>
        </w:rPr>
      </w:pPr>
      <w:r>
        <w:rPr>
          <w:rStyle w:val="73"/>
          <w:rFonts w:hint="eastAsia" w:ascii="宋体" w:hAnsi="宋体" w:eastAsia="宋体" w:cs="Times New Roman"/>
          <w:b/>
          <w:sz w:val="24"/>
          <w:szCs w:val="24"/>
        </w:rPr>
        <w:t>一、项目概况</w:t>
      </w:r>
    </w:p>
    <w:p w14:paraId="7AD8D860">
      <w:pPr>
        <w:spacing w:line="360" w:lineRule="auto"/>
        <w:ind w:firstLine="480" w:firstLineChars="200"/>
        <w:rPr>
          <w:rStyle w:val="73"/>
          <w:rFonts w:ascii="宋体" w:hAnsi="宋体" w:eastAsia="宋体" w:cs="Times New Roman"/>
          <w:sz w:val="24"/>
          <w:szCs w:val="24"/>
        </w:rPr>
      </w:pPr>
      <w:r>
        <w:rPr>
          <w:rStyle w:val="73"/>
          <w:rFonts w:hint="eastAsia" w:ascii="宋体" w:hAnsi="宋体" w:eastAsia="宋体" w:cs="Times New Roman"/>
          <w:sz w:val="24"/>
          <w:szCs w:val="24"/>
        </w:rPr>
        <w:t>1</w:t>
      </w:r>
      <w:r>
        <w:rPr>
          <w:rStyle w:val="73"/>
          <w:rFonts w:ascii="宋体" w:hAnsi="宋体" w:eastAsia="宋体" w:cs="Times New Roman"/>
          <w:sz w:val="24"/>
          <w:szCs w:val="24"/>
        </w:rPr>
        <w:t>.服务范围：</w:t>
      </w:r>
      <w:r>
        <w:rPr>
          <w:rStyle w:val="73"/>
          <w:rFonts w:hint="eastAsia" w:ascii="宋体" w:hAnsi="宋体" w:eastAsia="宋体" w:cs="Times New Roman"/>
          <w:sz w:val="24"/>
          <w:szCs w:val="24"/>
        </w:rPr>
        <w:t>中药配方颗粒委托加工服务</w:t>
      </w:r>
      <w:r>
        <w:rPr>
          <w:rStyle w:val="73"/>
          <w:rFonts w:ascii="宋体" w:hAnsi="宋体" w:eastAsia="宋体" w:cs="Times New Roman"/>
          <w:sz w:val="24"/>
          <w:szCs w:val="24"/>
        </w:rPr>
        <w:t>；</w:t>
      </w:r>
    </w:p>
    <w:p w14:paraId="6BF1D5E8">
      <w:pPr>
        <w:spacing w:line="360" w:lineRule="auto"/>
        <w:ind w:firstLine="480" w:firstLineChars="200"/>
        <w:rPr>
          <w:rStyle w:val="73"/>
          <w:rFonts w:ascii="宋体" w:hAnsi="宋体" w:eastAsia="宋体" w:cs="Times New Roman"/>
          <w:sz w:val="24"/>
          <w:szCs w:val="24"/>
        </w:rPr>
      </w:pPr>
      <w:r>
        <w:rPr>
          <w:rStyle w:val="73"/>
          <w:rFonts w:ascii="宋体" w:hAnsi="宋体" w:eastAsia="宋体" w:cs="Times New Roman"/>
          <w:sz w:val="24"/>
          <w:szCs w:val="24"/>
        </w:rPr>
        <w:t>2.服务</w:t>
      </w:r>
      <w:r>
        <w:rPr>
          <w:rStyle w:val="73"/>
          <w:rFonts w:hint="eastAsia" w:ascii="宋体" w:hAnsi="宋体" w:eastAsia="宋体" w:cs="Times New Roman"/>
          <w:sz w:val="24"/>
          <w:szCs w:val="24"/>
          <w:lang w:val="en-US" w:eastAsia="zh-CN"/>
        </w:rPr>
        <w:t>标准</w:t>
      </w:r>
      <w:r>
        <w:rPr>
          <w:rStyle w:val="73"/>
          <w:rFonts w:ascii="宋体" w:hAnsi="宋体" w:eastAsia="宋体" w:cs="Times New Roman"/>
          <w:sz w:val="24"/>
          <w:szCs w:val="24"/>
        </w:rPr>
        <w:t>：</w:t>
      </w:r>
      <w:r>
        <w:rPr>
          <w:rStyle w:val="73"/>
          <w:rFonts w:hint="eastAsia" w:ascii="宋体" w:hAnsi="宋体" w:eastAsia="宋体" w:cs="Times New Roman"/>
          <w:sz w:val="24"/>
          <w:szCs w:val="24"/>
        </w:rPr>
        <w:t>中药配方颗粒品种在上市前由生产企业报所在地省级药品监督管理部门备案，生产过程应当按照备案的生产工艺进行生产，且应执行《药品生产质量管理规范》</w:t>
      </w:r>
      <w:r>
        <w:rPr>
          <w:rStyle w:val="73"/>
          <w:rFonts w:ascii="宋体" w:hAnsi="宋体" w:eastAsia="宋体" w:cs="Times New Roman"/>
          <w:sz w:val="24"/>
          <w:szCs w:val="24"/>
        </w:rPr>
        <w:t>GMP相关要求，并符合使用地省级药品监督管理部门制定的标准。</w:t>
      </w:r>
    </w:p>
    <w:p w14:paraId="34A642B8">
      <w:pPr>
        <w:spacing w:line="360" w:lineRule="auto"/>
        <w:ind w:firstLine="480" w:firstLineChars="200"/>
        <w:rPr>
          <w:rStyle w:val="73"/>
          <w:rFonts w:ascii="宋体" w:hAnsi="宋体" w:eastAsia="宋体" w:cs="Times New Roman"/>
          <w:sz w:val="24"/>
          <w:szCs w:val="24"/>
        </w:rPr>
      </w:pPr>
      <w:r>
        <w:rPr>
          <w:rStyle w:val="73"/>
          <w:rFonts w:ascii="宋体" w:hAnsi="宋体" w:eastAsia="宋体" w:cs="Times New Roman"/>
          <w:sz w:val="24"/>
          <w:szCs w:val="24"/>
        </w:rPr>
        <w:t>3.中标人数量：1</w:t>
      </w:r>
    </w:p>
    <w:p w14:paraId="7E97D3AA">
      <w:pPr>
        <w:spacing w:line="360" w:lineRule="auto"/>
        <w:ind w:firstLine="482" w:firstLineChars="200"/>
        <w:rPr>
          <w:rStyle w:val="73"/>
          <w:rFonts w:ascii="宋体" w:hAnsi="宋体" w:eastAsia="宋体" w:cs="Times New Roman"/>
          <w:b/>
          <w:sz w:val="24"/>
          <w:szCs w:val="24"/>
        </w:rPr>
      </w:pPr>
      <w:r>
        <w:rPr>
          <w:rStyle w:val="73"/>
          <w:rFonts w:hint="eastAsia" w:ascii="宋体" w:hAnsi="宋体" w:eastAsia="宋体" w:cs="Times New Roman"/>
          <w:b/>
          <w:sz w:val="24"/>
          <w:szCs w:val="24"/>
        </w:rPr>
        <w:t>二、服务内容及要求（包括但不限于）：</w:t>
      </w:r>
    </w:p>
    <w:p w14:paraId="21A026E2">
      <w:pPr>
        <w:spacing w:line="360" w:lineRule="auto"/>
        <w:ind w:firstLine="480" w:firstLineChars="200"/>
        <w:rPr>
          <w:rFonts w:ascii="宋体" w:hAnsi="宋体" w:eastAsia="宋体"/>
          <w:sz w:val="24"/>
          <w:szCs w:val="24"/>
        </w:rPr>
      </w:pPr>
      <w:r>
        <w:rPr>
          <w:rFonts w:ascii="宋体" w:hAnsi="宋体" w:eastAsia="宋体"/>
          <w:sz w:val="24"/>
          <w:szCs w:val="24"/>
        </w:rPr>
        <w:t>1、投标人须具有中药饮片炮制、提取、浓缩、干燥、制粒等完整生产能力，并制定每个品种详细的生产工艺、标准操作规程，严格执行药品生产质量管理规范（GMP）中的有关规定。中药配方颗粒品种要求在上市前由生产企业报所在地省级药品监督管理部门备案，生产过程应当按照备案的生产工艺进行生产，且应执行《药品生产质量管理规范》GMP相关要求，并符合使用地省级药品监督管理部门制定的标准。</w:t>
      </w:r>
    </w:p>
    <w:p w14:paraId="180064FA">
      <w:pPr>
        <w:spacing w:line="360" w:lineRule="auto"/>
        <w:ind w:firstLine="480" w:firstLineChars="200"/>
        <w:rPr>
          <w:rFonts w:ascii="宋体" w:hAnsi="宋体" w:eastAsia="宋体"/>
          <w:sz w:val="24"/>
          <w:szCs w:val="24"/>
        </w:rPr>
      </w:pPr>
      <w:r>
        <w:rPr>
          <w:rFonts w:ascii="宋体" w:hAnsi="宋体" w:eastAsia="宋体"/>
          <w:sz w:val="24"/>
          <w:szCs w:val="24"/>
        </w:rPr>
        <w:t>2、设立药品质量检验、管理的专门机构及专职人员，制定质量管理规章制度，具备完善的药品质量保证体系，具备产品放行、召回等质量管理能力；要求采用特征图谱等整体控制中药成份的检测技术，控制中药配方颗粒的质量。投标人应向医院提供每一批中药配方颗粒的自检报告。</w:t>
      </w:r>
    </w:p>
    <w:p w14:paraId="622E7920">
      <w:pPr>
        <w:spacing w:line="360" w:lineRule="auto"/>
        <w:ind w:firstLine="480" w:firstLineChars="200"/>
        <w:rPr>
          <w:rFonts w:ascii="宋体" w:hAnsi="宋体" w:eastAsia="宋体"/>
          <w:sz w:val="24"/>
          <w:szCs w:val="24"/>
        </w:rPr>
      </w:pPr>
      <w:r>
        <w:rPr>
          <w:rFonts w:ascii="宋体" w:hAnsi="宋体" w:eastAsia="宋体"/>
          <w:sz w:val="24"/>
          <w:szCs w:val="24"/>
        </w:rPr>
        <w:t>3、设立药品监测与评价的专门机构及专职人员，建立药品监测与评价体系，具备对药品实施风险管理的能力，依法承担药品不良反应监测、风险效益评估、风险控制义务，负责建立并维护药品不良反应监测系统，对药品监测与评价进行管理。投标人应当履行因上市产品缺陷对患者造成损害的侵权赔偿义务。</w:t>
      </w:r>
    </w:p>
    <w:p w14:paraId="2BE9A435">
      <w:pPr>
        <w:spacing w:line="360" w:lineRule="auto"/>
        <w:ind w:firstLine="480" w:firstLineChars="200"/>
        <w:rPr>
          <w:rFonts w:ascii="宋体" w:hAnsi="宋体" w:eastAsia="宋体"/>
          <w:sz w:val="24"/>
          <w:szCs w:val="24"/>
        </w:rPr>
      </w:pPr>
      <w:r>
        <w:rPr>
          <w:rFonts w:ascii="宋体" w:hAnsi="宋体" w:eastAsia="宋体"/>
          <w:sz w:val="24"/>
          <w:szCs w:val="24"/>
        </w:rPr>
        <w:t>4、投标人应履行药品上市许可持有人的相关义务，并实施全过程管理，并具有全过程追溯及风险管理能力（严格执行终端扫码政策），负责中药配方颗粒二维码标签的粘贴，做到信息可追溯。配合医院的质量管理要求，保证信息化能对接医院的平台。中药配方颗粒生产所需中药材，凡是能人工种植养殖的，应当优先使用来源于符合中药材生产质量管理规范要求的中药材种植养殖基地的中药材。投标人应当自行炮制用于中药配方颗粒生产的中药饮片。提倡使用道地药材。</w:t>
      </w:r>
    </w:p>
    <w:p w14:paraId="11948E5C">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、投标人提供的相关服务须满足且不仅限于国家药监局、上海市药监局和上海市医疗器械质控中心的质控标准（当质控标准有变更时，必须及时修正并满足）。</w:t>
      </w:r>
    </w:p>
    <w:p w14:paraId="58D37518">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 xml:space="preserve">、投标人应当与医院签订质量保证协议。 </w:t>
      </w:r>
    </w:p>
    <w:p w14:paraId="433FF249">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7</w:t>
      </w:r>
      <w:r>
        <w:rPr>
          <w:rFonts w:ascii="宋体" w:hAnsi="宋体" w:eastAsia="宋体"/>
          <w:sz w:val="24"/>
          <w:szCs w:val="24"/>
        </w:rPr>
        <w:t>、中药配方颗粒应当通过省级药品集中采购平台阳光采购、网上交易。由投标人向医院直接配送中药配方颗粒，或者委托具备储存、运输条件的药品经营企业负责配送。</w:t>
      </w:r>
    </w:p>
    <w:p w14:paraId="073EA8D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8</w:t>
      </w:r>
      <w:r>
        <w:rPr>
          <w:rFonts w:ascii="宋体" w:hAnsi="宋体" w:eastAsia="宋体"/>
          <w:sz w:val="24"/>
          <w:szCs w:val="24"/>
          <w:highlight w:val="none"/>
        </w:rPr>
        <w:t>、投标人针对本项目</w:t>
      </w:r>
      <w:r>
        <w:rPr>
          <w:rFonts w:hint="eastAsia" w:ascii="宋体" w:hAnsi="宋体" w:eastAsia="宋体"/>
          <w:sz w:val="24"/>
          <w:szCs w:val="24"/>
          <w:highlight w:val="none"/>
          <w:lang w:val="en-US" w:eastAsia="zh-CN"/>
        </w:rPr>
        <w:t>需提供</w:t>
      </w:r>
      <w:r>
        <w:rPr>
          <w:rFonts w:ascii="宋体" w:hAnsi="宋体" w:eastAsia="宋体"/>
          <w:sz w:val="24"/>
          <w:szCs w:val="24"/>
          <w:highlight w:val="none"/>
        </w:rPr>
        <w:t>配方颗粒调配设备。</w:t>
      </w:r>
    </w:p>
    <w:p w14:paraId="09DF5303">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9</w:t>
      </w:r>
      <w:r>
        <w:rPr>
          <w:rFonts w:ascii="宋体" w:hAnsi="宋体" w:eastAsia="宋体"/>
          <w:sz w:val="24"/>
          <w:szCs w:val="24"/>
        </w:rPr>
        <w:t>、投标人具备药品质量安全责任承担能力。</w:t>
      </w:r>
    </w:p>
    <w:p w14:paraId="08E4BA93">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10</w:t>
      </w:r>
      <w:r>
        <w:rPr>
          <w:rFonts w:ascii="宋体" w:hAnsi="宋体" w:eastAsia="宋体"/>
          <w:sz w:val="24"/>
          <w:szCs w:val="24"/>
        </w:rPr>
        <w:t>.</w:t>
      </w:r>
      <w:r>
        <w:rPr>
          <w:rFonts w:hint="eastAsia"/>
        </w:rPr>
        <w:t xml:space="preserve"> </w:t>
      </w:r>
      <w:r>
        <w:rPr>
          <w:rFonts w:hint="eastAsia" w:ascii="宋体" w:hAnsi="宋体" w:eastAsia="宋体"/>
          <w:sz w:val="24"/>
          <w:szCs w:val="24"/>
        </w:rPr>
        <w:t>中药配方颗粒质量要求</w:t>
      </w:r>
    </w:p>
    <w:p w14:paraId="578061F2">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w:t>
      </w:r>
      <w:r>
        <w:rPr>
          <w:rFonts w:ascii="宋体" w:hAnsi="宋体" w:eastAsia="宋体"/>
          <w:sz w:val="24"/>
          <w:szCs w:val="24"/>
        </w:rPr>
        <w:t>1投标人须承诺：提供的产品需严格按照《中华人民共和国药典》（2020年版）（如有收录）、《中药配方颗粒质量控制与标准制定技术要求》等最新文件法规及标准，能满足招标人的用药要求。</w:t>
      </w:r>
    </w:p>
    <w:p w14:paraId="6F9FE4CA">
      <w:pPr>
        <w:spacing w:line="360" w:lineRule="auto"/>
        <w:ind w:firstLine="480" w:firstLineChars="200"/>
        <w:rPr>
          <w:rFonts w:ascii="宋体" w:hAnsi="宋体" w:eastAsia="宋体"/>
          <w:sz w:val="24"/>
          <w:szCs w:val="24"/>
        </w:rPr>
      </w:pPr>
      <w:r>
        <w:rPr>
          <w:rFonts w:ascii="宋体" w:hAnsi="宋体" w:eastAsia="宋体"/>
          <w:sz w:val="24"/>
          <w:szCs w:val="24"/>
        </w:rPr>
        <w:t>10.2投标人收到处方时，调剂人员操作前首先核对处方是否合理规范，根据“四查十对”原则，检查患者姓名、药品规格、数量以及用法用量等。尤其注意“十八反”“十九畏”的禁忌、毒性、超剂量用药等情况。</w:t>
      </w:r>
    </w:p>
    <w:p w14:paraId="64191AC8">
      <w:pPr>
        <w:spacing w:line="360" w:lineRule="auto"/>
        <w:ind w:firstLine="480" w:firstLineChars="200"/>
        <w:rPr>
          <w:rFonts w:ascii="宋体" w:hAnsi="宋体" w:eastAsia="宋体"/>
          <w:sz w:val="24"/>
          <w:szCs w:val="24"/>
        </w:rPr>
      </w:pPr>
      <w:r>
        <w:rPr>
          <w:rFonts w:ascii="宋体" w:hAnsi="宋体" w:eastAsia="宋体"/>
          <w:sz w:val="24"/>
          <w:szCs w:val="24"/>
        </w:rPr>
        <w:t>10.3中药配方颗粒出现质量问题应及时退、换货。若品名、规格、价格与购药计划不符，或中药配方颗粒质量、外包装不符合国家、上海市的规定标准则退货。</w:t>
      </w:r>
    </w:p>
    <w:p w14:paraId="32255F2C">
      <w:pPr>
        <w:spacing w:line="360" w:lineRule="auto"/>
        <w:ind w:firstLine="480" w:firstLineChars="200"/>
        <w:rPr>
          <w:rFonts w:ascii="宋体" w:hAnsi="宋体" w:eastAsia="宋体"/>
          <w:sz w:val="24"/>
          <w:szCs w:val="24"/>
        </w:rPr>
      </w:pPr>
      <w:r>
        <w:rPr>
          <w:rFonts w:ascii="宋体" w:hAnsi="宋体" w:eastAsia="宋体"/>
          <w:sz w:val="24"/>
          <w:szCs w:val="24"/>
        </w:rPr>
        <w:t xml:space="preserve">10.4中药配方颗粒的效期应符合医院药品入库验收标准，以保证药品质量。对于近效期颗粒（不足三个月等情况），投标人须无条件进行退货。 </w:t>
      </w:r>
    </w:p>
    <w:p w14:paraId="5EC0DFC4">
      <w:pPr>
        <w:spacing w:line="360" w:lineRule="auto"/>
        <w:ind w:firstLine="480" w:firstLineChars="200"/>
        <w:rPr>
          <w:rFonts w:ascii="宋体" w:hAnsi="宋体" w:eastAsia="宋体"/>
          <w:sz w:val="24"/>
          <w:szCs w:val="24"/>
        </w:rPr>
      </w:pPr>
      <w:r>
        <w:rPr>
          <w:rFonts w:ascii="宋体" w:hAnsi="宋体" w:eastAsia="宋体"/>
          <w:sz w:val="24"/>
          <w:szCs w:val="24"/>
        </w:rPr>
        <w:t>10.5投标人针对中药配方颗粒所使用的设备须符合行业标准、符合中医临床用药习惯，应当有效防止差错、污染及交叉污染，直接接触药品的包装材料等须符合药包材标准等，保证中药配方颗粒质量。</w:t>
      </w:r>
    </w:p>
    <w:p w14:paraId="1B15572C">
      <w:pPr>
        <w:spacing w:line="360" w:lineRule="auto"/>
        <w:ind w:firstLine="480" w:firstLineChars="200"/>
        <w:rPr>
          <w:rFonts w:ascii="宋体" w:hAnsi="宋体" w:eastAsia="宋体"/>
          <w:sz w:val="24"/>
          <w:szCs w:val="24"/>
        </w:rPr>
      </w:pPr>
      <w:r>
        <w:rPr>
          <w:rFonts w:ascii="宋体" w:hAnsi="宋体" w:eastAsia="宋体"/>
          <w:sz w:val="24"/>
          <w:szCs w:val="24"/>
        </w:rPr>
        <w:t>10.6投标人应在药品的有效期内保证药品的质量。如有遇上任何问题需要回收药品的，投标人有义务通知招标人，并按合格的质量标准重新供货并承担所需的所有费用。在有效期内投标人对任何缺陷的劣变药品应实施补偿措施，更换所有需要更换的药品并承担所需的所有费用。投标人须严格按照《药品召回管理办法》执行。</w:t>
      </w:r>
    </w:p>
    <w:p w14:paraId="568681FB">
      <w:pPr>
        <w:spacing w:line="360" w:lineRule="auto"/>
        <w:ind w:firstLine="480" w:firstLineChars="200"/>
        <w:rPr>
          <w:rFonts w:ascii="宋体" w:hAnsi="宋体" w:eastAsia="宋体"/>
          <w:sz w:val="24"/>
          <w:szCs w:val="24"/>
        </w:rPr>
      </w:pPr>
      <w:r>
        <w:rPr>
          <w:rFonts w:ascii="宋体" w:hAnsi="宋体" w:eastAsia="宋体"/>
          <w:sz w:val="24"/>
          <w:szCs w:val="24"/>
        </w:rPr>
        <w:t>11.调配</w:t>
      </w:r>
    </w:p>
    <w:p w14:paraId="01356D0E">
      <w:pPr>
        <w:spacing w:line="360" w:lineRule="auto"/>
        <w:ind w:firstLine="480" w:firstLineChars="200"/>
        <w:rPr>
          <w:rFonts w:ascii="宋体" w:hAnsi="宋体" w:eastAsia="宋体"/>
          <w:sz w:val="24"/>
          <w:szCs w:val="24"/>
        </w:rPr>
      </w:pPr>
      <w:r>
        <w:rPr>
          <w:rFonts w:ascii="宋体" w:hAnsi="宋体" w:eastAsia="宋体"/>
          <w:sz w:val="24"/>
          <w:szCs w:val="24"/>
        </w:rPr>
        <w:t>11.1投标人调配前检查调剂设备。</w:t>
      </w:r>
    </w:p>
    <w:p w14:paraId="79A550A7">
      <w:pPr>
        <w:spacing w:line="360" w:lineRule="auto"/>
        <w:ind w:firstLine="480" w:firstLineChars="200"/>
        <w:rPr>
          <w:rFonts w:ascii="宋体" w:hAnsi="宋体" w:eastAsia="宋体"/>
          <w:sz w:val="24"/>
          <w:szCs w:val="24"/>
        </w:rPr>
      </w:pPr>
      <w:r>
        <w:rPr>
          <w:rFonts w:ascii="宋体" w:hAnsi="宋体" w:eastAsia="宋体"/>
          <w:sz w:val="24"/>
          <w:szCs w:val="24"/>
        </w:rPr>
        <w:t>11.2投标人根据患者姓名选择处方下载，确认处方，然后开始调剂处方，处方调剂结束后封口、核对包数、检查封口是否严实无漏，然后装袋贴标签，再次复核患者姓名，盖章确认，交由窗口发药人员再次核对，发药。</w:t>
      </w:r>
    </w:p>
    <w:p w14:paraId="1CBDF706">
      <w:pPr>
        <w:spacing w:line="360" w:lineRule="auto"/>
        <w:ind w:firstLine="480" w:firstLineChars="200"/>
        <w:rPr>
          <w:rFonts w:ascii="宋体" w:hAnsi="宋体" w:eastAsia="宋体"/>
          <w:sz w:val="24"/>
          <w:szCs w:val="24"/>
        </w:rPr>
      </w:pPr>
      <w:r>
        <w:rPr>
          <w:rFonts w:ascii="宋体" w:hAnsi="宋体" w:eastAsia="宋体"/>
          <w:sz w:val="24"/>
          <w:szCs w:val="24"/>
        </w:rPr>
        <w:t>11.3直接接触中药配方颗粒包装的标签至少应当标注备案号、名称、中药饮片执行标准、中药配方颗粒执行标准、规格、生产日期、产品批号、保质期、贮藏、生产企业、生产地址、联系方式等内容。</w:t>
      </w:r>
    </w:p>
    <w:p w14:paraId="733A622B">
      <w:pPr>
        <w:spacing w:line="360" w:lineRule="auto"/>
        <w:ind w:firstLine="480" w:firstLineChars="200"/>
        <w:rPr>
          <w:rFonts w:ascii="宋体" w:hAnsi="宋体" w:eastAsia="宋体"/>
          <w:sz w:val="24"/>
          <w:szCs w:val="24"/>
        </w:rPr>
      </w:pPr>
      <w:r>
        <w:rPr>
          <w:rFonts w:ascii="宋体" w:hAnsi="宋体" w:eastAsia="宋体"/>
          <w:sz w:val="24"/>
          <w:szCs w:val="24"/>
        </w:rPr>
        <w:t>12、投标人提供调剂所需的一切耗材（包括但不限于药袋、打印标签等消耗品），所需费用均由投标人承担。</w:t>
      </w:r>
    </w:p>
    <w:p w14:paraId="21D502FC">
      <w:pPr>
        <w:spacing w:line="360" w:lineRule="auto"/>
        <w:ind w:firstLine="480" w:firstLineChars="200"/>
        <w:rPr>
          <w:rFonts w:ascii="宋体" w:hAnsi="宋体" w:eastAsia="宋体"/>
          <w:sz w:val="24"/>
          <w:szCs w:val="24"/>
        </w:rPr>
      </w:pPr>
      <w:r>
        <w:rPr>
          <w:rFonts w:ascii="宋体" w:hAnsi="宋体" w:eastAsia="宋体"/>
          <w:sz w:val="24"/>
          <w:szCs w:val="24"/>
        </w:rPr>
        <w:t>13、配送要求</w:t>
      </w:r>
    </w:p>
    <w:p w14:paraId="03E03EAA">
      <w:pPr>
        <w:spacing w:line="360" w:lineRule="auto"/>
        <w:ind w:firstLine="480" w:firstLineChars="200"/>
        <w:rPr>
          <w:rFonts w:ascii="宋体" w:hAnsi="宋体" w:eastAsia="宋体"/>
          <w:sz w:val="24"/>
          <w:szCs w:val="24"/>
        </w:rPr>
      </w:pPr>
      <w:r>
        <w:rPr>
          <w:rFonts w:ascii="宋体" w:hAnsi="宋体" w:eastAsia="宋体"/>
          <w:sz w:val="24"/>
          <w:szCs w:val="24"/>
        </w:rPr>
        <w:t>13.1、服务期内按招标人要求分批供货。每次根据招标人的通知（双方均要求做好记录）或书面订货单订购品种、数量后，由投标人免费运送货物到采购人指定地点。</w:t>
      </w:r>
    </w:p>
    <w:p w14:paraId="4CD0AD50">
      <w:pPr>
        <w:spacing w:line="360" w:lineRule="auto"/>
        <w:ind w:firstLine="480" w:firstLineChars="200"/>
        <w:rPr>
          <w:rFonts w:ascii="宋体" w:hAnsi="宋体" w:eastAsia="宋体"/>
          <w:sz w:val="24"/>
          <w:szCs w:val="24"/>
        </w:rPr>
      </w:pPr>
      <w:r>
        <w:rPr>
          <w:rFonts w:ascii="宋体" w:hAnsi="宋体" w:eastAsia="宋体"/>
          <w:sz w:val="24"/>
          <w:szCs w:val="24"/>
        </w:rPr>
        <w:t>13.2、能在医院要求的规定时间内送达，本地正常配送响应时间不超过48小时；特殊亟需产品的应急送货响应时间≤24小时；</w:t>
      </w:r>
    </w:p>
    <w:p w14:paraId="7483B8F1">
      <w:pPr>
        <w:spacing w:line="360" w:lineRule="auto"/>
        <w:ind w:firstLine="480" w:firstLineChars="200"/>
        <w:rPr>
          <w:rFonts w:ascii="宋体" w:hAnsi="宋体" w:eastAsia="宋体"/>
          <w:sz w:val="24"/>
          <w:szCs w:val="24"/>
        </w:rPr>
      </w:pPr>
      <w:r>
        <w:rPr>
          <w:rFonts w:ascii="宋体" w:hAnsi="宋体" w:eastAsia="宋体"/>
          <w:sz w:val="24"/>
          <w:szCs w:val="24"/>
        </w:rPr>
        <w:t xml:space="preserve">14、货物提交给招标人后，招标人在质量保质期内有权要求地方或国家药检部门对药品实施检验。由于药品质量问题要求回收药品时的费用及损失均由投标人承担。若对药品质量出现争议，则由法定机构出具有法律约束力鉴定的检验报告，鉴定费用由投标人承担。 </w:t>
      </w:r>
    </w:p>
    <w:p w14:paraId="7C5ADFB9">
      <w:pPr>
        <w:spacing w:line="360" w:lineRule="auto"/>
        <w:ind w:firstLine="480" w:firstLineChars="200"/>
        <w:rPr>
          <w:rFonts w:ascii="宋体" w:hAnsi="宋体" w:eastAsia="宋体"/>
          <w:sz w:val="24"/>
          <w:szCs w:val="24"/>
        </w:rPr>
      </w:pPr>
      <w:r>
        <w:rPr>
          <w:rFonts w:ascii="宋体" w:hAnsi="宋体" w:eastAsia="宋体"/>
          <w:sz w:val="24"/>
          <w:szCs w:val="24"/>
        </w:rPr>
        <w:t>15、安全保障</w:t>
      </w:r>
    </w:p>
    <w:p w14:paraId="4545A4E2">
      <w:pPr>
        <w:spacing w:line="360" w:lineRule="auto"/>
        <w:ind w:firstLine="480" w:firstLineChars="200"/>
        <w:rPr>
          <w:rFonts w:ascii="宋体" w:hAnsi="宋体" w:eastAsia="宋体"/>
          <w:sz w:val="24"/>
          <w:szCs w:val="24"/>
        </w:rPr>
      </w:pPr>
      <w:r>
        <w:rPr>
          <w:rFonts w:ascii="宋体" w:hAnsi="宋体" w:eastAsia="宋体"/>
          <w:sz w:val="24"/>
          <w:szCs w:val="24"/>
        </w:rPr>
        <w:t>15.1、应对突发公共卫生事件，投标人须具有应急状态下中药颗粒保障能力，提供明确对院药品储备目录，储备服务，物资送达时效和保供方案。</w:t>
      </w:r>
    </w:p>
    <w:p w14:paraId="1BD34281">
      <w:pPr>
        <w:spacing w:line="360" w:lineRule="auto"/>
        <w:ind w:firstLine="480" w:firstLineChars="200"/>
        <w:rPr>
          <w:rFonts w:ascii="宋体" w:hAnsi="宋体" w:eastAsia="宋体"/>
          <w:sz w:val="24"/>
          <w:szCs w:val="24"/>
        </w:rPr>
      </w:pPr>
      <w:r>
        <w:rPr>
          <w:rFonts w:ascii="宋体" w:hAnsi="宋体" w:eastAsia="宋体"/>
          <w:sz w:val="24"/>
          <w:szCs w:val="24"/>
        </w:rPr>
        <w:t>15.2、中药配方颗粒配送服务应急方案：发生中药配方颗粒安全事件的应急预案，发生质量问题的应急措施。</w:t>
      </w:r>
    </w:p>
    <w:p w14:paraId="12AAFE85">
      <w:pPr>
        <w:spacing w:line="360" w:lineRule="auto"/>
        <w:ind w:firstLine="480" w:firstLineChars="200"/>
        <w:rPr>
          <w:rFonts w:ascii="宋体" w:hAnsi="宋体" w:eastAsia="宋体"/>
          <w:sz w:val="24"/>
          <w:szCs w:val="24"/>
        </w:rPr>
      </w:pPr>
      <w:r>
        <w:rPr>
          <w:rFonts w:ascii="宋体" w:hAnsi="宋体" w:eastAsia="宋体"/>
          <w:sz w:val="24"/>
          <w:szCs w:val="24"/>
        </w:rPr>
        <w:t>15.3、投标人对于产品质量或者物流供应所导致的药品不良事件承担赔偿责任。</w:t>
      </w:r>
    </w:p>
    <w:p w14:paraId="44F2FBDF">
      <w:pPr>
        <w:spacing w:line="360" w:lineRule="auto"/>
        <w:ind w:firstLine="480" w:firstLineChars="200"/>
        <w:rPr>
          <w:rFonts w:ascii="宋体" w:hAnsi="宋体" w:eastAsia="宋体"/>
          <w:sz w:val="24"/>
          <w:szCs w:val="24"/>
        </w:rPr>
      </w:pPr>
      <w:r>
        <w:rPr>
          <w:rFonts w:ascii="宋体" w:hAnsi="宋体" w:eastAsia="宋体"/>
          <w:sz w:val="24"/>
          <w:szCs w:val="24"/>
        </w:rPr>
        <w:t>16、投标人须明确所投地标配方颗粒品种数，并提供对应的国家药品监督管理局备案信息截图证明。</w:t>
      </w:r>
    </w:p>
    <w:p w14:paraId="59E466CF">
      <w:pPr>
        <w:spacing w:line="360" w:lineRule="auto"/>
        <w:ind w:firstLine="480"/>
        <w:rPr>
          <w:rFonts w:ascii="宋体" w:hAnsi="宋体" w:eastAsia="宋体"/>
          <w:sz w:val="24"/>
          <w:szCs w:val="24"/>
        </w:rPr>
      </w:pPr>
      <w:r>
        <w:rPr>
          <w:rFonts w:ascii="宋体" w:hAnsi="宋体" w:eastAsia="宋体"/>
          <w:sz w:val="24"/>
          <w:szCs w:val="24"/>
        </w:rPr>
        <w:t>17</w:t>
      </w:r>
      <w:r>
        <w:rPr>
          <w:rFonts w:hint="eastAsia" w:ascii="宋体" w:hAnsi="宋体" w:eastAsia="宋体"/>
          <w:sz w:val="24"/>
          <w:szCs w:val="24"/>
        </w:rPr>
        <w:t>、投标人须</w:t>
      </w:r>
      <w:r>
        <w:rPr>
          <w:rFonts w:ascii="宋体" w:hAnsi="宋体" w:eastAsia="宋体"/>
          <w:sz w:val="24"/>
          <w:szCs w:val="24"/>
        </w:rPr>
        <w:t>提供国内快递免费服务</w:t>
      </w:r>
      <w:r>
        <w:rPr>
          <w:rFonts w:hint="eastAsia" w:ascii="宋体" w:hAnsi="宋体" w:eastAsia="宋体"/>
          <w:sz w:val="24"/>
          <w:szCs w:val="24"/>
        </w:rPr>
        <w:t>。</w:t>
      </w:r>
    </w:p>
    <w:p w14:paraId="2E97D7C0">
      <w:pPr>
        <w:spacing w:line="360" w:lineRule="auto"/>
        <w:ind w:firstLine="480" w:firstLineChars="200"/>
        <w:rPr>
          <w:rFonts w:ascii="宋体" w:hAnsi="宋体" w:eastAsia="宋体"/>
          <w:color w:val="000000"/>
          <w:sz w:val="24"/>
        </w:rPr>
      </w:pPr>
      <w:r>
        <w:rPr>
          <w:rFonts w:ascii="宋体" w:hAnsi="宋体" w:eastAsia="宋体"/>
          <w:color w:val="000000"/>
          <w:sz w:val="24"/>
        </w:rPr>
        <w:t>18</w:t>
      </w:r>
      <w:r>
        <w:rPr>
          <w:rFonts w:hint="eastAsia" w:ascii="宋体" w:hAnsi="宋体" w:eastAsia="宋体"/>
          <w:color w:val="000000"/>
          <w:sz w:val="24"/>
        </w:rPr>
        <w:t>、信息化要求：</w:t>
      </w:r>
    </w:p>
    <w:p w14:paraId="123CA457">
      <w:pPr>
        <w:spacing w:line="360" w:lineRule="auto"/>
        <w:ind w:firstLine="480" w:firstLineChars="200"/>
        <w:rPr>
          <w:rFonts w:ascii="宋体" w:hAnsi="宋体" w:eastAsia="宋体"/>
          <w:color w:val="000000"/>
          <w:sz w:val="24"/>
        </w:rPr>
      </w:pPr>
      <w:r>
        <w:rPr>
          <w:rFonts w:ascii="宋体" w:hAnsi="宋体" w:eastAsia="宋体"/>
          <w:color w:val="000000"/>
          <w:sz w:val="24"/>
        </w:rPr>
        <w:t>18.1</w:t>
      </w:r>
      <w:r>
        <w:rPr>
          <w:rFonts w:hint="eastAsia" w:ascii="宋体" w:hAnsi="宋体" w:eastAsia="宋体"/>
          <w:color w:val="000000"/>
          <w:sz w:val="24"/>
        </w:rPr>
        <w:t>医院对管理软件整体实施更新或升级时，如涉及软件更新或升级，服务供应商应做到与医院软件整体保持同步。</w:t>
      </w:r>
    </w:p>
    <w:p w14:paraId="3B794AF0">
      <w:pPr>
        <w:spacing w:line="360" w:lineRule="auto"/>
        <w:ind w:firstLine="480" w:firstLineChars="200"/>
        <w:rPr>
          <w:rFonts w:ascii="宋体" w:hAnsi="宋体" w:eastAsia="宋体"/>
          <w:color w:val="000000"/>
          <w:sz w:val="24"/>
        </w:rPr>
      </w:pPr>
      <w:r>
        <w:rPr>
          <w:rFonts w:ascii="宋体" w:hAnsi="宋体" w:eastAsia="宋体"/>
          <w:color w:val="000000"/>
          <w:sz w:val="24"/>
        </w:rPr>
        <w:t>18.2</w:t>
      </w:r>
      <w:r>
        <w:rPr>
          <w:rFonts w:hint="eastAsia" w:ascii="宋体" w:hAnsi="宋体" w:eastAsia="宋体"/>
          <w:color w:val="000000"/>
          <w:sz w:val="24"/>
        </w:rPr>
        <w:t>提供免费信息功能，通过无线手持设备和煎药管理平台系统，对配方煎药全过程实施信息化管理，并可追溯配方、煎药、包装、送药全过程。</w:t>
      </w:r>
    </w:p>
    <w:p w14:paraId="373CAEE8">
      <w:pPr>
        <w:spacing w:line="360" w:lineRule="auto"/>
        <w:ind w:firstLine="480" w:firstLineChars="200"/>
        <w:rPr>
          <w:rFonts w:ascii="宋体" w:hAnsi="宋体" w:eastAsia="宋体"/>
          <w:color w:val="000000"/>
          <w:sz w:val="24"/>
        </w:rPr>
      </w:pPr>
      <w:r>
        <w:rPr>
          <w:rFonts w:ascii="宋体" w:hAnsi="宋体" w:eastAsia="宋体"/>
          <w:color w:val="000000"/>
          <w:sz w:val="24"/>
        </w:rPr>
        <w:t>18.3</w:t>
      </w:r>
      <w:r>
        <w:rPr>
          <w:rFonts w:hint="eastAsia" w:ascii="宋体" w:hAnsi="宋体" w:eastAsia="宋体"/>
          <w:color w:val="000000"/>
          <w:sz w:val="24"/>
        </w:rPr>
        <w:t>若需医院新增信息接口，用于与服务供应商进行中药饮片代煎代配订单数据传输，医院新增接口产生的所有费用由服务供应商承担。</w:t>
      </w:r>
    </w:p>
    <w:p w14:paraId="2E0ECC54">
      <w:pPr>
        <w:spacing w:line="360" w:lineRule="auto"/>
        <w:ind w:firstLine="480" w:firstLineChars="200"/>
        <w:rPr>
          <w:rFonts w:ascii="宋体" w:hAnsi="宋体" w:eastAsia="宋体"/>
          <w:color w:val="000000"/>
          <w:sz w:val="24"/>
        </w:rPr>
      </w:pPr>
      <w:r>
        <w:rPr>
          <w:rFonts w:ascii="宋体" w:hAnsi="宋体" w:eastAsia="宋体"/>
          <w:color w:val="000000"/>
          <w:sz w:val="24"/>
        </w:rPr>
        <w:t>18.4</w:t>
      </w:r>
      <w:r>
        <w:rPr>
          <w:rFonts w:hint="eastAsia" w:ascii="宋体" w:hAnsi="宋体" w:eastAsia="宋体"/>
          <w:color w:val="000000"/>
          <w:sz w:val="24"/>
        </w:rPr>
        <w:t>投标人须与招标人签订保密协议，加强信息安全管理，保护患者隐私。</w:t>
      </w:r>
    </w:p>
    <w:p w14:paraId="30DC6C4B">
      <w:pPr>
        <w:spacing w:line="360" w:lineRule="auto"/>
        <w:ind w:firstLine="480"/>
        <w:rPr>
          <w:rFonts w:hint="eastAsia" w:ascii="宋体" w:hAnsi="宋体" w:eastAsia="宋体"/>
          <w:sz w:val="24"/>
          <w:szCs w:val="24"/>
        </w:rPr>
      </w:pPr>
    </w:p>
    <w:p w14:paraId="4DB129BD">
      <w:pPr>
        <w:spacing w:line="360" w:lineRule="auto"/>
        <w:rPr>
          <w:rFonts w:ascii="宋体" w:hAnsi="宋体" w:eastAsia="宋体"/>
          <w:b/>
          <w:sz w:val="24"/>
          <w:szCs w:val="24"/>
          <w:highlight w:val="none"/>
        </w:rPr>
      </w:pPr>
      <w:r>
        <w:rPr>
          <w:rFonts w:hint="eastAsia" w:ascii="宋体" w:hAnsi="宋体" w:eastAsia="宋体"/>
          <w:b/>
          <w:sz w:val="24"/>
          <w:szCs w:val="24"/>
          <w:highlight w:val="none"/>
        </w:rPr>
        <w:t>（五）商务要求</w:t>
      </w:r>
    </w:p>
    <w:p w14:paraId="5EFCA10D">
      <w:pPr>
        <w:spacing w:line="360" w:lineRule="auto"/>
        <w:rPr>
          <w:rFonts w:hint="eastAsia" w:ascii="宋体" w:hAnsi="宋体" w:eastAsia="宋体"/>
          <w:b/>
          <w:sz w:val="24"/>
          <w:szCs w:val="24"/>
          <w:lang w:eastAsia="zh-CN"/>
        </w:rPr>
      </w:pPr>
      <w:r>
        <w:rPr>
          <w:rFonts w:ascii="宋体" w:hAnsi="宋体" w:eastAsia="宋体"/>
          <w:b/>
          <w:sz w:val="24"/>
          <w:szCs w:val="24"/>
        </w:rPr>
        <w:t>包件</w:t>
      </w:r>
      <w:r>
        <w:rPr>
          <w:rFonts w:hint="eastAsia" w:ascii="宋体" w:hAnsi="宋体" w:eastAsia="宋体"/>
          <w:b/>
          <w:sz w:val="24"/>
          <w:szCs w:val="24"/>
        </w:rPr>
        <w:t>1：</w:t>
      </w:r>
      <w:r>
        <w:rPr>
          <w:rFonts w:hint="eastAsia" w:ascii="宋体" w:hAnsi="宋体" w:eastAsia="宋体"/>
          <w:b/>
          <w:sz w:val="24"/>
          <w:szCs w:val="24"/>
          <w:lang w:eastAsia="zh-CN"/>
        </w:rPr>
        <w:t>中药饮片代煎代配及膏方委托加工服务</w:t>
      </w:r>
    </w:p>
    <w:p w14:paraId="369BBE7D">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服务期限：</w:t>
      </w:r>
      <w:r>
        <w:rPr>
          <w:rFonts w:ascii="宋体" w:hAnsi="宋体" w:eastAsia="宋体"/>
          <w:sz w:val="24"/>
          <w:szCs w:val="24"/>
        </w:rPr>
        <w:t>2025.9.1-2028.8.31</w:t>
      </w:r>
      <w:r>
        <w:rPr>
          <w:rFonts w:hint="eastAsia" w:ascii="宋体" w:hAnsi="宋体" w:eastAsia="宋体"/>
          <w:sz w:val="24"/>
          <w:szCs w:val="24"/>
        </w:rPr>
        <w:t>；采购人有权在本次采购结束后三年内，根据供应商考核情况分年度签订合同。采购人将于年度服务期限届满前对投标人进行考核，考核通过方可取得续签资格。</w:t>
      </w:r>
    </w:p>
    <w:p w14:paraId="0FE78539">
      <w:pPr>
        <w:spacing w:line="360" w:lineRule="auto"/>
        <w:ind w:firstLine="480" w:firstLineChars="200"/>
        <w:rPr>
          <w:rFonts w:ascii="宋体" w:hAnsi="宋体" w:eastAsia="宋体"/>
          <w:sz w:val="24"/>
          <w:szCs w:val="24"/>
        </w:rPr>
      </w:pPr>
      <w:r>
        <w:rPr>
          <w:rFonts w:hint="eastAsia" w:ascii="宋体" w:hAnsi="宋体" w:eastAsia="宋体"/>
          <w:sz w:val="24"/>
          <w:szCs w:val="24"/>
        </w:rPr>
        <w:t>若考核不通过或发生中标人损害招标人权益的情况，招标人有权无条件终止合同或拒绝签订次年合同；或在服务过程中服务质量不能满足招标人要求，招标人有权立即与中标人无条件解除合同。合同执行中遇有执行重大变更、不可抗力及上级主管部门重大政策变化，双方按合同约定另行协商解决。</w:t>
      </w:r>
    </w:p>
    <w:p w14:paraId="2454A97D">
      <w:pPr>
        <w:spacing w:line="360" w:lineRule="auto"/>
        <w:ind w:firstLine="480" w:firstLineChars="200"/>
        <w:rPr>
          <w:rFonts w:ascii="宋体" w:hAnsi="宋体" w:eastAsia="宋体"/>
          <w:sz w:val="24"/>
          <w:szCs w:val="24"/>
        </w:rPr>
      </w:pPr>
      <w:r>
        <w:rPr>
          <w:rFonts w:ascii="宋体" w:hAnsi="宋体" w:eastAsia="宋体"/>
          <w:sz w:val="24"/>
          <w:szCs w:val="24"/>
        </w:rPr>
        <w:t>2.服务地点：</w:t>
      </w:r>
      <w:r>
        <w:rPr>
          <w:rFonts w:hint="eastAsia" w:ascii="宋体" w:hAnsi="宋体" w:eastAsia="宋体"/>
          <w:sz w:val="24"/>
          <w:szCs w:val="24"/>
        </w:rPr>
        <w:t>招标人指定地点</w:t>
      </w:r>
    </w:p>
    <w:p w14:paraId="2D26EA2D">
      <w:pPr>
        <w:adjustRightInd w:val="0"/>
        <w:spacing w:line="360" w:lineRule="auto"/>
        <w:ind w:firstLine="480" w:firstLineChars="200"/>
        <w:contextualSpacing/>
        <w:rPr>
          <w:rFonts w:ascii="宋体" w:hAnsi="宋体" w:eastAsia="宋体"/>
          <w:sz w:val="24"/>
          <w:szCs w:val="24"/>
        </w:rPr>
      </w:pPr>
      <w:r>
        <w:rPr>
          <w:rFonts w:ascii="宋体" w:hAnsi="宋体" w:eastAsia="宋体"/>
          <w:sz w:val="24"/>
          <w:szCs w:val="24"/>
        </w:rPr>
        <w:t>3.付款方式：</w:t>
      </w:r>
      <w:r>
        <w:rPr>
          <w:rFonts w:hint="eastAsia" w:ascii="宋体" w:hAnsi="宋体" w:eastAsia="宋体"/>
          <w:sz w:val="24"/>
          <w:szCs w:val="24"/>
        </w:rPr>
        <w:t>招标人按投标人指定的帐户信息确定以电汇、银行电子汇票、转账、支票（选择一项）方式向投标人支付货款（不接受其他付款方式）。</w:t>
      </w:r>
      <w:r>
        <w:rPr>
          <w:rFonts w:ascii="宋体" w:hAnsi="宋体" w:eastAsia="宋体"/>
          <w:sz w:val="24"/>
          <w:szCs w:val="24"/>
        </w:rPr>
        <w:t>代煎费按照上海市中药饮片行业协会标准2.5元/贴执行，中药饮片代煎代配快递服务免费。</w:t>
      </w:r>
      <w:r>
        <w:rPr>
          <w:rFonts w:hint="eastAsia" w:ascii="宋体" w:hAnsi="宋体" w:eastAsia="宋体"/>
          <w:sz w:val="24"/>
          <w:szCs w:val="24"/>
        </w:rPr>
        <w:t xml:space="preserve"> </w:t>
      </w:r>
    </w:p>
    <w:p w14:paraId="2F2C1436">
      <w:pPr>
        <w:adjustRightInd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.售后服务要求：投标人必须严格按照《委托代配代煎中药服务质量保证协议》的内容提供服务，否则招标人有权终止该服务。</w:t>
      </w:r>
    </w:p>
    <w:p w14:paraId="55E37382">
      <w:pPr>
        <w:spacing w:line="360" w:lineRule="auto"/>
        <w:ind w:firstLine="480" w:firstLineChars="200"/>
        <w:rPr>
          <w:rFonts w:ascii="宋体" w:hAnsi="宋体" w:eastAsia="宋体"/>
          <w:sz w:val="24"/>
          <w:szCs w:val="24"/>
        </w:rPr>
      </w:pPr>
      <w:r>
        <w:rPr>
          <w:rFonts w:ascii="宋体" w:hAnsi="宋体" w:eastAsia="宋体"/>
          <w:sz w:val="24"/>
          <w:szCs w:val="24"/>
        </w:rPr>
        <w:t>5.其他：</w:t>
      </w:r>
      <w:r>
        <w:rPr>
          <w:rFonts w:hint="eastAsia" w:ascii="宋体" w:hAnsi="宋体" w:eastAsia="宋体"/>
          <w:sz w:val="24"/>
          <w:szCs w:val="24"/>
        </w:rPr>
        <w:t>中药饮片生产企业履行药品上市许可持有人的相关义务，对中药饮片生产、销售实行全过程管理，建立中药饮片追溯体系，保证中药饮片安全、有效、可追溯。</w:t>
      </w:r>
    </w:p>
    <w:p w14:paraId="48F5AD5E">
      <w:pPr>
        <w:spacing w:line="360" w:lineRule="auto"/>
        <w:ind w:firstLine="480" w:firstLineChars="200"/>
        <w:rPr>
          <w:rFonts w:ascii="宋体" w:hAnsi="宋体" w:eastAsia="宋体"/>
          <w:sz w:val="24"/>
          <w:szCs w:val="24"/>
        </w:rPr>
      </w:pPr>
      <w:r>
        <w:rPr>
          <w:rFonts w:ascii="宋体" w:hAnsi="宋体" w:eastAsia="宋体"/>
          <w:sz w:val="24"/>
          <w:szCs w:val="24"/>
        </w:rPr>
        <w:t>6.验收要求</w:t>
      </w:r>
    </w:p>
    <w:p w14:paraId="1408D760">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1）投标人送至招标人的代煎中药由招标人负责验收，如发现破损、药汁太过清淡、颜色气味差异过大(处方完全相同)、帖数与处方上帖数不符等，投标人需采取相应措施补救。</w:t>
      </w:r>
    </w:p>
    <w:p w14:paraId="1AD64E9B">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2）投标人应提供给招标人合格的代煎中药，并保留完整的记录。招标人有权对投标人的代煎服务进行相关的评估检查，如评估为不合格，招标人有权要求投标人整改或作出终止委托的决定。</w:t>
      </w:r>
    </w:p>
    <w:p w14:paraId="667DEDF4">
      <w:pPr>
        <w:spacing w:line="360" w:lineRule="auto"/>
        <w:rPr>
          <w:rFonts w:ascii="宋体" w:hAnsi="宋体" w:eastAsia="宋体"/>
          <w:sz w:val="24"/>
          <w:szCs w:val="24"/>
        </w:rPr>
      </w:pPr>
    </w:p>
    <w:p w14:paraId="3A1E1CA1">
      <w:pPr>
        <w:spacing w:line="360" w:lineRule="auto"/>
        <w:rPr>
          <w:rFonts w:hint="eastAsia" w:ascii="宋体" w:hAnsi="宋体" w:eastAsia="宋体"/>
          <w:b/>
          <w:sz w:val="24"/>
          <w:szCs w:val="24"/>
          <w:lang w:eastAsia="zh-CN"/>
        </w:rPr>
      </w:pPr>
      <w:r>
        <w:rPr>
          <w:rFonts w:ascii="宋体" w:hAnsi="宋体" w:eastAsia="宋体"/>
          <w:b/>
          <w:sz w:val="24"/>
          <w:szCs w:val="24"/>
        </w:rPr>
        <w:t>包件</w:t>
      </w:r>
      <w:r>
        <w:rPr>
          <w:rFonts w:hint="eastAsia" w:ascii="宋体" w:hAnsi="宋体" w:eastAsia="宋体"/>
          <w:b/>
          <w:sz w:val="24"/>
          <w:szCs w:val="24"/>
        </w:rPr>
        <w:t>2：</w:t>
      </w:r>
      <w:r>
        <w:rPr>
          <w:rFonts w:hint="eastAsia" w:ascii="宋体" w:hAnsi="宋体" w:eastAsia="宋体"/>
          <w:b/>
          <w:sz w:val="24"/>
          <w:szCs w:val="24"/>
          <w:lang w:eastAsia="zh-CN"/>
        </w:rPr>
        <w:t>中药配方颗粒委托加工服务</w:t>
      </w:r>
    </w:p>
    <w:p w14:paraId="35EE4D8E">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服务期限：</w:t>
      </w:r>
      <w:r>
        <w:rPr>
          <w:rFonts w:ascii="宋体" w:hAnsi="宋体" w:eastAsia="宋体"/>
          <w:sz w:val="24"/>
          <w:szCs w:val="24"/>
        </w:rPr>
        <w:t>2025.9.1-2028.8.31</w:t>
      </w:r>
      <w:r>
        <w:rPr>
          <w:rFonts w:hint="eastAsia" w:ascii="宋体" w:hAnsi="宋体" w:eastAsia="宋体"/>
          <w:sz w:val="24"/>
          <w:szCs w:val="24"/>
        </w:rPr>
        <w:t>；采购人有权在本次采购结束后三年内，根据供应商考核情况分年度签订合同。采购人将于年度服务期限届满前对投标人进行考核，考核通过方可取得续签资格。</w:t>
      </w:r>
    </w:p>
    <w:p w14:paraId="43DFF3B0">
      <w:pPr>
        <w:spacing w:line="360" w:lineRule="auto"/>
        <w:ind w:firstLine="480" w:firstLineChars="200"/>
        <w:rPr>
          <w:rFonts w:ascii="宋体" w:hAnsi="宋体" w:eastAsia="宋体"/>
          <w:sz w:val="24"/>
          <w:szCs w:val="24"/>
        </w:rPr>
      </w:pPr>
      <w:r>
        <w:rPr>
          <w:rFonts w:hint="eastAsia" w:ascii="宋体" w:hAnsi="宋体" w:eastAsia="宋体"/>
          <w:sz w:val="24"/>
          <w:szCs w:val="24"/>
        </w:rPr>
        <w:t>若考核不通过或发生中标人损害招标人权益的情况，招标人有权无条件终止合同或拒绝签订次年合同；或在服务过程中服务质量不能满足招标人要求，招标人有权立即与中标人无条件解除合同。合同执行中遇有执行重大变更、不可抗力及上级主管部门重大政策变化，双方按合同约定另行协商解决。</w:t>
      </w:r>
    </w:p>
    <w:p w14:paraId="01948F8B">
      <w:pPr>
        <w:spacing w:line="360" w:lineRule="auto"/>
        <w:ind w:firstLine="480" w:firstLineChars="200"/>
        <w:rPr>
          <w:rFonts w:ascii="宋体" w:hAnsi="宋体" w:eastAsia="宋体"/>
          <w:sz w:val="24"/>
          <w:szCs w:val="24"/>
        </w:rPr>
      </w:pPr>
      <w:r>
        <w:rPr>
          <w:rFonts w:ascii="宋体" w:hAnsi="宋体" w:eastAsia="宋体"/>
          <w:sz w:val="24"/>
          <w:szCs w:val="24"/>
        </w:rPr>
        <w:t>2.服务地点：</w:t>
      </w:r>
      <w:r>
        <w:rPr>
          <w:rFonts w:hint="eastAsia" w:ascii="宋体" w:hAnsi="宋体" w:eastAsia="宋体"/>
          <w:sz w:val="24"/>
          <w:szCs w:val="24"/>
        </w:rPr>
        <w:t>招标人指定地点</w:t>
      </w:r>
    </w:p>
    <w:p w14:paraId="0B3B0DE7">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rPr>
        <w:t xml:space="preserve"> </w:t>
      </w:r>
      <w:r>
        <w:rPr>
          <w:rFonts w:hint="eastAsia" w:ascii="宋体" w:hAnsi="宋体" w:eastAsia="宋体"/>
          <w:sz w:val="24"/>
          <w:szCs w:val="24"/>
        </w:rPr>
        <w:t>报价与结算</w:t>
      </w:r>
    </w:p>
    <w:p w14:paraId="42C97535">
      <w:pPr>
        <w:spacing w:line="360" w:lineRule="auto"/>
        <w:ind w:firstLine="480" w:firstLineChars="200"/>
        <w:rPr>
          <w:rFonts w:ascii="宋体" w:hAnsi="宋体" w:eastAsia="宋体"/>
          <w:sz w:val="24"/>
          <w:szCs w:val="24"/>
        </w:rPr>
      </w:pPr>
      <w:r>
        <w:rPr>
          <w:rFonts w:ascii="宋体" w:hAnsi="宋体" w:eastAsia="宋体"/>
          <w:sz w:val="24"/>
          <w:szCs w:val="24"/>
        </w:rPr>
        <w:t>结算及付款方式：院方将根据医院每月的实际产品供应对账情况进行结算。</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方正细等线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2A69">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14:paraId="056EDA1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85D9">
    <w:pPr>
      <w:pStyle w:val="6"/>
      <w:framePr w:wrap="around" w:vAnchor="text" w:hAnchor="margin" w:xAlign="center" w:y="1"/>
      <w:rPr>
        <w:rStyle w:val="13"/>
      </w:rPr>
    </w:pPr>
    <w:r>
      <w:fldChar w:fldCharType="begin"/>
    </w:r>
    <w:r>
      <w:rPr>
        <w:rStyle w:val="13"/>
      </w:rPr>
      <w:instrText xml:space="preserve">PAGE  </w:instrText>
    </w:r>
    <w:r>
      <w:fldChar w:fldCharType="end"/>
    </w:r>
  </w:p>
  <w:p w14:paraId="0786E14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9315A"/>
    <w:multiLevelType w:val="multilevel"/>
    <w:tmpl w:val="0889315A"/>
    <w:lvl w:ilvl="0" w:tentative="0">
      <w:start w:val="1"/>
      <w:numFmt w:val="bullet"/>
      <w:pStyle w:val="74"/>
      <w:lvlText w:val=""/>
      <w:lvlJc w:val="left"/>
      <w:pPr>
        <w:tabs>
          <w:tab w:val="left" w:pos="1475"/>
        </w:tabs>
        <w:ind w:left="1475" w:hanging="420"/>
      </w:pPr>
      <w:rPr>
        <w:rFonts w:hint="default" w:ascii="Wingdings" w:hAnsi="Wingdings"/>
      </w:rPr>
    </w:lvl>
    <w:lvl w:ilvl="1" w:tentative="0">
      <w:start w:val="1"/>
      <w:numFmt w:val="bullet"/>
      <w:pStyle w:val="75"/>
      <w:lvlText w:val=""/>
      <w:lvlJc w:val="left"/>
      <w:pPr>
        <w:tabs>
          <w:tab w:val="left" w:pos="1895"/>
        </w:tabs>
        <w:ind w:left="1895" w:hanging="420"/>
      </w:pPr>
      <w:rPr>
        <w:rFonts w:hint="default" w:ascii="Wingdings" w:hAnsi="Wingdings"/>
      </w:rPr>
    </w:lvl>
    <w:lvl w:ilvl="2" w:tentative="0">
      <w:start w:val="1"/>
      <w:numFmt w:val="bullet"/>
      <w:lvlText w:val=""/>
      <w:lvlJc w:val="left"/>
      <w:pPr>
        <w:tabs>
          <w:tab w:val="left" w:pos="2315"/>
        </w:tabs>
        <w:ind w:left="2315" w:hanging="420"/>
      </w:pPr>
      <w:rPr>
        <w:rFonts w:hint="default" w:ascii="Wingdings" w:hAnsi="Wingdings"/>
      </w:rPr>
    </w:lvl>
    <w:lvl w:ilvl="3" w:tentative="0">
      <w:start w:val="1"/>
      <w:numFmt w:val="bullet"/>
      <w:lvlText w:val=""/>
      <w:lvlJc w:val="left"/>
      <w:pPr>
        <w:tabs>
          <w:tab w:val="left" w:pos="2735"/>
        </w:tabs>
        <w:ind w:left="2735" w:hanging="420"/>
      </w:pPr>
      <w:rPr>
        <w:rFonts w:hint="default" w:ascii="Wingdings" w:hAnsi="Wingdings"/>
      </w:rPr>
    </w:lvl>
    <w:lvl w:ilvl="4" w:tentative="0">
      <w:start w:val="1"/>
      <w:numFmt w:val="bullet"/>
      <w:lvlText w:val=""/>
      <w:lvlJc w:val="left"/>
      <w:pPr>
        <w:tabs>
          <w:tab w:val="left" w:pos="3155"/>
        </w:tabs>
        <w:ind w:left="3155" w:hanging="420"/>
      </w:pPr>
      <w:rPr>
        <w:rFonts w:hint="default" w:ascii="Wingdings" w:hAnsi="Wingdings"/>
      </w:rPr>
    </w:lvl>
    <w:lvl w:ilvl="5" w:tentative="0">
      <w:start w:val="1"/>
      <w:numFmt w:val="bullet"/>
      <w:lvlText w:val=""/>
      <w:lvlJc w:val="left"/>
      <w:pPr>
        <w:tabs>
          <w:tab w:val="left" w:pos="3575"/>
        </w:tabs>
        <w:ind w:left="3575" w:hanging="420"/>
      </w:pPr>
      <w:rPr>
        <w:rFonts w:hint="default" w:ascii="Wingdings" w:hAnsi="Wingdings"/>
      </w:rPr>
    </w:lvl>
    <w:lvl w:ilvl="6" w:tentative="0">
      <w:start w:val="1"/>
      <w:numFmt w:val="bullet"/>
      <w:lvlText w:val=""/>
      <w:lvlJc w:val="left"/>
      <w:pPr>
        <w:tabs>
          <w:tab w:val="left" w:pos="3995"/>
        </w:tabs>
        <w:ind w:left="3995" w:hanging="420"/>
      </w:pPr>
      <w:rPr>
        <w:rFonts w:hint="default" w:ascii="Wingdings" w:hAnsi="Wingdings"/>
      </w:rPr>
    </w:lvl>
    <w:lvl w:ilvl="7" w:tentative="0">
      <w:start w:val="1"/>
      <w:numFmt w:val="bullet"/>
      <w:lvlText w:val=""/>
      <w:lvlJc w:val="left"/>
      <w:pPr>
        <w:tabs>
          <w:tab w:val="left" w:pos="4415"/>
        </w:tabs>
        <w:ind w:left="4415" w:hanging="420"/>
      </w:pPr>
      <w:rPr>
        <w:rFonts w:hint="default" w:ascii="Wingdings" w:hAnsi="Wingdings"/>
      </w:rPr>
    </w:lvl>
    <w:lvl w:ilvl="8" w:tentative="0">
      <w:start w:val="1"/>
      <w:numFmt w:val="bullet"/>
      <w:lvlText w:val=""/>
      <w:lvlJc w:val="left"/>
      <w:pPr>
        <w:tabs>
          <w:tab w:val="left" w:pos="4835"/>
        </w:tabs>
        <w:ind w:left="4835" w:hanging="420"/>
      </w:pPr>
      <w:rPr>
        <w:rFonts w:hint="default" w:ascii="Wingdings" w:hAnsi="Wingdings"/>
      </w:rPr>
    </w:lvl>
  </w:abstractNum>
  <w:abstractNum w:abstractNumId="1">
    <w:nsid w:val="416D274C"/>
    <w:multiLevelType w:val="multilevel"/>
    <w:tmpl w:val="416D274C"/>
    <w:lvl w:ilvl="0" w:tentative="0">
      <w:start w:val="1"/>
      <w:numFmt w:val="decimal"/>
      <w:pStyle w:val="68"/>
      <w:lvlText w:val="%1."/>
      <w:lvlJc w:val="left"/>
      <w:pPr>
        <w:tabs>
          <w:tab w:val="left" w:pos="1055"/>
        </w:tabs>
        <w:ind w:left="0" w:firstLine="0"/>
      </w:pPr>
      <w:rPr>
        <w:rFonts w:hint="eastAsia"/>
      </w:rPr>
    </w:lvl>
    <w:lvl w:ilvl="1" w:tentative="0">
      <w:start w:val="1"/>
      <w:numFmt w:val="decimal"/>
      <w:pStyle w:val="67"/>
      <w:lvlText w:val="%1.%2."/>
      <w:lvlJc w:val="left"/>
      <w:pPr>
        <w:tabs>
          <w:tab w:val="left" w:pos="1055"/>
        </w:tabs>
        <w:ind w:left="0" w:firstLine="0"/>
      </w:pPr>
      <w:rPr>
        <w:rFonts w:hint="eastAsia"/>
      </w:rPr>
    </w:lvl>
    <w:lvl w:ilvl="2" w:tentative="0">
      <w:start w:val="1"/>
      <w:numFmt w:val="decimal"/>
      <w:pStyle w:val="70"/>
      <w:lvlText w:val="%1.%2.%3."/>
      <w:lvlJc w:val="left"/>
      <w:pPr>
        <w:tabs>
          <w:tab w:val="left" w:pos="1055"/>
        </w:tabs>
        <w:ind w:left="0" w:firstLine="0"/>
      </w:pPr>
      <w:rPr>
        <w:rFonts w:hint="eastAsia"/>
      </w:rPr>
    </w:lvl>
    <w:lvl w:ilvl="3" w:tentative="0">
      <w:start w:val="1"/>
      <w:numFmt w:val="decimal"/>
      <w:pStyle w:val="71"/>
      <w:lvlText w:val="%1.%2.%3.%4."/>
      <w:lvlJc w:val="left"/>
      <w:pPr>
        <w:tabs>
          <w:tab w:val="left" w:pos="1055"/>
        </w:tabs>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00005DFD"/>
    <w:rsid w:val="0001319F"/>
    <w:rsid w:val="00022D4D"/>
    <w:rsid w:val="0004725F"/>
    <w:rsid w:val="00096A1E"/>
    <w:rsid w:val="000C3C61"/>
    <w:rsid w:val="00104A7A"/>
    <w:rsid w:val="00127581"/>
    <w:rsid w:val="001279AB"/>
    <w:rsid w:val="001521C2"/>
    <w:rsid w:val="001617D8"/>
    <w:rsid w:val="001625B5"/>
    <w:rsid w:val="00172139"/>
    <w:rsid w:val="00190C52"/>
    <w:rsid w:val="001D0666"/>
    <w:rsid w:val="001D6EB8"/>
    <w:rsid w:val="00201968"/>
    <w:rsid w:val="00221DCF"/>
    <w:rsid w:val="002505D9"/>
    <w:rsid w:val="00260A94"/>
    <w:rsid w:val="0027433D"/>
    <w:rsid w:val="002A442D"/>
    <w:rsid w:val="002A5ACD"/>
    <w:rsid w:val="00325245"/>
    <w:rsid w:val="00341247"/>
    <w:rsid w:val="003416BA"/>
    <w:rsid w:val="00344098"/>
    <w:rsid w:val="00361CB8"/>
    <w:rsid w:val="00393F69"/>
    <w:rsid w:val="003A24CC"/>
    <w:rsid w:val="003A36D3"/>
    <w:rsid w:val="003C1561"/>
    <w:rsid w:val="003C6098"/>
    <w:rsid w:val="003E38DB"/>
    <w:rsid w:val="00405BCE"/>
    <w:rsid w:val="00411387"/>
    <w:rsid w:val="004B1A80"/>
    <w:rsid w:val="004C1AA2"/>
    <w:rsid w:val="004C63EF"/>
    <w:rsid w:val="004E0B57"/>
    <w:rsid w:val="00502471"/>
    <w:rsid w:val="0050375A"/>
    <w:rsid w:val="00532F6C"/>
    <w:rsid w:val="00546A6C"/>
    <w:rsid w:val="00583DBC"/>
    <w:rsid w:val="00617A23"/>
    <w:rsid w:val="00630F0D"/>
    <w:rsid w:val="00634342"/>
    <w:rsid w:val="006545ED"/>
    <w:rsid w:val="006B1049"/>
    <w:rsid w:val="006D0E0B"/>
    <w:rsid w:val="006F7970"/>
    <w:rsid w:val="007635A9"/>
    <w:rsid w:val="0078595A"/>
    <w:rsid w:val="007B4618"/>
    <w:rsid w:val="007D25F9"/>
    <w:rsid w:val="007D78EA"/>
    <w:rsid w:val="008036D0"/>
    <w:rsid w:val="008227B3"/>
    <w:rsid w:val="00841E27"/>
    <w:rsid w:val="008448D7"/>
    <w:rsid w:val="008501F4"/>
    <w:rsid w:val="008A7D1C"/>
    <w:rsid w:val="008E654A"/>
    <w:rsid w:val="008F12C4"/>
    <w:rsid w:val="0092084B"/>
    <w:rsid w:val="00922BF4"/>
    <w:rsid w:val="00942B1F"/>
    <w:rsid w:val="00A20BD1"/>
    <w:rsid w:val="00A33C0C"/>
    <w:rsid w:val="00A367B2"/>
    <w:rsid w:val="00AA7FE4"/>
    <w:rsid w:val="00AB1D70"/>
    <w:rsid w:val="00AB7610"/>
    <w:rsid w:val="00AF1F52"/>
    <w:rsid w:val="00B215F7"/>
    <w:rsid w:val="00B70C7A"/>
    <w:rsid w:val="00B819B8"/>
    <w:rsid w:val="00BA3C8F"/>
    <w:rsid w:val="00BA7DEA"/>
    <w:rsid w:val="00BB15D8"/>
    <w:rsid w:val="00BB7FB2"/>
    <w:rsid w:val="00BC196A"/>
    <w:rsid w:val="00BE752D"/>
    <w:rsid w:val="00C0380E"/>
    <w:rsid w:val="00C1762F"/>
    <w:rsid w:val="00C429A5"/>
    <w:rsid w:val="00C43973"/>
    <w:rsid w:val="00C564C3"/>
    <w:rsid w:val="00C6744F"/>
    <w:rsid w:val="00CC633B"/>
    <w:rsid w:val="00CD08F0"/>
    <w:rsid w:val="00CE3228"/>
    <w:rsid w:val="00CF6ED7"/>
    <w:rsid w:val="00D00F33"/>
    <w:rsid w:val="00D02423"/>
    <w:rsid w:val="00D5044E"/>
    <w:rsid w:val="00D5300F"/>
    <w:rsid w:val="00D6484A"/>
    <w:rsid w:val="00D83BCF"/>
    <w:rsid w:val="00D871FC"/>
    <w:rsid w:val="00DD2DBF"/>
    <w:rsid w:val="00DD3F3D"/>
    <w:rsid w:val="00DE3E4E"/>
    <w:rsid w:val="00E07D20"/>
    <w:rsid w:val="00E23EA9"/>
    <w:rsid w:val="00E53D4C"/>
    <w:rsid w:val="00E5504F"/>
    <w:rsid w:val="00E82AE9"/>
    <w:rsid w:val="00ED7CA5"/>
    <w:rsid w:val="00EE3B88"/>
    <w:rsid w:val="00EE6C2D"/>
    <w:rsid w:val="00EF49F7"/>
    <w:rsid w:val="00F134E6"/>
    <w:rsid w:val="00FA0A96"/>
    <w:rsid w:val="00FC2553"/>
    <w:rsid w:val="00FF39D3"/>
    <w:rsid w:val="00FF6C72"/>
    <w:rsid w:val="067B5774"/>
    <w:rsid w:val="06B61737"/>
    <w:rsid w:val="074B3407"/>
    <w:rsid w:val="09536A27"/>
    <w:rsid w:val="09B31394"/>
    <w:rsid w:val="16921FDB"/>
    <w:rsid w:val="27696233"/>
    <w:rsid w:val="2CE43446"/>
    <w:rsid w:val="2DCE1761"/>
    <w:rsid w:val="3C53008C"/>
    <w:rsid w:val="48F0733B"/>
    <w:rsid w:val="606C1CC1"/>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Plain Text"/>
    <w:basedOn w:val="1"/>
    <w:link w:val="23"/>
    <w:qFormat/>
    <w:uiPriority w:val="0"/>
    <w:pPr>
      <w:widowControl/>
    </w:pPr>
    <w:rPr>
      <w:rFonts w:ascii="宋体" w:hAnsi="Courier New" w:eastAsia="宋体" w:cs="Times New Roman"/>
      <w:szCs w:val="20"/>
      <w:lang w:eastAsia="en-US"/>
    </w:rPr>
  </w:style>
  <w:style w:type="paragraph" w:styleId="5">
    <w:name w:val="Balloon Text"/>
    <w:basedOn w:val="1"/>
    <w:link w:val="21"/>
    <w:semiHidden/>
    <w:unhideWhenUsed/>
    <w:qFormat/>
    <w:uiPriority w:val="99"/>
    <w:rPr>
      <w:sz w:val="18"/>
      <w:szCs w:val="18"/>
    </w:rPr>
  </w:style>
  <w:style w:type="paragraph" w:styleId="6">
    <w:name w:val="footer"/>
    <w:basedOn w:val="1"/>
    <w:link w:val="27"/>
    <w:unhideWhenUsed/>
    <w:qFormat/>
    <w:uiPriority w:val="0"/>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66"/>
    <w:qFormat/>
    <w:uiPriority w:val="0"/>
    <w:pPr>
      <w:spacing w:line="300" w:lineRule="auto"/>
      <w:ind w:firstLine="480" w:firstLineChars="200"/>
      <w:jc w:val="left"/>
    </w:pPr>
    <w:rPr>
      <w:rFonts w:ascii="Times New Roman" w:hAnsi="Times New Roman" w:eastAsia="宋体" w:cs="Times New Roman"/>
      <w:sz w:val="24"/>
      <w:szCs w:val="24"/>
    </w:rPr>
  </w:style>
  <w:style w:type="paragraph" w:styleId="9">
    <w:name w:val="annotation subject"/>
    <w:basedOn w:val="3"/>
    <w:next w:val="3"/>
    <w:link w:val="20"/>
    <w:semiHidden/>
    <w:unhideWhenUsed/>
    <w:qFormat/>
    <w:uiPriority w:val="99"/>
    <w:rPr>
      <w:b/>
      <w:bCs/>
    </w:rPr>
  </w:style>
  <w:style w:type="table" w:styleId="11">
    <w:name w:val="Table Grid"/>
    <w:basedOn w:val="10"/>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semiHidden/>
    <w:unhideWhenUsed/>
    <w:qFormat/>
    <w:uiPriority w:val="99"/>
    <w:rPr>
      <w:color w:val="954F72"/>
      <w:u w:val="single"/>
    </w:rPr>
  </w:style>
  <w:style w:type="character" w:styleId="15">
    <w:name w:val="Hyperlink"/>
    <w:basedOn w:val="12"/>
    <w:semiHidden/>
    <w:unhideWhenUsed/>
    <w:qFormat/>
    <w:uiPriority w:val="99"/>
    <w:rPr>
      <w:color w:val="0563C1"/>
      <w:u w:val="single"/>
    </w:rPr>
  </w:style>
  <w:style w:type="character" w:styleId="16">
    <w:name w:val="annotation reference"/>
    <w:basedOn w:val="12"/>
    <w:unhideWhenUsed/>
    <w:qFormat/>
    <w:uiPriority w:val="99"/>
    <w:rPr>
      <w:sz w:val="21"/>
      <w:szCs w:val="21"/>
    </w:rPr>
  </w:style>
  <w:style w:type="paragraph" w:styleId="17">
    <w:name w:val="List Paragraph"/>
    <w:basedOn w:val="1"/>
    <w:link w:val="18"/>
    <w:qFormat/>
    <w:uiPriority w:val="34"/>
    <w:pPr>
      <w:ind w:firstLine="420" w:firstLineChars="200"/>
    </w:pPr>
  </w:style>
  <w:style w:type="character" w:customStyle="1" w:styleId="18">
    <w:name w:val="列出段落 Char"/>
    <w:link w:val="17"/>
    <w:qFormat/>
    <w:uiPriority w:val="34"/>
  </w:style>
  <w:style w:type="character" w:customStyle="1" w:styleId="19">
    <w:name w:val="批注文字 Char"/>
    <w:basedOn w:val="12"/>
    <w:link w:val="3"/>
    <w:qFormat/>
    <w:uiPriority w:val="99"/>
  </w:style>
  <w:style w:type="character" w:customStyle="1" w:styleId="20">
    <w:name w:val="批注主题 Char"/>
    <w:basedOn w:val="19"/>
    <w:link w:val="9"/>
    <w:semiHidden/>
    <w:qFormat/>
    <w:uiPriority w:val="99"/>
    <w:rPr>
      <w:b/>
      <w:bCs/>
    </w:rPr>
  </w:style>
  <w:style w:type="character" w:customStyle="1" w:styleId="21">
    <w:name w:val="批注框文本 Char"/>
    <w:basedOn w:val="12"/>
    <w:link w:val="5"/>
    <w:semiHidden/>
    <w:qFormat/>
    <w:uiPriority w:val="99"/>
    <w:rPr>
      <w:sz w:val="18"/>
      <w:szCs w:val="18"/>
    </w:rPr>
  </w:style>
  <w:style w:type="character" w:customStyle="1" w:styleId="22">
    <w:name w:val="标题 1 Char"/>
    <w:basedOn w:val="12"/>
    <w:link w:val="2"/>
    <w:qFormat/>
    <w:uiPriority w:val="9"/>
    <w:rPr>
      <w:b/>
      <w:bCs/>
      <w:kern w:val="44"/>
      <w:sz w:val="44"/>
      <w:szCs w:val="44"/>
    </w:rPr>
  </w:style>
  <w:style w:type="character" w:customStyle="1" w:styleId="23">
    <w:name w:val="纯文本 Char"/>
    <w:basedOn w:val="12"/>
    <w:link w:val="4"/>
    <w:qFormat/>
    <w:uiPriority w:val="0"/>
    <w:rPr>
      <w:rFonts w:ascii="宋体" w:hAnsi="Courier New" w:eastAsia="宋体" w:cs="Times New Roman"/>
      <w:szCs w:val="20"/>
      <w:lang w:eastAsia="en-US"/>
    </w:rPr>
  </w:style>
  <w:style w:type="paragraph" w:styleId="2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页眉 Char"/>
    <w:basedOn w:val="12"/>
    <w:link w:val="7"/>
    <w:qFormat/>
    <w:uiPriority w:val="99"/>
    <w:rPr>
      <w:kern w:val="2"/>
      <w:sz w:val="18"/>
      <w:szCs w:val="18"/>
    </w:rPr>
  </w:style>
  <w:style w:type="character" w:customStyle="1" w:styleId="27">
    <w:name w:val="页脚 Char"/>
    <w:basedOn w:val="12"/>
    <w:link w:val="6"/>
    <w:qFormat/>
    <w:uiPriority w:val="99"/>
    <w:rPr>
      <w:kern w:val="2"/>
      <w:sz w:val="18"/>
      <w:szCs w:val="18"/>
    </w:rPr>
  </w:style>
  <w:style w:type="paragraph" w:customStyle="1" w:styleId="28">
    <w:name w:val="msolistparagraph"/>
    <w:basedOn w:val="1"/>
    <w:qFormat/>
    <w:uiPriority w:val="0"/>
    <w:pPr>
      <w:widowControl/>
      <w:ind w:firstLine="420" w:firstLineChars="200"/>
    </w:pPr>
    <w:rPr>
      <w:rFonts w:ascii="Calibri" w:hAnsi="Calibri" w:eastAsia="宋体" w:cs="Times New Roman"/>
    </w:rPr>
  </w:style>
  <w:style w:type="paragraph" w:customStyle="1" w:styleId="2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0">
    <w:name w:val="xl64"/>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b/>
      <w:bCs/>
      <w:color w:val="00B0F0"/>
      <w:kern w:val="0"/>
      <w:sz w:val="24"/>
      <w:szCs w:val="24"/>
    </w:rPr>
  </w:style>
  <w:style w:type="paragraph" w:customStyle="1" w:styleId="31">
    <w:name w:val="xl65"/>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32">
    <w:name w:val="xl66"/>
    <w:basedOn w:val="1"/>
    <w:qFormat/>
    <w:uiPriority w:val="0"/>
    <w:pPr>
      <w:widowControl/>
      <w:shd w:val="clear" w:color="000000" w:fill="FFFFFF"/>
      <w:spacing w:before="100" w:beforeAutospacing="1" w:after="100" w:afterAutospacing="1"/>
      <w:jc w:val="left"/>
      <w:textAlignment w:val="center"/>
    </w:pPr>
    <w:rPr>
      <w:rFonts w:ascii="等线 Light" w:hAnsi="等线 Light" w:eastAsia="等线 Light" w:cs="宋体"/>
      <w:b/>
      <w:bCs/>
      <w:color w:val="00B0F0"/>
      <w:kern w:val="0"/>
      <w:sz w:val="24"/>
      <w:szCs w:val="24"/>
    </w:rPr>
  </w:style>
  <w:style w:type="paragraph" w:customStyle="1" w:styleId="33">
    <w:name w:val="xl67"/>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34">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69"/>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6">
    <w:name w:val="xl70"/>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71"/>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5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5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5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6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2">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3">
    <w:name w:val="xl9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4">
    <w:name w:val="Char Char4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65">
    <w:name w:val="正文文本缩进 3 Char"/>
    <w:basedOn w:val="12"/>
    <w:semiHidden/>
    <w:qFormat/>
    <w:uiPriority w:val="99"/>
    <w:rPr>
      <w:kern w:val="2"/>
      <w:sz w:val="16"/>
      <w:szCs w:val="16"/>
    </w:rPr>
  </w:style>
  <w:style w:type="character" w:customStyle="1" w:styleId="66">
    <w:name w:val="正文文本缩进 3 Char1"/>
    <w:link w:val="8"/>
    <w:qFormat/>
    <w:uiPriority w:val="0"/>
    <w:rPr>
      <w:rFonts w:ascii="Times New Roman" w:hAnsi="Times New Roman" w:eastAsia="宋体" w:cs="Times New Roman"/>
      <w:kern w:val="2"/>
      <w:sz w:val="24"/>
      <w:szCs w:val="24"/>
    </w:rPr>
  </w:style>
  <w:style w:type="paragraph" w:customStyle="1" w:styleId="67">
    <w:name w:val="标书二级编号"/>
    <w:basedOn w:val="1"/>
    <w:link w:val="76"/>
    <w:qFormat/>
    <w:uiPriority w:val="0"/>
    <w:pPr>
      <w:numPr>
        <w:ilvl w:val="1"/>
        <w:numId w:val="1"/>
      </w:numPr>
      <w:spacing w:beforeLines="50" w:afterLines="50" w:line="480" w:lineRule="exact"/>
      <w:outlineLvl w:val="3"/>
    </w:pPr>
    <w:rPr>
      <w:rFonts w:ascii="Times New Roman" w:hAnsi="Helvetica" w:eastAsia="方正细等线_GBK" w:cs="Times New Roman"/>
      <w:b/>
      <w:sz w:val="24"/>
      <w:szCs w:val="24"/>
    </w:rPr>
  </w:style>
  <w:style w:type="paragraph" w:customStyle="1" w:styleId="68">
    <w:name w:val="标书一级编号"/>
    <w:basedOn w:val="1"/>
    <w:link w:val="69"/>
    <w:qFormat/>
    <w:uiPriority w:val="0"/>
    <w:pPr>
      <w:numPr>
        <w:ilvl w:val="0"/>
        <w:numId w:val="1"/>
      </w:numPr>
      <w:spacing w:beforeLines="50" w:afterLines="50" w:line="480" w:lineRule="exact"/>
      <w:outlineLvl w:val="2"/>
    </w:pPr>
    <w:rPr>
      <w:rFonts w:ascii="Times New Roman" w:hAnsi="Times New Roman" w:eastAsia="方正细等线_GBK" w:cs="Times New Roman"/>
      <w:b/>
      <w:sz w:val="24"/>
      <w:szCs w:val="24"/>
    </w:rPr>
  </w:style>
  <w:style w:type="character" w:customStyle="1" w:styleId="69">
    <w:name w:val="标书一级编号 Char"/>
    <w:link w:val="68"/>
    <w:qFormat/>
    <w:uiPriority w:val="0"/>
    <w:rPr>
      <w:rFonts w:ascii="Times New Roman" w:hAnsi="Times New Roman" w:eastAsia="方正细等线_GBK" w:cs="Times New Roman"/>
      <w:b/>
      <w:kern w:val="2"/>
      <w:sz w:val="24"/>
      <w:szCs w:val="24"/>
    </w:rPr>
  </w:style>
  <w:style w:type="paragraph" w:customStyle="1" w:styleId="70">
    <w:name w:val="标书三级编号"/>
    <w:basedOn w:val="1"/>
    <w:qFormat/>
    <w:uiPriority w:val="0"/>
    <w:pPr>
      <w:numPr>
        <w:ilvl w:val="2"/>
        <w:numId w:val="1"/>
      </w:numPr>
      <w:spacing w:beforeLines="50" w:afterLines="50" w:line="480" w:lineRule="exact"/>
      <w:outlineLvl w:val="4"/>
    </w:pPr>
    <w:rPr>
      <w:rFonts w:ascii="Times New Roman" w:hAnsi="Helvetica" w:eastAsia="方正细等线_GBK" w:cs="Times New Roman"/>
      <w:b/>
      <w:sz w:val="24"/>
      <w:szCs w:val="24"/>
    </w:rPr>
  </w:style>
  <w:style w:type="paragraph" w:customStyle="1" w:styleId="71">
    <w:name w:val="标书四级编号"/>
    <w:basedOn w:val="1"/>
    <w:qFormat/>
    <w:uiPriority w:val="0"/>
    <w:pPr>
      <w:numPr>
        <w:ilvl w:val="3"/>
        <w:numId w:val="1"/>
      </w:numPr>
      <w:spacing w:beforeLines="50" w:afterLines="50" w:line="480" w:lineRule="exact"/>
      <w:outlineLvl w:val="5"/>
    </w:pPr>
    <w:rPr>
      <w:rFonts w:ascii="Times New Roman" w:hAnsi="Times New Roman" w:eastAsia="方正细等线_GBK" w:cs="Times New Roman"/>
      <w:b/>
      <w:sz w:val="24"/>
      <w:szCs w:val="24"/>
    </w:rPr>
  </w:style>
  <w:style w:type="paragraph" w:customStyle="1" w:styleId="72">
    <w:name w:val="标书正文（首行缩进）"/>
    <w:basedOn w:val="1"/>
    <w:qFormat/>
    <w:uiPriority w:val="0"/>
    <w:pPr>
      <w:spacing w:line="480" w:lineRule="exact"/>
      <w:ind w:firstLine="200" w:firstLineChars="200"/>
    </w:pPr>
    <w:rPr>
      <w:rFonts w:ascii="Times New Roman" w:hAnsi="Helvetica" w:eastAsia="方正细等线_GBK" w:cs="Times New Roman"/>
      <w:sz w:val="24"/>
      <w:szCs w:val="24"/>
    </w:rPr>
  </w:style>
  <w:style w:type="character" w:customStyle="1" w:styleId="73">
    <w:name w:val="text_g9iim"/>
    <w:basedOn w:val="12"/>
    <w:qFormat/>
    <w:uiPriority w:val="0"/>
  </w:style>
  <w:style w:type="paragraph" w:customStyle="1" w:styleId="74">
    <w:name w:val="标书一级项目编号"/>
    <w:basedOn w:val="1"/>
    <w:qFormat/>
    <w:uiPriority w:val="0"/>
    <w:pPr>
      <w:numPr>
        <w:ilvl w:val="0"/>
        <w:numId w:val="2"/>
      </w:numPr>
      <w:spacing w:line="480" w:lineRule="exact"/>
    </w:pPr>
    <w:rPr>
      <w:rFonts w:ascii="Times New Roman" w:hAnsi="Helvetica" w:eastAsia="方正细等线_GBK" w:cs="Times New Roman"/>
      <w:sz w:val="24"/>
      <w:szCs w:val="24"/>
    </w:rPr>
  </w:style>
  <w:style w:type="paragraph" w:customStyle="1" w:styleId="75">
    <w:name w:val="标书二级项目编号"/>
    <w:basedOn w:val="1"/>
    <w:qFormat/>
    <w:uiPriority w:val="0"/>
    <w:pPr>
      <w:numPr>
        <w:ilvl w:val="1"/>
        <w:numId w:val="2"/>
      </w:numPr>
      <w:spacing w:line="480" w:lineRule="exact"/>
    </w:pPr>
    <w:rPr>
      <w:rFonts w:ascii="Times New Roman" w:hAnsi="Times New Roman" w:eastAsia="方正细等线_GBK" w:cs="Times New Roman"/>
      <w:sz w:val="24"/>
      <w:szCs w:val="24"/>
    </w:rPr>
  </w:style>
  <w:style w:type="character" w:customStyle="1" w:styleId="76">
    <w:name w:val="标书二级编号 Char"/>
    <w:link w:val="67"/>
    <w:qFormat/>
    <w:uiPriority w:val="0"/>
    <w:rPr>
      <w:rFonts w:ascii="Times New Roman" w:hAnsi="Helvetica" w:eastAsia="方正细等线_GBK" w:cs="Times New Roman"/>
      <w:b/>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10</Pages>
  <Words>8337</Words>
  <Characters>8639</Characters>
  <Lines>62</Lines>
  <Paragraphs>17</Paragraphs>
  <TotalTime>14</TotalTime>
  <ScaleCrop>false</ScaleCrop>
  <LinksUpToDate>false</LinksUpToDate>
  <CharactersWithSpaces>8651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2024-06-25T06:36:00Z</dcterms:created>
  <dc:creator>Windows 用户</dc:creator>
  <cp:lastModifiedBy>杨俐君</cp:lastModifiedBy>
  <dcterms:modified xsi:type="dcterms:W3CDTF">2025-07-19T15:04:58Z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D6FA8964A78D4CB29BF27D70F2CAE44B_13</vt:lpwstr>
  </property>
  <property fmtid="{D5CDD505-2E9C-101B-9397-08002B2CF9AE}" pid="4" name="KSOTemplateDocerSaveRecord">
    <vt:lpwstr>eyJoZGlkIjoiOTk1MDI2OWM5MzRhNzc2MDgxNDZhZmRhMmE3MWIxOTkiLCJ1c2VySWQiOiI2NDA4MzE2NjgifQ==</vt:lpwstr>
  </property>
</Properties>
</file>