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F6" w:rsidRPr="00D96AD6" w:rsidRDefault="00D96AD6" w:rsidP="00D96AD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96AD6">
        <w:rPr>
          <w:rFonts w:ascii="宋体" w:eastAsia="宋体" w:hAnsi="宋体" w:hint="eastAsia"/>
          <w:sz w:val="24"/>
          <w:szCs w:val="24"/>
        </w:rPr>
        <w:t>项目参数</w:t>
      </w:r>
    </w:p>
    <w:p w:rsidR="00D96AD6" w:rsidRPr="00A4115F" w:rsidRDefault="00D96AD6" w:rsidP="00D96AD6">
      <w:pPr>
        <w:spacing w:line="360" w:lineRule="auto"/>
        <w:ind w:firstLineChars="200" w:firstLine="480"/>
        <w:contextualSpacing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1.项目基本情况</w:t>
      </w:r>
    </w:p>
    <w:p w:rsidR="00D96AD6" w:rsidRPr="00A4115F" w:rsidRDefault="00D96AD6" w:rsidP="00D96AD6">
      <w:pPr>
        <w:spacing w:line="360" w:lineRule="auto"/>
        <w:ind w:firstLineChars="200" w:firstLine="480"/>
        <w:contextualSpacing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（1）项目名称：上海交通大学医学院附属新华医院全院技防系统维修保养项目</w:t>
      </w:r>
    </w:p>
    <w:p w:rsidR="00D96AD6" w:rsidRPr="00A4115F" w:rsidRDefault="00D96AD6" w:rsidP="00D96AD6">
      <w:pPr>
        <w:spacing w:line="360" w:lineRule="auto"/>
        <w:ind w:firstLineChars="200" w:firstLine="480"/>
        <w:contextualSpacing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/>
          <w:sz w:val="24"/>
          <w:szCs w:val="24"/>
        </w:rPr>
        <w:t>（</w:t>
      </w:r>
      <w:r w:rsidRPr="00A4115F">
        <w:rPr>
          <w:rFonts w:ascii="宋体" w:eastAsia="宋体" w:hAnsi="宋体" w:cs="宋体"/>
          <w:sz w:val="24"/>
          <w:szCs w:val="24"/>
        </w:rPr>
        <w:t>2</w:t>
      </w:r>
      <w:r w:rsidRPr="00A4115F">
        <w:rPr>
          <w:rFonts w:ascii="宋体" w:eastAsia="宋体" w:hAnsi="宋体" w:cs="宋体"/>
          <w:sz w:val="24"/>
          <w:szCs w:val="24"/>
        </w:rPr>
        <w:t>）</w:t>
      </w:r>
      <w:r w:rsidRPr="00A4115F">
        <w:rPr>
          <w:rFonts w:ascii="宋体" w:eastAsia="宋体" w:hAnsi="宋体" w:cs="宋体" w:hint="eastAsia"/>
          <w:sz w:val="24"/>
          <w:szCs w:val="24"/>
        </w:rPr>
        <w:t>最高限价</w:t>
      </w:r>
      <w:r w:rsidRPr="00A4115F">
        <w:rPr>
          <w:rFonts w:ascii="宋体" w:eastAsia="宋体" w:hAnsi="宋体" w:cs="宋体"/>
          <w:sz w:val="24"/>
          <w:szCs w:val="24"/>
        </w:rPr>
        <w:t>：</w:t>
      </w:r>
      <w:r w:rsidRPr="00A4115F">
        <w:rPr>
          <w:rFonts w:ascii="宋体" w:eastAsia="宋体" w:hAnsi="宋体" w:cs="宋体" w:hint="eastAsia"/>
          <w:sz w:val="24"/>
          <w:szCs w:val="24"/>
        </w:rPr>
        <w:t>三年的最高限价为人民币75.00万元，每年的最高限价为人民币25.00万元。</w:t>
      </w:r>
      <w:r w:rsidRPr="00A4115F">
        <w:rPr>
          <w:rFonts w:ascii="宋体" w:eastAsia="宋体" w:hAnsi="宋体" w:cs="宋体" w:hint="eastAsia"/>
          <w:sz w:val="24"/>
          <w:szCs w:val="24"/>
        </w:rPr>
        <w:t>（以最终的竞磋文件限价为准）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服务期限：本项目计划</w:t>
      </w:r>
      <w:bookmarkStart w:id="0" w:name="_GoBack"/>
      <w:bookmarkEnd w:id="0"/>
      <w:r w:rsidRPr="00A4115F">
        <w:rPr>
          <w:rFonts w:ascii="宋体" w:eastAsia="宋体" w:hAnsi="宋体" w:cs="宋体" w:hint="eastAsia"/>
          <w:sz w:val="24"/>
          <w:szCs w:val="24"/>
        </w:rPr>
        <w:t>继续通过招投标确定服务商，为进一步提高工作效率，此次招标拟采取一次招标、有效三年，分年签订、年年续签的方式，进行相关服务商确定、合同签订等工作，首年合同自2025年9月30日始至2026年9月29日止，服务期限1年。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/>
          <w:sz w:val="24"/>
          <w:szCs w:val="24"/>
        </w:rPr>
        <w:t>2</w:t>
      </w:r>
      <w:r w:rsidRPr="00A4115F">
        <w:rPr>
          <w:rFonts w:ascii="宋体" w:eastAsia="宋体" w:hAnsi="宋体" w:cs="宋体" w:hint="eastAsia"/>
          <w:sz w:val="24"/>
          <w:szCs w:val="24"/>
        </w:rPr>
        <w:t>.合格的供应商应具备的资格条件：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（1）供应商须具有独立承担民事责任的能力；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（2）供应商须具有良好的商业信誉和健全的财务会计制度；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（3）供应商须具有履行合同所必需的设备和专业技术能力；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 xml:space="preserve">（4）供应商须有依法缴纳税收和社会保障资金的良好记录； 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（5）供应商参加政府采购活动前三年内，在经营活动中没有重大违法记录；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（6）供应商在近三年内未被国家财政部指定的“信用中国”网站（www.creditchina.gov.cn）、“中国政府采购网”（www.ccgp.gov.cn）列入失信被执行人、重大税收违法案件当事人名单、政府采购严重违法失信名单；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（7）单位负责人为同一人或者存在直接控股、管理关系的不同单位，不得参加同一包件的竞争或者未划分包件的同一采购项目的竞争；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</w:t>
      </w:r>
      <w:r w:rsidRPr="00A4115F">
        <w:rPr>
          <w:rFonts w:ascii="宋体" w:eastAsia="宋体" w:hAnsi="宋体" w:cs="宋体"/>
          <w:sz w:val="24"/>
          <w:szCs w:val="24"/>
        </w:rPr>
        <w:t>8</w:t>
      </w:r>
      <w:r w:rsidRPr="00A4115F">
        <w:rPr>
          <w:rFonts w:ascii="宋体" w:eastAsia="宋体" w:hAnsi="宋体" w:cs="宋体" w:hint="eastAsia"/>
          <w:sz w:val="24"/>
          <w:szCs w:val="24"/>
        </w:rPr>
        <w:t>）本项目不接受联合体投标。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（</w:t>
      </w:r>
      <w:r w:rsidRPr="00A4115F">
        <w:rPr>
          <w:rFonts w:ascii="宋体" w:eastAsia="宋体" w:hAnsi="宋体" w:cs="宋体"/>
          <w:sz w:val="24"/>
          <w:szCs w:val="24"/>
        </w:rPr>
        <w:t>9</w:t>
      </w:r>
      <w:r w:rsidRPr="00A4115F">
        <w:rPr>
          <w:rFonts w:ascii="宋体" w:eastAsia="宋体" w:hAnsi="宋体" w:cs="宋体" w:hint="eastAsia"/>
          <w:sz w:val="24"/>
          <w:szCs w:val="24"/>
        </w:rPr>
        <w:t>）法律、行政法规规定的其他条件。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供应商应具有上海市公共安全防范工程施工单位二级或以上资质；</w:t>
      </w:r>
    </w:p>
    <w:p w:rsidR="00D96AD6" w:rsidRPr="00A4115F" w:rsidRDefault="00D96AD6" w:rsidP="00D96AD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115F">
        <w:rPr>
          <w:rFonts w:ascii="宋体" w:eastAsia="宋体" w:hAnsi="宋体" w:cs="宋体" w:hint="eastAsia"/>
          <w:sz w:val="24"/>
          <w:szCs w:val="24"/>
        </w:rPr>
        <w:t>供应商须具备电子与智能化工程专业承包二级及以上资质</w:t>
      </w:r>
    </w:p>
    <w:p w:rsidR="00D96AD6" w:rsidRDefault="00D96AD6" w:rsidP="00D96AD6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D96AD6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维保范围主要为监控系统、防盗报警系统、机房控制显示系统等内容，具体维护</w:t>
      </w:r>
      <w:r>
        <w:rPr>
          <w:rFonts w:ascii="宋体" w:eastAsia="宋体" w:hAnsi="宋体" w:cs="宋体" w:hint="eastAsia"/>
          <w:sz w:val="24"/>
          <w:szCs w:val="24"/>
        </w:rPr>
        <w:t>内容</w:t>
      </w:r>
      <w:r>
        <w:rPr>
          <w:rFonts w:ascii="宋体" w:eastAsia="宋体" w:hAnsi="宋体" w:cs="宋体" w:hint="eastAsia"/>
          <w:sz w:val="24"/>
          <w:szCs w:val="24"/>
        </w:rPr>
        <w:t>如下：</w:t>
      </w:r>
    </w:p>
    <w:p w:rsidR="00D96AD6" w:rsidRPr="00D96AD6" w:rsidRDefault="00D96AD6" w:rsidP="00D96AD6">
      <w:pPr>
        <w:spacing w:before="120" w:after="120" w:line="360" w:lineRule="auto"/>
        <w:ind w:firstLineChars="200" w:firstLine="480"/>
        <w:rPr>
          <w:rFonts w:ascii="宋体" w:hAnsi="宋体" w:cs="宋体"/>
          <w:sz w:val="24"/>
        </w:rPr>
      </w:pPr>
      <w:bookmarkStart w:id="1" w:name="OLE_LINK83"/>
      <w:bookmarkStart w:id="2" w:name="OLE_LINK84"/>
      <w:r w:rsidRPr="00D96AD6">
        <w:rPr>
          <w:rFonts w:ascii="宋体" w:eastAsia="宋体" w:hAnsi="宋体" w:cs="宋体" w:hint="eastAsia"/>
          <w:sz w:val="24"/>
          <w:szCs w:val="24"/>
        </w:rPr>
        <w:t>（1）</w:t>
      </w:r>
      <w:r w:rsidRPr="00D96AD6">
        <w:rPr>
          <w:rFonts w:ascii="宋体" w:eastAsia="宋体" w:hAnsi="宋体" w:cs="宋体" w:hint="eastAsia"/>
        </w:rPr>
        <w:t>监控系统</w:t>
      </w:r>
    </w:p>
    <w:bookmarkEnd w:id="1"/>
    <w:bookmarkEnd w:id="2"/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功能检查:对前端镜头、光圈的调节，调焦、变倍，图像切换、防护罩、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补光灯、防雷器等功能进行检查；对弱电间设备箱、交换机、电源等功能进行检查；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线路检查：对监控系统传输线路包括视频信号传输线路、供配电线路等进行通断检查；对弱电间设备箱、交换机、电源等设备进行线路检查；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系统检查：检查视频安防监控系统的监控范围、现场设备的接入率及完好率；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设备保养：对各摄像机镜头、镜片、以及外观进行除尘、清洗；对设备箱、交换机、电源等外观进行除尘、清洁，保持设备整洁；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日常巡检：对监控系统所有设备进行日常巡检，发现故障或对外观不整洁的摄像机及时处理。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故障处理：对出现故障的监控系统设备进行维修处理或者更换设备。</w:t>
      </w:r>
    </w:p>
    <w:p w:rsidR="00D96AD6" w:rsidRDefault="00D96AD6" w:rsidP="00D96AD6">
      <w:pPr>
        <w:numPr>
          <w:ilvl w:val="0"/>
          <w:numId w:val="3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按需维护：根据业主方提出的相关意见，对设备按照业主方提出的实施维护。</w:t>
      </w:r>
    </w:p>
    <w:p w:rsidR="00D96AD6" w:rsidRPr="00D96AD6" w:rsidRDefault="00D96AD6" w:rsidP="00D96AD6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Pr="00D96AD6">
        <w:rPr>
          <w:rFonts w:ascii="宋体" w:eastAsia="宋体" w:hAnsi="宋体" w:cs="宋体" w:hint="eastAsia"/>
          <w:sz w:val="24"/>
          <w:szCs w:val="24"/>
        </w:rPr>
        <w:t>防盗报警系统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功能检查:对前端探测器、紧急报警按钮、声光报警器、报警打印机等功能进行检查；对弱电间模块、电源等功能进行检查；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线路检查：对防盗报警系统传输线路包括控制信号传输线路、供配电线路等进行通断检查；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系统检查：检查防盗报警系统的布放/撤防功能进行检查，检查报警显示、信息存储、设备接入率及及完好率；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设备保养：对所有维护各探测器、紧急报警按钮、声光报警器等外观进行清洗，保持整洁。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日常巡检：对所有维护探测器、紧急报警按钮、声光报警器及后端控制设备进行日常巡检，发现故障或对外观不整洁及时处理。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故障处理：对出现故障的探测器、紧急报警按钮、声光报警器及后端控制设备进行维修处理或者更换设备。</w:t>
      </w:r>
    </w:p>
    <w:p w:rsidR="00D96AD6" w:rsidRDefault="00D96AD6" w:rsidP="00D96AD6">
      <w:pPr>
        <w:numPr>
          <w:ilvl w:val="0"/>
          <w:numId w:val="4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按需维护：根据业主方提出的相关意见，对设备按照业主方提出的实施维护。</w:t>
      </w:r>
    </w:p>
    <w:p w:rsidR="00D96AD6" w:rsidRPr="00D96AD6" w:rsidRDefault="00D96AD6" w:rsidP="00D96AD6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Pr="00D96AD6">
        <w:rPr>
          <w:rFonts w:ascii="宋体" w:eastAsia="宋体" w:hAnsi="宋体" w:cs="宋体" w:hint="eastAsia"/>
          <w:sz w:val="24"/>
          <w:szCs w:val="24"/>
        </w:rPr>
        <w:t>机房控制显示系统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功能检查:检查电视墙的分辨率、清晰度、显示尺寸等功能；检查磁盘阵列的存储功能，存储时间是否满足要求，硬盘是否损坏等；检查核心交换机的网络通讯功能；检查控制电脑的系统软件功能；检查机柜的环境；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线路检查：检查电视墙的信号线路、电源线路是否正常；检查机柜的配电、接线等是否正常；检查机柜内各控制设备的信号线路、电源线路是否正常；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系统检查：检查电视墙设备的显示功能；检查监控主机的切换、控制、编程、巡检、记录等功能；检查磁盘阵列死机记录、图像显示和记录速度、图像质量、对前端设备的控制功能以及通信接口功能、远端联网功能等；除检查其记录速度外，还检查记录的检索、回放等功能；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设备保养：对电视墙、磁盘阵列、硬盘录像机、交换机、电脑以及机柜等外观进行清洗，保持整洁。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日常巡检：对所有维护控制显示设备进行日常巡检，发现故障或对外观不整洁及时处理。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故障处理：对出现故障的控制显示设备进行维修处理或者更换设备。</w:t>
      </w:r>
    </w:p>
    <w:p w:rsidR="00D96AD6" w:rsidRDefault="00D96AD6" w:rsidP="00D96AD6">
      <w:pPr>
        <w:numPr>
          <w:ilvl w:val="0"/>
          <w:numId w:val="5"/>
        </w:numPr>
        <w:spacing w:before="120" w:after="120" w:line="360" w:lineRule="auto"/>
        <w:ind w:left="0"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按需维护：根据业主方提出的相关意见，对设备按照业主方提出的实施维护。</w:t>
      </w:r>
    </w:p>
    <w:p w:rsidR="00D96AD6" w:rsidRPr="00D96AD6" w:rsidRDefault="00D96AD6" w:rsidP="00D96AD6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3" w:name="OLE_LINK85"/>
      <w:bookmarkStart w:id="4" w:name="OLE_LINK86"/>
      <w:r w:rsidRPr="00D96AD6">
        <w:rPr>
          <w:rFonts w:ascii="宋体" w:eastAsia="宋体" w:hAnsi="宋体" w:cs="宋体" w:hint="eastAsia"/>
          <w:sz w:val="24"/>
          <w:szCs w:val="24"/>
        </w:rPr>
        <w:t>（4）</w:t>
      </w:r>
      <w:r w:rsidRPr="00D96AD6">
        <w:rPr>
          <w:rFonts w:ascii="宋体" w:eastAsia="宋体" w:hAnsi="宋体" w:cs="宋体" w:hint="eastAsia"/>
          <w:sz w:val="24"/>
          <w:szCs w:val="24"/>
        </w:rPr>
        <w:t>维</w:t>
      </w:r>
      <w:r w:rsidRPr="00D96AD6">
        <w:rPr>
          <w:rFonts w:ascii="宋体" w:eastAsia="宋体" w:hAnsi="宋体" w:cs="宋体" w:hint="eastAsia"/>
          <w:sz w:val="24"/>
          <w:szCs w:val="24"/>
          <w:lang w:eastAsia="zh-Hans"/>
        </w:rPr>
        <w:t>护保养</w:t>
      </w:r>
      <w:r w:rsidRPr="00D96AD6">
        <w:rPr>
          <w:rFonts w:ascii="宋体" w:eastAsia="宋体" w:hAnsi="宋体" w:cs="宋体" w:hint="eastAsia"/>
          <w:sz w:val="24"/>
          <w:szCs w:val="24"/>
        </w:rPr>
        <w:t>内容</w:t>
      </w:r>
    </w:p>
    <w:bookmarkEnd w:id="3"/>
    <w:bookmarkEnd w:id="4"/>
    <w:p w:rsidR="00D96AD6" w:rsidRDefault="00D96AD6" w:rsidP="00D96AD6">
      <w:pPr>
        <w:spacing w:before="120" w:after="12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本次维保主要针对以上技防系统，维保期三年，自2025年9月30日至2028年9月29日。维修内容要求及频次如下：</w:t>
      </w:r>
    </w:p>
    <w:tbl>
      <w:tblPr>
        <w:tblStyle w:val="ad"/>
        <w:tblW w:w="0" w:type="auto"/>
        <w:tblInd w:w="251" w:type="dxa"/>
        <w:tblLook w:val="04A0" w:firstRow="1" w:lastRow="0" w:firstColumn="1" w:lastColumn="0" w:noHBand="0" w:noVBand="1"/>
      </w:tblPr>
      <w:tblGrid>
        <w:gridCol w:w="791"/>
        <w:gridCol w:w="1643"/>
        <w:gridCol w:w="3293"/>
        <w:gridCol w:w="1424"/>
        <w:gridCol w:w="894"/>
      </w:tblGrid>
      <w:tr w:rsidR="00D96AD6" w:rsidTr="00D96AD6">
        <w:trPr>
          <w:trHeight w:val="549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类别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要求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频次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D96AD6" w:rsidTr="00D96AD6">
        <w:trPr>
          <w:trHeight w:val="629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功能检查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设备功能检查正常，记录完整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1次/月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625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线路检查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线路检查正常，记录完整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1次/季度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602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系统检查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系统功能检查正常，记录完整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1次/月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636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设备保养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设备外观整洁，记录完整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1次/月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569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日常巡检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日常巡检，记录完整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1次/季度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606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故障处理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维修处理或者更换设备，记录完整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按需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6AD6" w:rsidTr="00D96AD6">
        <w:trPr>
          <w:trHeight w:val="677"/>
        </w:trPr>
        <w:tc>
          <w:tcPr>
            <w:tcW w:w="791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64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按需维护</w:t>
            </w:r>
          </w:p>
        </w:tc>
        <w:tc>
          <w:tcPr>
            <w:tcW w:w="3293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按需维护，记录完整</w:t>
            </w:r>
          </w:p>
        </w:tc>
        <w:tc>
          <w:tcPr>
            <w:tcW w:w="142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按需</w:t>
            </w:r>
          </w:p>
        </w:tc>
        <w:tc>
          <w:tcPr>
            <w:tcW w:w="894" w:type="dxa"/>
            <w:vAlign w:val="center"/>
          </w:tcPr>
          <w:p w:rsidR="00D96AD6" w:rsidRDefault="00D96AD6" w:rsidP="00B746EE">
            <w:pPr>
              <w:pStyle w:val="ac"/>
              <w:spacing w:before="120" w:after="120"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D96AD6" w:rsidRPr="00D96AD6" w:rsidRDefault="00D96AD6" w:rsidP="00D96AD6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96AD6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 w:rsidRPr="00D96AD6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人员安排要求</w:t>
      </w:r>
    </w:p>
    <w:p w:rsidR="00D96AD6" w:rsidRDefault="00D96AD6" w:rsidP="00D96AD6">
      <w:pPr>
        <w:spacing w:before="120" w:after="12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★为保证服务的及时性和服务的满意度，在合同维保期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需</w:t>
      </w:r>
      <w:r>
        <w:rPr>
          <w:rFonts w:ascii="宋体" w:eastAsia="宋体" w:hAnsi="宋体" w:cs="宋体" w:hint="eastAsia"/>
          <w:sz w:val="24"/>
          <w:szCs w:val="24"/>
        </w:rPr>
        <w:t>派驻至少2名</w:t>
      </w:r>
      <w:r w:rsidR="00A654D7"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ascii="宋体" w:eastAsia="宋体" w:hAnsi="宋体" w:cs="宋体" w:hint="eastAsia"/>
          <w:sz w:val="24"/>
          <w:szCs w:val="24"/>
        </w:rPr>
        <w:t>技术人员，常驻新华医院，提供每周7天*8小时驻场维护服务，同时提供7*24小时服务支持，并且在必要时配合采购人实施应急保障工作，提供相关的应急预案。在运维服务周期内提供系统常用的备品备件。在系统有故障时确保在第一时间排除故障，保障系统的正常使用。</w:t>
      </w:r>
    </w:p>
    <w:p w:rsidR="004048AD" w:rsidRPr="004048AD" w:rsidRDefault="004048AD" w:rsidP="004048AD">
      <w:pPr>
        <w:spacing w:before="120" w:after="12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</w:t>
      </w:r>
      <w:r w:rsidRPr="004048AD">
        <w:rPr>
          <w:rFonts w:ascii="宋体" w:eastAsia="宋体" w:hAnsi="宋体" w:cs="宋体" w:hint="eastAsia"/>
          <w:sz w:val="24"/>
          <w:szCs w:val="24"/>
        </w:rPr>
        <w:t>）付款方式</w:t>
      </w:r>
    </w:p>
    <w:p w:rsidR="004048AD" w:rsidRDefault="004048AD" w:rsidP="004048AD">
      <w:pPr>
        <w:spacing w:before="120" w:after="12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合同签订生效后半年内甲方支付乙方50%的款，维保期满甲方支付乙方剩余 50%的款项。付款前，乙方应向甲方提供相应金额的正规发票。</w:t>
      </w:r>
    </w:p>
    <w:p w:rsidR="00D96AD6" w:rsidRPr="004048AD" w:rsidRDefault="00D96AD6">
      <w:pPr>
        <w:rPr>
          <w:rFonts w:ascii="宋体" w:eastAsia="宋体" w:hAnsi="宋体" w:hint="eastAsia"/>
          <w:sz w:val="24"/>
          <w:szCs w:val="24"/>
        </w:rPr>
      </w:pPr>
    </w:p>
    <w:sectPr w:rsidR="00D96AD6" w:rsidRPr="0040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BF" w:rsidRDefault="004405BF" w:rsidP="00D96AD6">
      <w:r>
        <w:separator/>
      </w:r>
    </w:p>
  </w:endnote>
  <w:endnote w:type="continuationSeparator" w:id="0">
    <w:p w:rsidR="004405BF" w:rsidRDefault="004405BF" w:rsidP="00D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BF" w:rsidRDefault="004405BF" w:rsidP="00D96AD6">
      <w:r>
        <w:separator/>
      </w:r>
    </w:p>
  </w:footnote>
  <w:footnote w:type="continuationSeparator" w:id="0">
    <w:p w:rsidR="004405BF" w:rsidRDefault="004405BF" w:rsidP="00D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1A3082"/>
    <w:multiLevelType w:val="singleLevel"/>
    <w:tmpl w:val="B91A30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9044F35"/>
    <w:multiLevelType w:val="singleLevel"/>
    <w:tmpl w:val="D9044F35"/>
    <w:lvl w:ilvl="0">
      <w:start w:val="1"/>
      <w:numFmt w:val="lowerLetter"/>
      <w:lvlText w:val="%1."/>
      <w:lvlJc w:val="left"/>
      <w:pPr>
        <w:ind w:left="425" w:hanging="425"/>
      </w:pPr>
      <w:rPr>
        <w:rFonts w:ascii="宋体" w:eastAsia="宋体" w:hAnsi="宋体" w:cs="宋体" w:hint="default"/>
        <w:sz w:val="24"/>
        <w:szCs w:val="24"/>
      </w:rPr>
    </w:lvl>
  </w:abstractNum>
  <w:abstractNum w:abstractNumId="2" w15:restartNumberingAfterBreak="0">
    <w:nsid w:val="DFE5AEDF"/>
    <w:multiLevelType w:val="singleLevel"/>
    <w:tmpl w:val="DFE5AED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74AFB43"/>
    <w:multiLevelType w:val="singleLevel"/>
    <w:tmpl w:val="074AFB43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47292C8"/>
    <w:multiLevelType w:val="singleLevel"/>
    <w:tmpl w:val="147292C8"/>
    <w:lvl w:ilvl="0">
      <w:start w:val="1"/>
      <w:numFmt w:val="lowerLetter"/>
      <w:lvlText w:val="%1."/>
      <w:lvlJc w:val="left"/>
      <w:pPr>
        <w:ind w:left="425" w:hanging="425"/>
      </w:pPr>
      <w:rPr>
        <w:rFonts w:ascii="宋体" w:eastAsia="宋体" w:hAnsi="宋体" w:cs="宋体" w:hint="default"/>
        <w:sz w:val="24"/>
        <w:szCs w:val="24"/>
      </w:rPr>
    </w:lvl>
  </w:abstractNum>
  <w:abstractNum w:abstractNumId="5" w15:restartNumberingAfterBreak="0">
    <w:nsid w:val="6097C802"/>
    <w:multiLevelType w:val="singleLevel"/>
    <w:tmpl w:val="6097C8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703354EF"/>
    <w:multiLevelType w:val="singleLevel"/>
    <w:tmpl w:val="703354E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A"/>
    <w:rsid w:val="0029051A"/>
    <w:rsid w:val="004048AD"/>
    <w:rsid w:val="004405BF"/>
    <w:rsid w:val="005E18F6"/>
    <w:rsid w:val="00A4115F"/>
    <w:rsid w:val="00A654D7"/>
    <w:rsid w:val="00D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1D49"/>
  <w15:chartTrackingRefBased/>
  <w15:docId w15:val="{91B5C9CF-779F-46EC-93DF-35202B7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nhideWhenUsed/>
    <w:qFormat/>
    <w:rsid w:val="00D96AD6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D96AD6"/>
    <w:pPr>
      <w:keepNext/>
      <w:keepLines/>
      <w:spacing w:before="280" w:after="290" w:line="372" w:lineRule="auto"/>
      <w:outlineLvl w:val="4"/>
    </w:pPr>
    <w:rPr>
      <w:rFonts w:ascii="Times New Roman" w:eastAsia="宋体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AD6"/>
    <w:rPr>
      <w:sz w:val="18"/>
      <w:szCs w:val="18"/>
    </w:rPr>
  </w:style>
  <w:style w:type="paragraph" w:styleId="a7">
    <w:name w:val="annotation text"/>
    <w:basedOn w:val="a"/>
    <w:link w:val="a8"/>
    <w:qFormat/>
    <w:rsid w:val="00D96AD6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8">
    <w:name w:val="批注文字 字符"/>
    <w:basedOn w:val="a0"/>
    <w:link w:val="a7"/>
    <w:qFormat/>
    <w:rsid w:val="00D96AD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styleId="a9">
    <w:name w:val="annotation reference"/>
    <w:uiPriority w:val="99"/>
    <w:qFormat/>
    <w:rsid w:val="00D96AD6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96A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96AD6"/>
    <w:rPr>
      <w:sz w:val="18"/>
      <w:szCs w:val="18"/>
    </w:rPr>
  </w:style>
  <w:style w:type="character" w:customStyle="1" w:styleId="40">
    <w:name w:val="标题 4 字符"/>
    <w:basedOn w:val="a0"/>
    <w:link w:val="4"/>
    <w:rsid w:val="00D96AD6"/>
    <w:rPr>
      <w:rFonts w:ascii="Arial" w:eastAsia="黑体" w:hAnsi="Arial" w:cs="Times New Roman"/>
      <w:b/>
      <w:sz w:val="28"/>
      <w:szCs w:val="24"/>
    </w:rPr>
  </w:style>
  <w:style w:type="character" w:customStyle="1" w:styleId="50">
    <w:name w:val="标题 5 字符"/>
    <w:basedOn w:val="a0"/>
    <w:link w:val="5"/>
    <w:rsid w:val="00D96AD6"/>
    <w:rPr>
      <w:rFonts w:ascii="Times New Roman" w:eastAsia="宋体" w:hAnsi="Times New Roman" w:cs="Times New Roman"/>
      <w:b/>
      <w:sz w:val="28"/>
      <w:szCs w:val="24"/>
    </w:rPr>
  </w:style>
  <w:style w:type="paragraph" w:styleId="ac">
    <w:name w:val="Normal Indent"/>
    <w:basedOn w:val="a"/>
    <w:qFormat/>
    <w:rsid w:val="00D96AD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qFormat/>
    <w:rsid w:val="00D96A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1990</Characters>
  <Application>Microsoft Office Word</Application>
  <DocSecurity>0</DocSecurity>
  <Lines>16</Lines>
  <Paragraphs>4</Paragraphs>
  <ScaleCrop>false</ScaleCrop>
  <Company>上海交通大学医学院附属新华医院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</dc:creator>
  <cp:keywords/>
  <dc:description/>
  <cp:lastModifiedBy>彭</cp:lastModifiedBy>
  <cp:revision>5</cp:revision>
  <dcterms:created xsi:type="dcterms:W3CDTF">2025-08-08T08:04:00Z</dcterms:created>
  <dcterms:modified xsi:type="dcterms:W3CDTF">2025-08-08T08:11:00Z</dcterms:modified>
</cp:coreProperties>
</file>