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64F00">
      <w:pPr>
        <w:adjustRightInd w:val="0"/>
        <w:snapToGrid w:val="0"/>
        <w:spacing w:line="360" w:lineRule="auto"/>
        <w:ind w:firstLine="472" w:firstLineChars="196"/>
        <w:outlineLvl w:val="0"/>
        <w:rPr>
          <w:rFonts w:ascii="宋体" w:hAnsi="宋体"/>
          <w:b/>
          <w:sz w:val="24"/>
          <w:szCs w:val="24"/>
        </w:rPr>
      </w:pPr>
      <w:bookmarkStart w:id="0" w:name="_GoBack"/>
      <w:bookmarkEnd w:id="0"/>
      <w:r>
        <w:rPr>
          <w:rFonts w:hint="eastAsia" w:ascii="宋体" w:hAnsi="宋体"/>
          <w:b/>
          <w:sz w:val="24"/>
          <w:szCs w:val="24"/>
        </w:rPr>
        <w:t>一、项目概述、服务范围、内容及目标要求</w:t>
      </w:r>
    </w:p>
    <w:p w14:paraId="7C2AE77C">
      <w:pPr>
        <w:adjustRightInd w:val="0"/>
        <w:snapToGrid w:val="0"/>
        <w:spacing w:line="360" w:lineRule="auto"/>
        <w:rPr>
          <w:rFonts w:hint="default" w:ascii="宋体" w:hAnsi="宋体" w:eastAsia="宋体"/>
          <w:b w:val="0"/>
          <w:bCs w:val="0"/>
          <w:sz w:val="24"/>
          <w:szCs w:val="24"/>
          <w:lang w:val="en-US" w:eastAsia="zh-CN"/>
        </w:rPr>
      </w:pPr>
      <w:r>
        <w:rPr>
          <w:rFonts w:hint="eastAsia" w:ascii="宋体" w:hAnsi="宋体"/>
          <w:b/>
          <w:bCs/>
          <w:sz w:val="24"/>
          <w:szCs w:val="24"/>
        </w:rPr>
        <w:t>（一）服务期限：</w:t>
      </w:r>
      <w:r>
        <w:rPr>
          <w:rFonts w:hint="eastAsia" w:ascii="宋体" w:hAnsi="宋体"/>
          <w:b w:val="0"/>
          <w:bCs w:val="0"/>
          <w:sz w:val="24"/>
          <w:szCs w:val="24"/>
          <w:lang w:val="en-US" w:eastAsia="zh-CN"/>
        </w:rPr>
        <w:t>三年，合同一年一签，每年考评合格后续签下一年合同。</w:t>
      </w:r>
    </w:p>
    <w:p w14:paraId="2E093DA9">
      <w:pPr>
        <w:adjustRightInd w:val="0"/>
        <w:snapToGrid w:val="0"/>
        <w:spacing w:line="360" w:lineRule="auto"/>
        <w:rPr>
          <w:rFonts w:ascii="宋体" w:hAnsi="宋体" w:cs="宋体"/>
          <w:color w:val="000000"/>
          <w:sz w:val="24"/>
          <w:szCs w:val="24"/>
        </w:rPr>
      </w:pPr>
      <w:r>
        <w:rPr>
          <w:rFonts w:hint="eastAsia" w:ascii="宋体" w:hAnsi="宋体"/>
          <w:b/>
          <w:bCs/>
          <w:sz w:val="24"/>
          <w:szCs w:val="24"/>
        </w:rPr>
        <w:t>（二）服务地址：</w:t>
      </w:r>
      <w:r>
        <w:rPr>
          <w:rFonts w:hint="eastAsia" w:ascii="宋体" w:hAnsi="宋体" w:cs="宋体"/>
          <w:color w:val="000000"/>
          <w:sz w:val="24"/>
          <w:szCs w:val="24"/>
        </w:rPr>
        <w:t>上海交通大学医学院附属新华医院（杨浦院区：上海市杨浦区控江路1665号；奉贤院区：上海市奉贤区东方美谷大道6688号）。</w:t>
      </w:r>
    </w:p>
    <w:p w14:paraId="6512A01F">
      <w:pPr>
        <w:adjustRightInd w:val="0"/>
        <w:snapToGrid w:val="0"/>
        <w:spacing w:line="360" w:lineRule="auto"/>
        <w:rPr>
          <w:rFonts w:hint="eastAsia" w:ascii="宋体" w:hAnsi="宋体" w:cs="宋体"/>
          <w:color w:val="000000"/>
          <w:sz w:val="24"/>
          <w:szCs w:val="24"/>
        </w:rPr>
      </w:pPr>
      <w:r>
        <w:rPr>
          <w:rFonts w:hint="eastAsia" w:ascii="宋体" w:hAnsi="宋体" w:cs="宋体"/>
          <w:b/>
          <w:bCs/>
          <w:color w:val="000000"/>
          <w:sz w:val="24"/>
          <w:szCs w:val="24"/>
        </w:rPr>
        <w:t>（三）服务范围：</w:t>
      </w:r>
      <w:r>
        <w:rPr>
          <w:rFonts w:hint="eastAsia" w:ascii="宋体" w:hAnsi="宋体" w:cs="宋体"/>
          <w:color w:val="000000"/>
          <w:sz w:val="24"/>
          <w:szCs w:val="24"/>
        </w:rPr>
        <w:t>住院部各病区住院患者；急诊患者；监护室患者；母婴护理。</w:t>
      </w:r>
    </w:p>
    <w:p w14:paraId="009523A9">
      <w:pPr>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（四）报价要求</w:t>
      </w:r>
    </w:p>
    <w:p w14:paraId="27F9D243">
      <w:pPr>
        <w:numPr>
          <w:ilvl w:val="0"/>
          <w:numId w:val="1"/>
        </w:numPr>
        <w:spacing w:line="360" w:lineRule="auto"/>
        <w:rPr>
          <w:rFonts w:ascii="宋体" w:hAnsi="宋体" w:cs="宋体"/>
          <w:bCs/>
          <w:sz w:val="24"/>
          <w:szCs w:val="24"/>
        </w:rPr>
      </w:pPr>
      <w:r>
        <w:rPr>
          <w:rFonts w:hint="eastAsia" w:ascii="宋体" w:hAnsi="宋体" w:cs="宋体"/>
          <w:bCs/>
          <w:sz w:val="24"/>
          <w:szCs w:val="24"/>
        </w:rPr>
        <w:t>报价要求</w:t>
      </w:r>
    </w:p>
    <w:p w14:paraId="32CD9BFA">
      <w:pPr>
        <w:spacing w:line="360" w:lineRule="auto"/>
        <w:rPr>
          <w:rFonts w:ascii="宋体" w:hAnsi="宋体" w:cs="宋体"/>
          <w:bCs/>
          <w:sz w:val="24"/>
          <w:szCs w:val="24"/>
        </w:rPr>
      </w:pPr>
      <w:r>
        <w:rPr>
          <w:rFonts w:hint="eastAsia" w:ascii="宋体" w:hAnsi="宋体" w:cs="宋体"/>
          <w:bCs/>
          <w:sz w:val="24"/>
          <w:szCs w:val="24"/>
        </w:rPr>
        <w:t>1.1免陪照护服务报价</w:t>
      </w:r>
    </w:p>
    <w:p w14:paraId="2A47F15D">
      <w:pPr>
        <w:spacing w:line="360" w:lineRule="auto"/>
        <w:rPr>
          <w:rFonts w:hint="eastAsia" w:ascii="宋体" w:hAnsi="宋体" w:cs="宋体"/>
          <w:bCs/>
          <w:sz w:val="24"/>
          <w:szCs w:val="24"/>
        </w:rPr>
      </w:pPr>
      <w:r>
        <w:rPr>
          <w:rFonts w:hint="eastAsia" w:ascii="宋体" w:hAnsi="宋体" w:cs="宋体"/>
          <w:bCs/>
          <w:sz w:val="24"/>
          <w:szCs w:val="24"/>
        </w:rPr>
        <w:t>免陪照护服务收费规定为150元/人/天，由医院统一向患者收取费用。投标人需报出免陪照护服务的服务费率，医院据此与投标人进行结算。</w:t>
      </w:r>
    </w:p>
    <w:p w14:paraId="1184911F">
      <w:pPr>
        <w:spacing w:line="360" w:lineRule="auto"/>
        <w:rPr>
          <w:rFonts w:ascii="宋体" w:hAnsi="宋体" w:cs="宋体"/>
          <w:bCs/>
          <w:sz w:val="24"/>
          <w:szCs w:val="24"/>
        </w:rPr>
      </w:pPr>
      <w:r>
        <w:rPr>
          <w:rFonts w:hint="eastAsia" w:ascii="宋体" w:hAnsi="宋体" w:cs="宋体"/>
          <w:bCs/>
          <w:sz w:val="24"/>
          <w:szCs w:val="24"/>
        </w:rPr>
        <w:t>1.2非免陪照护服务报价</w:t>
      </w:r>
    </w:p>
    <w:p w14:paraId="711282E0">
      <w:pPr>
        <w:spacing w:line="360" w:lineRule="auto"/>
        <w:rPr>
          <w:rFonts w:ascii="宋体" w:hAnsi="宋体" w:cs="宋体"/>
          <w:bCs/>
          <w:sz w:val="24"/>
          <w:szCs w:val="24"/>
        </w:rPr>
      </w:pPr>
      <w:r>
        <w:rPr>
          <w:rFonts w:hint="eastAsia" w:ascii="宋体" w:hAnsi="宋体" w:cs="宋体"/>
          <w:bCs/>
          <w:sz w:val="24"/>
          <w:szCs w:val="24"/>
        </w:rPr>
        <w:t>1.2.1投标人需根据下述各项服务单价限价，报出统一下浮率，患者据此与投标人进行结算。</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
        <w:gridCol w:w="1081"/>
        <w:gridCol w:w="1079"/>
        <w:gridCol w:w="1079"/>
        <w:gridCol w:w="1079"/>
        <w:gridCol w:w="951"/>
        <w:gridCol w:w="1208"/>
        <w:gridCol w:w="1125"/>
      </w:tblGrid>
      <w:tr w14:paraId="30BEA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7" w:type="dxa"/>
            <w:gridSpan w:val="8"/>
            <w:noWrap w:val="0"/>
            <w:vAlign w:val="center"/>
          </w:tcPr>
          <w:p w14:paraId="43162932">
            <w:pPr>
              <w:spacing w:line="360" w:lineRule="auto"/>
              <w:jc w:val="center"/>
              <w:rPr>
                <w:rFonts w:hint="eastAsia" w:ascii="宋体" w:hAnsi="宋体" w:cs="宋体"/>
                <w:bCs/>
                <w:sz w:val="24"/>
                <w:szCs w:val="24"/>
              </w:rPr>
            </w:pPr>
            <w:r>
              <w:rPr>
                <w:rFonts w:hint="eastAsia" w:ascii="宋体" w:hAnsi="宋体" w:cs="宋体"/>
                <w:bCs/>
                <w:sz w:val="24"/>
                <w:szCs w:val="24"/>
              </w:rPr>
              <w:t>护理收费限价（元/人/天）</w:t>
            </w:r>
          </w:p>
        </w:tc>
      </w:tr>
      <w:tr w14:paraId="073D4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gridSpan w:val="3"/>
            <w:noWrap w:val="0"/>
            <w:vAlign w:val="center"/>
          </w:tcPr>
          <w:p w14:paraId="5E6D0627">
            <w:pPr>
              <w:spacing w:line="360" w:lineRule="auto"/>
              <w:jc w:val="center"/>
              <w:rPr>
                <w:rFonts w:hint="eastAsia" w:ascii="宋体" w:hAnsi="宋体" w:cs="宋体"/>
                <w:bCs/>
                <w:sz w:val="24"/>
                <w:szCs w:val="24"/>
              </w:rPr>
            </w:pPr>
            <w:r>
              <w:rPr>
                <w:rFonts w:hint="eastAsia" w:ascii="宋体" w:hAnsi="宋体" w:cs="宋体"/>
                <w:bCs/>
                <w:sz w:val="24"/>
                <w:szCs w:val="24"/>
              </w:rPr>
              <w:t>普通病房、急诊抢救室</w:t>
            </w:r>
          </w:p>
        </w:tc>
        <w:tc>
          <w:tcPr>
            <w:tcW w:w="2268" w:type="dxa"/>
            <w:gridSpan w:val="2"/>
            <w:noWrap w:val="0"/>
            <w:vAlign w:val="center"/>
          </w:tcPr>
          <w:p w14:paraId="64D9FCBC">
            <w:pPr>
              <w:spacing w:line="360" w:lineRule="auto"/>
              <w:jc w:val="center"/>
              <w:rPr>
                <w:rFonts w:ascii="宋体" w:hAnsi="宋体" w:cs="宋体"/>
                <w:bCs/>
                <w:sz w:val="24"/>
                <w:szCs w:val="24"/>
              </w:rPr>
            </w:pPr>
            <w:r>
              <w:rPr>
                <w:rFonts w:hint="eastAsia" w:ascii="宋体" w:hAnsi="宋体" w:cs="宋体"/>
                <w:bCs/>
                <w:sz w:val="24"/>
                <w:szCs w:val="24"/>
              </w:rPr>
              <w:t>血液科移植仓</w:t>
            </w:r>
          </w:p>
        </w:tc>
        <w:tc>
          <w:tcPr>
            <w:tcW w:w="3452" w:type="dxa"/>
            <w:gridSpan w:val="3"/>
            <w:noWrap w:val="0"/>
            <w:vAlign w:val="top"/>
          </w:tcPr>
          <w:p w14:paraId="1B811BA8">
            <w:pPr>
              <w:spacing w:line="360" w:lineRule="auto"/>
              <w:jc w:val="center"/>
              <w:rPr>
                <w:rFonts w:hint="eastAsia" w:ascii="宋体" w:hAnsi="宋体" w:cs="宋体"/>
                <w:bCs/>
                <w:sz w:val="24"/>
                <w:szCs w:val="24"/>
              </w:rPr>
            </w:pPr>
            <w:r>
              <w:rPr>
                <w:rFonts w:hint="eastAsia" w:ascii="宋体" w:hAnsi="宋体" w:cs="宋体"/>
                <w:bCs/>
                <w:sz w:val="24"/>
                <w:szCs w:val="24"/>
              </w:rPr>
              <w:t>产科母婴护理（1大1小）</w:t>
            </w:r>
          </w:p>
        </w:tc>
      </w:tr>
      <w:tr w14:paraId="29DE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noWrap w:val="0"/>
            <w:vAlign w:val="center"/>
          </w:tcPr>
          <w:p w14:paraId="51DED3F2">
            <w:pPr>
              <w:spacing w:line="360" w:lineRule="auto"/>
              <w:jc w:val="center"/>
              <w:rPr>
                <w:rFonts w:hint="eastAsia" w:ascii="宋体" w:hAnsi="宋体" w:cs="宋体"/>
                <w:bCs/>
                <w:sz w:val="24"/>
                <w:szCs w:val="24"/>
              </w:rPr>
            </w:pPr>
            <w:r>
              <w:rPr>
                <w:rFonts w:hint="eastAsia" w:ascii="宋体" w:hAnsi="宋体" w:cs="宋体"/>
                <w:bCs/>
                <w:sz w:val="24"/>
                <w:szCs w:val="24"/>
              </w:rPr>
              <w:t>一对一</w:t>
            </w:r>
          </w:p>
        </w:tc>
        <w:tc>
          <w:tcPr>
            <w:tcW w:w="1136" w:type="dxa"/>
            <w:noWrap w:val="0"/>
            <w:vAlign w:val="center"/>
          </w:tcPr>
          <w:p w14:paraId="1AEBB586">
            <w:pPr>
              <w:spacing w:line="360" w:lineRule="auto"/>
              <w:jc w:val="center"/>
              <w:rPr>
                <w:rFonts w:hint="eastAsia" w:ascii="宋体" w:hAnsi="宋体" w:cs="宋体"/>
                <w:bCs/>
                <w:sz w:val="24"/>
                <w:szCs w:val="24"/>
              </w:rPr>
            </w:pPr>
            <w:r>
              <w:rPr>
                <w:rFonts w:hint="eastAsia" w:ascii="宋体" w:hAnsi="宋体" w:cs="宋体"/>
                <w:bCs/>
                <w:sz w:val="24"/>
                <w:szCs w:val="24"/>
              </w:rPr>
              <w:t>一对二</w:t>
            </w:r>
          </w:p>
        </w:tc>
        <w:tc>
          <w:tcPr>
            <w:tcW w:w="1134" w:type="dxa"/>
            <w:noWrap w:val="0"/>
            <w:vAlign w:val="center"/>
          </w:tcPr>
          <w:p w14:paraId="50C698B2">
            <w:pPr>
              <w:spacing w:line="360" w:lineRule="auto"/>
              <w:jc w:val="center"/>
              <w:rPr>
                <w:rFonts w:hint="eastAsia" w:ascii="宋体" w:hAnsi="宋体" w:cs="宋体"/>
                <w:bCs/>
                <w:sz w:val="24"/>
                <w:szCs w:val="24"/>
              </w:rPr>
            </w:pPr>
            <w:r>
              <w:rPr>
                <w:rFonts w:hint="eastAsia" w:ascii="宋体" w:hAnsi="宋体" w:cs="宋体"/>
                <w:bCs/>
                <w:sz w:val="24"/>
                <w:szCs w:val="24"/>
              </w:rPr>
              <w:t>一对多</w:t>
            </w:r>
          </w:p>
        </w:tc>
        <w:tc>
          <w:tcPr>
            <w:tcW w:w="1134" w:type="dxa"/>
            <w:noWrap w:val="0"/>
            <w:vAlign w:val="center"/>
          </w:tcPr>
          <w:p w14:paraId="25348705">
            <w:pPr>
              <w:spacing w:line="360" w:lineRule="auto"/>
              <w:jc w:val="center"/>
              <w:rPr>
                <w:rFonts w:hint="eastAsia" w:ascii="宋体" w:hAnsi="宋体" w:cs="宋体"/>
                <w:bCs/>
                <w:sz w:val="24"/>
                <w:szCs w:val="24"/>
              </w:rPr>
            </w:pPr>
            <w:r>
              <w:rPr>
                <w:rFonts w:hint="eastAsia" w:ascii="宋体" w:hAnsi="宋体" w:cs="宋体"/>
                <w:bCs/>
                <w:sz w:val="24"/>
                <w:szCs w:val="24"/>
              </w:rPr>
              <w:t>一对一</w:t>
            </w:r>
          </w:p>
        </w:tc>
        <w:tc>
          <w:tcPr>
            <w:tcW w:w="1134" w:type="dxa"/>
            <w:noWrap w:val="0"/>
            <w:vAlign w:val="center"/>
          </w:tcPr>
          <w:p w14:paraId="216AEF46">
            <w:pPr>
              <w:spacing w:line="360" w:lineRule="auto"/>
              <w:jc w:val="center"/>
              <w:rPr>
                <w:rFonts w:hint="eastAsia" w:ascii="宋体" w:hAnsi="宋体" w:cs="宋体"/>
                <w:bCs/>
                <w:sz w:val="24"/>
                <w:szCs w:val="24"/>
              </w:rPr>
            </w:pPr>
            <w:r>
              <w:rPr>
                <w:rFonts w:hint="eastAsia" w:ascii="宋体" w:hAnsi="宋体" w:cs="宋体"/>
                <w:bCs/>
                <w:sz w:val="24"/>
                <w:szCs w:val="24"/>
              </w:rPr>
              <w:t>一对多</w:t>
            </w:r>
          </w:p>
        </w:tc>
        <w:tc>
          <w:tcPr>
            <w:tcW w:w="992" w:type="dxa"/>
            <w:noWrap w:val="0"/>
            <w:vAlign w:val="center"/>
          </w:tcPr>
          <w:p w14:paraId="5378D776">
            <w:pPr>
              <w:spacing w:line="360" w:lineRule="auto"/>
              <w:jc w:val="center"/>
              <w:rPr>
                <w:rFonts w:hint="eastAsia" w:ascii="宋体" w:hAnsi="宋体" w:cs="宋体"/>
                <w:bCs/>
                <w:sz w:val="24"/>
                <w:szCs w:val="24"/>
              </w:rPr>
            </w:pPr>
            <w:r>
              <w:rPr>
                <w:rFonts w:hint="eastAsia" w:ascii="宋体" w:hAnsi="宋体" w:cs="宋体"/>
                <w:bCs/>
                <w:sz w:val="24"/>
                <w:szCs w:val="24"/>
              </w:rPr>
              <w:t>一对一</w:t>
            </w:r>
          </w:p>
        </w:tc>
        <w:tc>
          <w:tcPr>
            <w:tcW w:w="1276" w:type="dxa"/>
            <w:noWrap w:val="0"/>
            <w:vAlign w:val="center"/>
          </w:tcPr>
          <w:p w14:paraId="65C040B0">
            <w:pPr>
              <w:spacing w:line="360" w:lineRule="auto"/>
              <w:jc w:val="center"/>
              <w:rPr>
                <w:rFonts w:hint="eastAsia" w:ascii="宋体" w:hAnsi="宋体" w:cs="宋体"/>
                <w:bCs/>
                <w:sz w:val="24"/>
                <w:szCs w:val="24"/>
              </w:rPr>
            </w:pPr>
            <w:r>
              <w:rPr>
                <w:rFonts w:hint="eastAsia" w:ascii="宋体" w:hAnsi="宋体" w:cs="宋体"/>
                <w:bCs/>
                <w:sz w:val="24"/>
                <w:szCs w:val="24"/>
              </w:rPr>
              <w:t>一对二</w:t>
            </w:r>
          </w:p>
        </w:tc>
        <w:tc>
          <w:tcPr>
            <w:tcW w:w="1184" w:type="dxa"/>
            <w:noWrap w:val="0"/>
            <w:vAlign w:val="center"/>
          </w:tcPr>
          <w:p w14:paraId="3131F152">
            <w:pPr>
              <w:spacing w:line="360" w:lineRule="auto"/>
              <w:jc w:val="center"/>
              <w:rPr>
                <w:rFonts w:hint="eastAsia" w:ascii="宋体" w:hAnsi="宋体" w:cs="宋体"/>
                <w:bCs/>
                <w:sz w:val="24"/>
                <w:szCs w:val="24"/>
              </w:rPr>
            </w:pPr>
            <w:r>
              <w:rPr>
                <w:rFonts w:hint="eastAsia" w:ascii="宋体" w:hAnsi="宋体" w:cs="宋体"/>
                <w:bCs/>
                <w:sz w:val="24"/>
                <w:szCs w:val="24"/>
              </w:rPr>
              <w:t>一对多</w:t>
            </w:r>
          </w:p>
        </w:tc>
      </w:tr>
      <w:tr w14:paraId="16C7C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noWrap w:val="0"/>
            <w:vAlign w:val="center"/>
          </w:tcPr>
          <w:p w14:paraId="703843D4">
            <w:pPr>
              <w:spacing w:line="360" w:lineRule="auto"/>
              <w:jc w:val="center"/>
              <w:rPr>
                <w:rFonts w:hint="eastAsia" w:ascii="宋体" w:hAnsi="宋体" w:cs="宋体"/>
                <w:bCs/>
                <w:sz w:val="24"/>
                <w:szCs w:val="24"/>
              </w:rPr>
            </w:pPr>
            <w:r>
              <w:rPr>
                <w:rFonts w:hint="eastAsia" w:ascii="宋体" w:hAnsi="宋体" w:cs="宋体"/>
                <w:bCs/>
                <w:sz w:val="24"/>
                <w:szCs w:val="24"/>
              </w:rPr>
              <w:t>300</w:t>
            </w:r>
          </w:p>
        </w:tc>
        <w:tc>
          <w:tcPr>
            <w:tcW w:w="1136" w:type="dxa"/>
            <w:noWrap w:val="0"/>
            <w:vAlign w:val="center"/>
          </w:tcPr>
          <w:p w14:paraId="0FB27D93">
            <w:pPr>
              <w:spacing w:line="360" w:lineRule="auto"/>
              <w:jc w:val="center"/>
              <w:rPr>
                <w:rFonts w:hint="eastAsia" w:ascii="宋体" w:hAnsi="宋体" w:cs="宋体"/>
                <w:bCs/>
                <w:sz w:val="24"/>
                <w:szCs w:val="24"/>
              </w:rPr>
            </w:pPr>
            <w:r>
              <w:rPr>
                <w:rFonts w:hint="eastAsia" w:ascii="宋体" w:hAnsi="宋体" w:cs="宋体"/>
                <w:bCs/>
                <w:sz w:val="24"/>
                <w:szCs w:val="24"/>
              </w:rPr>
              <w:t>200</w:t>
            </w:r>
          </w:p>
        </w:tc>
        <w:tc>
          <w:tcPr>
            <w:tcW w:w="1134" w:type="dxa"/>
            <w:noWrap w:val="0"/>
            <w:vAlign w:val="center"/>
          </w:tcPr>
          <w:p w14:paraId="483F3C1D">
            <w:pPr>
              <w:spacing w:line="360" w:lineRule="auto"/>
              <w:jc w:val="center"/>
              <w:rPr>
                <w:rFonts w:ascii="宋体" w:hAnsi="宋体" w:cs="宋体"/>
                <w:bCs/>
                <w:sz w:val="24"/>
                <w:szCs w:val="24"/>
              </w:rPr>
            </w:pPr>
            <w:r>
              <w:rPr>
                <w:rFonts w:hint="eastAsia" w:ascii="宋体" w:hAnsi="宋体" w:cs="宋体"/>
                <w:bCs/>
                <w:color w:val="auto"/>
                <w:sz w:val="24"/>
                <w:szCs w:val="24"/>
              </w:rPr>
              <w:t>150</w:t>
            </w:r>
          </w:p>
        </w:tc>
        <w:tc>
          <w:tcPr>
            <w:tcW w:w="1134" w:type="dxa"/>
            <w:noWrap w:val="0"/>
            <w:vAlign w:val="center"/>
          </w:tcPr>
          <w:p w14:paraId="28438F1B">
            <w:pPr>
              <w:spacing w:line="360" w:lineRule="auto"/>
              <w:jc w:val="center"/>
              <w:rPr>
                <w:rFonts w:hint="eastAsia" w:ascii="宋体" w:hAnsi="宋体" w:cs="宋体"/>
                <w:bCs/>
                <w:sz w:val="24"/>
                <w:szCs w:val="24"/>
              </w:rPr>
            </w:pPr>
            <w:r>
              <w:rPr>
                <w:rFonts w:hint="eastAsia" w:ascii="宋体" w:hAnsi="宋体" w:cs="宋体"/>
                <w:bCs/>
                <w:sz w:val="24"/>
                <w:szCs w:val="24"/>
              </w:rPr>
              <w:t>300</w:t>
            </w:r>
          </w:p>
        </w:tc>
        <w:tc>
          <w:tcPr>
            <w:tcW w:w="1134" w:type="dxa"/>
            <w:noWrap w:val="0"/>
            <w:vAlign w:val="center"/>
          </w:tcPr>
          <w:p w14:paraId="51C40A55">
            <w:pPr>
              <w:spacing w:line="360" w:lineRule="auto"/>
              <w:jc w:val="center"/>
              <w:rPr>
                <w:rFonts w:hint="eastAsia" w:ascii="宋体" w:hAnsi="宋体" w:cs="宋体"/>
                <w:bCs/>
                <w:sz w:val="24"/>
                <w:szCs w:val="24"/>
              </w:rPr>
            </w:pPr>
            <w:r>
              <w:rPr>
                <w:rFonts w:hint="eastAsia" w:ascii="宋体" w:hAnsi="宋体" w:cs="宋体"/>
                <w:bCs/>
                <w:sz w:val="24"/>
                <w:szCs w:val="24"/>
              </w:rPr>
              <w:t>130</w:t>
            </w:r>
          </w:p>
        </w:tc>
        <w:tc>
          <w:tcPr>
            <w:tcW w:w="992" w:type="dxa"/>
            <w:noWrap w:val="0"/>
            <w:vAlign w:val="center"/>
          </w:tcPr>
          <w:p w14:paraId="7CD3B332">
            <w:pPr>
              <w:spacing w:line="360" w:lineRule="auto"/>
              <w:jc w:val="center"/>
              <w:rPr>
                <w:rFonts w:hint="eastAsia" w:ascii="宋体" w:hAnsi="宋体" w:cs="宋体"/>
                <w:bCs/>
                <w:sz w:val="24"/>
                <w:szCs w:val="24"/>
              </w:rPr>
            </w:pPr>
            <w:r>
              <w:rPr>
                <w:rFonts w:hint="eastAsia" w:ascii="宋体" w:hAnsi="宋体" w:cs="宋体"/>
                <w:bCs/>
                <w:sz w:val="24"/>
                <w:szCs w:val="24"/>
              </w:rPr>
              <w:t>550</w:t>
            </w:r>
          </w:p>
        </w:tc>
        <w:tc>
          <w:tcPr>
            <w:tcW w:w="1276" w:type="dxa"/>
            <w:noWrap w:val="0"/>
            <w:vAlign w:val="center"/>
          </w:tcPr>
          <w:p w14:paraId="54118018">
            <w:pPr>
              <w:spacing w:line="360" w:lineRule="auto"/>
              <w:jc w:val="center"/>
              <w:rPr>
                <w:rFonts w:hint="eastAsia" w:ascii="宋体" w:hAnsi="宋体" w:cs="宋体"/>
                <w:bCs/>
                <w:sz w:val="24"/>
                <w:szCs w:val="24"/>
              </w:rPr>
            </w:pPr>
            <w:r>
              <w:rPr>
                <w:rFonts w:hint="eastAsia" w:ascii="宋体" w:hAnsi="宋体" w:cs="宋体"/>
                <w:bCs/>
                <w:sz w:val="24"/>
                <w:szCs w:val="24"/>
              </w:rPr>
              <w:t>400</w:t>
            </w:r>
          </w:p>
        </w:tc>
        <w:tc>
          <w:tcPr>
            <w:tcW w:w="1184" w:type="dxa"/>
            <w:noWrap w:val="0"/>
            <w:vAlign w:val="center"/>
          </w:tcPr>
          <w:p w14:paraId="4975B607">
            <w:pPr>
              <w:spacing w:line="360" w:lineRule="auto"/>
              <w:jc w:val="center"/>
              <w:rPr>
                <w:rFonts w:hint="eastAsia" w:ascii="宋体" w:hAnsi="宋体" w:cs="宋体"/>
                <w:bCs/>
                <w:sz w:val="24"/>
                <w:szCs w:val="24"/>
              </w:rPr>
            </w:pPr>
            <w:r>
              <w:rPr>
                <w:rFonts w:hint="eastAsia" w:ascii="宋体" w:hAnsi="宋体" w:cs="宋体"/>
                <w:bCs/>
                <w:sz w:val="24"/>
                <w:szCs w:val="24"/>
              </w:rPr>
              <w:t>200</w:t>
            </w:r>
          </w:p>
        </w:tc>
      </w:tr>
    </w:tbl>
    <w:p w14:paraId="354993FA">
      <w:pPr>
        <w:spacing w:line="360" w:lineRule="auto"/>
        <w:rPr>
          <w:rFonts w:hint="eastAsia" w:ascii="宋体" w:hAnsi="宋体" w:cs="宋体"/>
          <w:bCs/>
          <w:sz w:val="24"/>
          <w:szCs w:val="24"/>
        </w:rPr>
      </w:pPr>
    </w:p>
    <w:p w14:paraId="0144BBE8">
      <w:pPr>
        <w:spacing w:line="360" w:lineRule="auto"/>
        <w:rPr>
          <w:rFonts w:ascii="宋体" w:hAnsi="宋体"/>
          <w:sz w:val="24"/>
        </w:rPr>
      </w:pPr>
      <w:r>
        <w:rPr>
          <w:rFonts w:hint="eastAsia" w:ascii="宋体" w:hAnsi="宋体" w:cs="宋体"/>
          <w:bCs/>
          <w:sz w:val="24"/>
          <w:szCs w:val="24"/>
        </w:rPr>
        <w:t>1.2.2投标人需报出非免陪照护服务的医院管理费率，每2个月</w:t>
      </w:r>
      <w:r>
        <w:rPr>
          <w:rFonts w:hint="eastAsia" w:ascii="宋体" w:hAnsi="宋体"/>
          <w:sz w:val="24"/>
        </w:rPr>
        <w:t>上交一次医院管理费用。</w:t>
      </w:r>
    </w:p>
    <w:p w14:paraId="68C97358">
      <w:pPr>
        <w:spacing w:line="360" w:lineRule="auto"/>
        <w:rPr>
          <w:rFonts w:hint="eastAsia" w:ascii="宋体" w:hAnsi="宋体" w:cs="宋体"/>
          <w:bCs/>
          <w:sz w:val="24"/>
          <w:szCs w:val="24"/>
        </w:rPr>
      </w:pPr>
      <w:r>
        <w:rPr>
          <w:rFonts w:hint="eastAsia" w:ascii="宋体" w:hAnsi="宋体"/>
          <w:sz w:val="24"/>
        </w:rPr>
        <w:t>1.3投标人负责陪护服务所需的人员成本、福利、工具耗材、税金、保险、管理费、支付医院签约方管理及资源消耗费用等。</w:t>
      </w:r>
    </w:p>
    <w:p w14:paraId="78A4BFF1">
      <w:pPr>
        <w:adjustRightInd w:val="0"/>
        <w:snapToGrid w:val="0"/>
        <w:spacing w:line="360" w:lineRule="auto"/>
        <w:rPr>
          <w:rFonts w:hint="eastAsia" w:ascii="宋体" w:hAnsi="宋体"/>
          <w:b/>
          <w:bCs/>
          <w:sz w:val="24"/>
          <w:szCs w:val="24"/>
        </w:rPr>
      </w:pPr>
      <w:r>
        <w:rPr>
          <w:rFonts w:hint="eastAsia" w:ascii="宋体" w:hAnsi="宋体"/>
          <w:b/>
          <w:bCs/>
          <w:sz w:val="24"/>
          <w:szCs w:val="24"/>
        </w:rPr>
        <w:t>（四）服务要求</w:t>
      </w:r>
    </w:p>
    <w:p w14:paraId="27CD7F7D">
      <w:pPr>
        <w:adjustRightInd w:val="0"/>
        <w:snapToGrid w:val="0"/>
        <w:spacing w:line="360" w:lineRule="auto"/>
        <w:rPr>
          <w:rFonts w:hint="eastAsia" w:ascii="宋体" w:hAnsi="宋体"/>
          <w:b/>
          <w:bCs/>
          <w:sz w:val="24"/>
          <w:szCs w:val="24"/>
        </w:rPr>
      </w:pPr>
      <w:r>
        <w:rPr>
          <w:rFonts w:hint="eastAsia" w:ascii="宋体" w:hAnsi="宋体"/>
          <w:b/>
          <w:bCs/>
          <w:sz w:val="24"/>
          <w:szCs w:val="24"/>
        </w:rPr>
        <w:t>（1）项目概况</w:t>
      </w:r>
    </w:p>
    <w:p w14:paraId="2A001DEC">
      <w:pPr>
        <w:adjustRightInd w:val="0"/>
        <w:snapToGrid w:val="0"/>
        <w:spacing w:line="360" w:lineRule="auto"/>
        <w:ind w:firstLine="420"/>
        <w:rPr>
          <w:rFonts w:hint="eastAsia" w:ascii="宋体" w:hAnsi="宋体"/>
          <w:sz w:val="24"/>
          <w:szCs w:val="24"/>
        </w:rPr>
      </w:pPr>
      <w:r>
        <w:rPr>
          <w:rFonts w:hint="eastAsia" w:ascii="宋体" w:hAnsi="宋体"/>
          <w:sz w:val="24"/>
          <w:szCs w:val="24"/>
        </w:rPr>
        <w:t>为积极应对人口老龄化，更好满足人民群众多样化、多层次和高品质的护理服务需求，减少患者在院期间家属陪护压力，有效改善患者就医体验。根据上海市卫生健康委员会关于试点开展“免陪照护服务”工作通知，及上海市《免陪照护服务基本规范》(T/SNHA 0012) 及相关配套文件要求，需开展“免陪照护服务”推进工作。</w:t>
      </w:r>
      <w:r>
        <w:rPr>
          <w:rFonts w:hint="eastAsia" w:ascii="宋体" w:hAnsi="宋体" w:cs="宋体"/>
          <w:bCs/>
          <w:sz w:val="24"/>
          <w:szCs w:val="24"/>
        </w:rPr>
        <w:t>投标人</w:t>
      </w:r>
      <w:r>
        <w:rPr>
          <w:rFonts w:hint="eastAsia" w:ascii="宋体" w:hAnsi="宋体"/>
          <w:sz w:val="24"/>
          <w:szCs w:val="24"/>
        </w:rPr>
        <w:t>须严格按照《上海市卫生健康委员会关于试点开展“免陪照护服务”工作的通知》、制定详细的服务实施方案、标准化工作流程、质量管理与监控机制、应急预案等，并向招标人（医院）提供合格的医疗护理员及相应的管理服务。服务对象仅限于本院住院部中“无家属陪护或家属无法有效陪护”且医嘱确定为“特级护理”或“一级护理”的患者。</w:t>
      </w:r>
    </w:p>
    <w:p w14:paraId="30B6D32D">
      <w:pPr>
        <w:adjustRightInd w:val="0"/>
        <w:snapToGrid w:val="0"/>
        <w:spacing w:line="360" w:lineRule="auto"/>
        <w:ind w:firstLine="420"/>
        <w:rPr>
          <w:rFonts w:ascii="宋体" w:hAnsi="宋体"/>
          <w:sz w:val="24"/>
          <w:szCs w:val="24"/>
        </w:rPr>
      </w:pPr>
      <w:r>
        <w:rPr>
          <w:rFonts w:hint="eastAsia" w:ascii="宋体" w:hAnsi="宋体" w:cs="宋体"/>
          <w:bCs/>
          <w:sz w:val="24"/>
          <w:szCs w:val="24"/>
        </w:rPr>
        <w:t>投标人</w:t>
      </w:r>
      <w:r>
        <w:rPr>
          <w:rFonts w:hint="eastAsia" w:ascii="宋体" w:hAnsi="宋体"/>
          <w:sz w:val="24"/>
          <w:szCs w:val="24"/>
        </w:rPr>
        <w:t>需根据在岗配置和资质要求提供相应护理员，由医疗机构的医疗护理员，在护士的指导下为住院特级护理、Ⅰ级护理患者提供24小时不间断的生活照护服务。</w:t>
      </w:r>
    </w:p>
    <w:p w14:paraId="13A04B68">
      <w:pPr>
        <w:adjustRightInd w:val="0"/>
        <w:snapToGrid w:val="0"/>
        <w:spacing w:line="360" w:lineRule="auto"/>
        <w:rPr>
          <w:rFonts w:ascii="宋体" w:hAnsi="宋体"/>
          <w:b/>
          <w:bCs/>
          <w:sz w:val="24"/>
          <w:szCs w:val="24"/>
        </w:rPr>
      </w:pPr>
      <w:r>
        <w:rPr>
          <w:rFonts w:hint="eastAsia" w:ascii="宋体" w:hAnsi="宋体"/>
          <w:sz w:val="24"/>
          <w:szCs w:val="24"/>
        </w:rPr>
        <w:t>2、非免陪照护服务</w:t>
      </w:r>
    </w:p>
    <w:p w14:paraId="7554C5E2">
      <w:pPr>
        <w:adjustRightInd w:val="0"/>
        <w:snapToGrid w:val="0"/>
        <w:spacing w:line="360" w:lineRule="auto"/>
        <w:rPr>
          <w:rFonts w:ascii="宋体" w:hAnsi="宋体"/>
          <w:sz w:val="24"/>
          <w:szCs w:val="24"/>
        </w:rPr>
      </w:pPr>
      <w:r>
        <w:rPr>
          <w:rFonts w:hint="eastAsia" w:ascii="宋体" w:hAnsi="宋体"/>
          <w:sz w:val="24"/>
          <w:szCs w:val="24"/>
        </w:rPr>
        <w:t>针对未进入免陪照护服务的患者，投标人需提供相应的照护服务。</w:t>
      </w:r>
    </w:p>
    <w:p w14:paraId="46F896A0">
      <w:pPr>
        <w:adjustRightInd w:val="0"/>
        <w:snapToGrid w:val="0"/>
        <w:spacing w:line="360" w:lineRule="auto"/>
        <w:rPr>
          <w:rFonts w:hint="eastAsia" w:ascii="宋体" w:hAnsi="宋体"/>
          <w:sz w:val="24"/>
          <w:szCs w:val="24"/>
        </w:rPr>
      </w:pPr>
      <w:r>
        <w:rPr>
          <w:rFonts w:hint="eastAsia" w:ascii="宋体" w:hAnsi="宋体"/>
          <w:sz w:val="24"/>
          <w:szCs w:val="24"/>
        </w:rPr>
        <w:t>3、具体服务内容包括日常生活照护与个人卫生；在护士指导下的提供患者安全与基础协助，协助护士进行非侵入性、非技术性的基础观察与照护；在护士指导下进行病区环境与辅助工作；同时与患者、家属及医护人员进行有效沟通，及时关注患者心理变化，提供情感支持。</w:t>
      </w:r>
      <w:r>
        <w:rPr>
          <w:rFonts w:hint="eastAsia" w:ascii="宋体" w:hAnsi="宋体" w:cs="宋体"/>
          <w:bCs/>
          <w:sz w:val="24"/>
          <w:szCs w:val="24"/>
        </w:rPr>
        <w:t>投标人</w:t>
      </w:r>
      <w:r>
        <w:rPr>
          <w:rFonts w:hint="eastAsia" w:ascii="宋体" w:hAnsi="宋体"/>
          <w:sz w:val="24"/>
          <w:szCs w:val="24"/>
        </w:rPr>
        <w:t>是医疗护理员培训与考核的责任主体，须制定详细的年度、月度培训计划，报医院备案。医院护理部及相关部门有权随时对医疗护理员服务质量进行日常巡查、专项检查和随机抽查。</w:t>
      </w:r>
    </w:p>
    <w:p w14:paraId="4CF5FB64">
      <w:pPr>
        <w:adjustRightInd w:val="0"/>
        <w:snapToGrid w:val="0"/>
        <w:spacing w:line="360" w:lineRule="auto"/>
        <w:rPr>
          <w:rFonts w:hint="eastAsia" w:ascii="宋体" w:hAnsi="宋体"/>
          <w:b/>
          <w:bCs/>
          <w:sz w:val="24"/>
          <w:szCs w:val="24"/>
        </w:rPr>
      </w:pPr>
      <w:r>
        <w:rPr>
          <w:rFonts w:hint="eastAsia" w:ascii="宋体" w:hAnsi="宋体"/>
          <w:b/>
          <w:bCs/>
          <w:sz w:val="24"/>
          <w:szCs w:val="24"/>
        </w:rPr>
        <w:t>（2）投标单位要求</w:t>
      </w:r>
    </w:p>
    <w:p w14:paraId="13CA85CD">
      <w:pPr>
        <w:numPr>
          <w:ilvl w:val="0"/>
          <w:numId w:val="2"/>
        </w:numPr>
        <w:spacing w:line="360" w:lineRule="auto"/>
        <w:rPr>
          <w:rFonts w:hint="eastAsia" w:ascii="宋体" w:hAnsi="宋体" w:cs="宋体"/>
          <w:sz w:val="24"/>
          <w:szCs w:val="24"/>
        </w:rPr>
      </w:pPr>
      <w:r>
        <w:rPr>
          <w:rFonts w:hint="eastAsia" w:ascii="宋体" w:hAnsi="宋体" w:cs="宋体"/>
          <w:bCs/>
          <w:sz w:val="24"/>
          <w:szCs w:val="24"/>
        </w:rPr>
        <w:t>投标人</w:t>
      </w:r>
      <w:r>
        <w:rPr>
          <w:rFonts w:hint="eastAsia" w:ascii="宋体" w:hAnsi="宋体" w:cs="宋体"/>
          <w:sz w:val="24"/>
          <w:szCs w:val="24"/>
        </w:rPr>
        <w:t>应具备相应经营许可证，具备与所提供服务相适应的资质与能力。</w:t>
      </w:r>
    </w:p>
    <w:p w14:paraId="0AF3B089">
      <w:pPr>
        <w:numPr>
          <w:ilvl w:val="0"/>
          <w:numId w:val="2"/>
        </w:numPr>
        <w:spacing w:line="360" w:lineRule="auto"/>
        <w:rPr>
          <w:rFonts w:hint="eastAsia" w:ascii="宋体" w:hAnsi="宋体" w:cs="宋体"/>
          <w:sz w:val="24"/>
          <w:szCs w:val="24"/>
        </w:rPr>
      </w:pPr>
      <w:r>
        <w:rPr>
          <w:rFonts w:hint="eastAsia" w:ascii="宋体" w:hAnsi="宋体" w:cs="宋体"/>
          <w:sz w:val="24"/>
          <w:szCs w:val="24"/>
        </w:rPr>
        <w:t>专业资质与能力：具备与提供医疗护理服务相适应的专业管理团队和运营能力；具备完善的医疗护理员招聘、培训、管理、考核和风险控制体系；承诺所派遣的提供</w:t>
      </w:r>
      <w:r>
        <w:rPr>
          <w:rFonts w:hint="eastAsia" w:ascii="宋体" w:hAnsi="宋体"/>
          <w:sz w:val="24"/>
          <w:szCs w:val="24"/>
        </w:rPr>
        <w:t>免陪照护服务的</w:t>
      </w:r>
      <w:r>
        <w:rPr>
          <w:rFonts w:hint="eastAsia" w:ascii="宋体" w:hAnsi="宋体" w:cs="宋体"/>
          <w:sz w:val="24"/>
          <w:szCs w:val="24"/>
        </w:rPr>
        <w:t>医疗护理员均符合《上海市“免陪照护”医疗护理员管理办法》及《免陪照护服务基本规范》(T/SNHA 0012)（以下简称“基本规范”）中关于资质、培训、健康等方面的要求。</w:t>
      </w:r>
    </w:p>
    <w:p w14:paraId="6A94C1E4">
      <w:pPr>
        <w:adjustRightInd w:val="0"/>
        <w:snapToGrid w:val="0"/>
        <w:spacing w:line="360" w:lineRule="auto"/>
        <w:rPr>
          <w:rFonts w:hint="eastAsia" w:ascii="宋体" w:hAnsi="宋体"/>
          <w:b/>
          <w:bCs/>
          <w:sz w:val="24"/>
          <w:szCs w:val="24"/>
        </w:rPr>
      </w:pPr>
      <w:r>
        <w:rPr>
          <w:rFonts w:hint="eastAsia" w:ascii="宋体" w:hAnsi="宋体"/>
          <w:b/>
          <w:bCs/>
          <w:sz w:val="24"/>
          <w:szCs w:val="24"/>
        </w:rPr>
        <w:t>（3）总体要求</w:t>
      </w:r>
    </w:p>
    <w:p w14:paraId="0E8B6827">
      <w:pPr>
        <w:numPr>
          <w:ilvl w:val="0"/>
          <w:numId w:val="3"/>
        </w:numPr>
        <w:spacing w:line="360" w:lineRule="auto"/>
        <w:rPr>
          <w:rFonts w:hint="eastAsia" w:ascii="宋体" w:hAnsi="宋体" w:cs="宋体"/>
          <w:bCs/>
          <w:color w:val="FF0000"/>
          <w:sz w:val="24"/>
          <w:szCs w:val="24"/>
        </w:rPr>
      </w:pPr>
      <w:r>
        <w:rPr>
          <w:rFonts w:hint="eastAsia" w:ascii="宋体" w:hAnsi="宋体" w:cs="宋体"/>
          <w:bCs/>
          <w:color w:val="auto"/>
          <w:sz w:val="24"/>
          <w:szCs w:val="24"/>
        </w:rPr>
        <w:t>服务床位数量：杨浦院区和奉贤院区所有重症监护室、住院病区等预计3299</w:t>
      </w:r>
      <w:r>
        <w:rPr>
          <w:rFonts w:hint="eastAsia" w:ascii="宋体" w:hAnsi="宋体" w:cs="宋体"/>
          <w:bCs/>
          <w:sz w:val="24"/>
          <w:szCs w:val="24"/>
        </w:rPr>
        <w:t>张床位。</w:t>
      </w:r>
    </w:p>
    <w:p w14:paraId="7419EC7E">
      <w:pPr>
        <w:numPr>
          <w:ilvl w:val="0"/>
          <w:numId w:val="3"/>
        </w:numPr>
        <w:spacing w:line="360" w:lineRule="auto"/>
        <w:rPr>
          <w:rFonts w:hint="eastAsia" w:ascii="宋体" w:hAnsi="宋体" w:cs="宋体"/>
          <w:bCs/>
          <w:sz w:val="24"/>
          <w:szCs w:val="24"/>
        </w:rPr>
      </w:pPr>
      <w:r>
        <w:rPr>
          <w:rFonts w:hint="eastAsia" w:ascii="宋体" w:hAnsi="宋体" w:cs="宋体"/>
          <w:bCs/>
          <w:sz w:val="24"/>
          <w:szCs w:val="24"/>
        </w:rPr>
        <w:t>付款方式：</w:t>
      </w:r>
    </w:p>
    <w:p w14:paraId="56081532">
      <w:pPr>
        <w:spacing w:line="360" w:lineRule="auto"/>
        <w:rPr>
          <w:rFonts w:hint="eastAsia" w:ascii="宋体" w:hAnsi="宋体" w:cs="宋体"/>
          <w:bCs/>
          <w:sz w:val="24"/>
          <w:szCs w:val="24"/>
        </w:rPr>
      </w:pPr>
      <w:r>
        <w:rPr>
          <w:rFonts w:hint="eastAsia" w:ascii="宋体" w:hAnsi="宋体" w:cs="宋体"/>
          <w:bCs/>
          <w:sz w:val="24"/>
          <w:szCs w:val="24"/>
        </w:rPr>
        <w:t>2.1结算方式：根据实际服务患者人天数，</w:t>
      </w:r>
      <w:r>
        <w:rPr>
          <w:rFonts w:hint="eastAsia" w:ascii="宋体" w:hAnsi="宋体" w:cs="宋体"/>
          <w:bCs/>
          <w:sz w:val="24"/>
          <w:szCs w:val="24"/>
          <w:lang w:val="en-US" w:eastAsia="zh-CN"/>
        </w:rPr>
        <w:t>每2</w:t>
      </w:r>
      <w:r>
        <w:rPr>
          <w:rFonts w:hint="eastAsia" w:ascii="宋体" w:hAnsi="宋体" w:cs="宋体"/>
          <w:bCs/>
          <w:sz w:val="24"/>
          <w:szCs w:val="24"/>
        </w:rPr>
        <w:t>月与投标人结算费用。结算依据为医院审核确认的考勤与服务质量评估记录。</w:t>
      </w:r>
    </w:p>
    <w:p w14:paraId="17D9B466">
      <w:pPr>
        <w:spacing w:line="360" w:lineRule="auto"/>
        <w:rPr>
          <w:rFonts w:hint="eastAsia" w:ascii="宋体" w:hAnsi="宋体" w:cs="宋体"/>
          <w:bCs/>
          <w:sz w:val="24"/>
          <w:szCs w:val="24"/>
        </w:rPr>
      </w:pPr>
    </w:p>
    <w:p w14:paraId="0094C084">
      <w:pPr>
        <w:numPr>
          <w:ilvl w:val="0"/>
          <w:numId w:val="3"/>
        </w:numPr>
        <w:spacing w:line="360" w:lineRule="auto"/>
        <w:rPr>
          <w:rFonts w:hint="eastAsia" w:ascii="宋体" w:hAnsi="宋体" w:cs="宋体"/>
          <w:bCs/>
          <w:sz w:val="24"/>
          <w:szCs w:val="24"/>
        </w:rPr>
      </w:pPr>
      <w:r>
        <w:rPr>
          <w:rFonts w:hint="eastAsia" w:ascii="宋体" w:hAnsi="宋体" w:cs="宋体"/>
          <w:bCs/>
          <w:sz w:val="24"/>
          <w:szCs w:val="24"/>
        </w:rPr>
        <w:t>售后服务要求：</w:t>
      </w:r>
    </w:p>
    <w:p w14:paraId="32906578">
      <w:pPr>
        <w:numPr>
          <w:ilvl w:val="1"/>
          <w:numId w:val="3"/>
        </w:numPr>
        <w:spacing w:line="360" w:lineRule="auto"/>
        <w:rPr>
          <w:rFonts w:hint="eastAsia" w:ascii="宋体" w:hAnsi="宋体" w:cs="宋体"/>
          <w:bCs/>
          <w:sz w:val="24"/>
          <w:szCs w:val="24"/>
        </w:rPr>
      </w:pPr>
      <w:r>
        <w:rPr>
          <w:rFonts w:hint="eastAsia" w:ascii="宋体" w:hAnsi="宋体" w:cs="宋体"/>
          <w:bCs/>
          <w:sz w:val="24"/>
          <w:szCs w:val="24"/>
        </w:rPr>
        <w:t>患者及家属满意度：招标人定期组织满意度测评，投标人需承诺患者及家属综合满意度达到95%以上（以招标人测评结果为准）。</w:t>
      </w:r>
    </w:p>
    <w:p w14:paraId="741CC2D2">
      <w:pPr>
        <w:numPr>
          <w:ilvl w:val="1"/>
          <w:numId w:val="3"/>
        </w:numPr>
        <w:spacing w:line="360" w:lineRule="auto"/>
        <w:rPr>
          <w:rFonts w:hint="eastAsia" w:ascii="宋体" w:hAnsi="宋体" w:cs="宋体"/>
          <w:bCs/>
          <w:sz w:val="24"/>
          <w:szCs w:val="24"/>
        </w:rPr>
      </w:pPr>
      <w:r>
        <w:rPr>
          <w:rFonts w:hint="eastAsia" w:ascii="宋体" w:hAnsi="宋体" w:cs="宋体"/>
          <w:bCs/>
          <w:sz w:val="24"/>
          <w:szCs w:val="24"/>
        </w:rPr>
        <w:t>护理部评价：护理部对医疗护理员服务的综合评价合格率应达到95%以上。如达不到，</w:t>
      </w:r>
      <w:r>
        <w:rPr>
          <w:rFonts w:hint="eastAsia" w:ascii="宋体" w:hAnsi="宋体" w:cs="宋体"/>
          <w:bCs/>
          <w:color w:val="auto"/>
          <w:sz w:val="24"/>
          <w:szCs w:val="24"/>
        </w:rPr>
        <w:t>供应商自报惩罚方案。</w:t>
      </w:r>
    </w:p>
    <w:p w14:paraId="10EF8FD4">
      <w:pPr>
        <w:numPr>
          <w:ilvl w:val="1"/>
          <w:numId w:val="3"/>
        </w:numPr>
        <w:spacing w:line="360" w:lineRule="auto"/>
        <w:rPr>
          <w:rFonts w:hint="eastAsia" w:ascii="宋体" w:hAnsi="宋体" w:cs="宋体"/>
          <w:bCs/>
          <w:sz w:val="24"/>
          <w:szCs w:val="24"/>
        </w:rPr>
      </w:pPr>
      <w:r>
        <w:rPr>
          <w:rFonts w:hint="eastAsia" w:ascii="宋体" w:hAnsi="宋体" w:cs="宋体"/>
          <w:bCs/>
          <w:sz w:val="24"/>
          <w:szCs w:val="24"/>
        </w:rPr>
        <w:t>特殊情形扣减：如同一患者因服务质量原因连续更换3名及以上医疗护理员后仍表示不满意，经招标人核实确认后，该患者当月的照护服务费按85%结算。投标人须在接到通知后5个工作日内完成该患者的服务调整和整改。</w:t>
      </w:r>
    </w:p>
    <w:p w14:paraId="1DFE6F60">
      <w:pPr>
        <w:pStyle w:val="6"/>
        <w:numPr>
          <w:ilvl w:val="0"/>
          <w:numId w:val="3"/>
        </w:numPr>
        <w:spacing w:line="360" w:lineRule="auto"/>
        <w:ind w:firstLineChars="0"/>
        <w:rPr>
          <w:rFonts w:hint="eastAsia" w:ascii="宋体" w:hAnsi="宋体" w:cs="宋体"/>
          <w:color w:val="000000"/>
          <w:sz w:val="24"/>
        </w:rPr>
      </w:pPr>
      <w:r>
        <w:rPr>
          <w:rFonts w:hint="eastAsia" w:ascii="宋体" w:hAnsi="宋体" w:cs="宋体"/>
          <w:color w:val="000000"/>
          <w:sz w:val="24"/>
        </w:rPr>
        <w:t>双方协调沟通机制</w:t>
      </w:r>
    </w:p>
    <w:p w14:paraId="3CC95E42">
      <w:pPr>
        <w:pStyle w:val="6"/>
        <w:numPr>
          <w:ilvl w:val="1"/>
          <w:numId w:val="3"/>
        </w:numPr>
        <w:spacing w:line="360" w:lineRule="auto"/>
        <w:ind w:firstLineChars="0"/>
        <w:rPr>
          <w:rFonts w:hint="eastAsia" w:ascii="宋体" w:hAnsi="宋体" w:cs="宋体"/>
          <w:color w:val="000000"/>
          <w:sz w:val="24"/>
        </w:rPr>
      </w:pPr>
      <w:r>
        <w:rPr>
          <w:rFonts w:hint="eastAsia" w:ascii="宋体" w:hAnsi="宋体" w:cs="宋体"/>
          <w:color w:val="000000"/>
          <w:sz w:val="24"/>
        </w:rPr>
        <w:t>定期例会：每月召开一次工作协调会。</w:t>
      </w:r>
    </w:p>
    <w:p w14:paraId="093528ED">
      <w:pPr>
        <w:pStyle w:val="6"/>
        <w:numPr>
          <w:ilvl w:val="1"/>
          <w:numId w:val="3"/>
        </w:numPr>
        <w:spacing w:line="360" w:lineRule="auto"/>
        <w:ind w:firstLineChars="0"/>
        <w:rPr>
          <w:rFonts w:hint="eastAsia" w:ascii="宋体" w:hAnsi="宋体" w:cs="宋体"/>
          <w:color w:val="000000"/>
          <w:sz w:val="24"/>
        </w:rPr>
      </w:pPr>
      <w:r>
        <w:rPr>
          <w:rFonts w:hint="eastAsia" w:ascii="宋体" w:hAnsi="宋体" w:cs="宋体"/>
          <w:color w:val="000000"/>
          <w:sz w:val="24"/>
        </w:rPr>
        <w:t>地点与形式：会议在医院护理部指定地点举行，采用面对面书面与口头交流形式。会议需形成书面纪要，经双方确认后归档。</w:t>
      </w:r>
    </w:p>
    <w:p w14:paraId="32B5C682">
      <w:pPr>
        <w:pStyle w:val="6"/>
        <w:numPr>
          <w:ilvl w:val="1"/>
          <w:numId w:val="3"/>
        </w:numPr>
        <w:spacing w:line="360" w:lineRule="auto"/>
        <w:ind w:firstLineChars="0"/>
        <w:rPr>
          <w:rFonts w:hint="eastAsia" w:ascii="宋体" w:hAnsi="宋体" w:cs="宋体"/>
          <w:color w:val="000000"/>
          <w:sz w:val="24"/>
        </w:rPr>
      </w:pPr>
      <w:r>
        <w:rPr>
          <w:rFonts w:hint="eastAsia" w:ascii="宋体" w:hAnsi="宋体" w:cs="宋体"/>
          <w:color w:val="000000"/>
          <w:sz w:val="24"/>
        </w:rPr>
        <w:t>沟通事项：</w:t>
      </w:r>
    </w:p>
    <w:p w14:paraId="6CAF9010">
      <w:pPr>
        <w:pStyle w:val="6"/>
        <w:numPr>
          <w:ilvl w:val="2"/>
          <w:numId w:val="3"/>
        </w:numPr>
        <w:spacing w:line="360" w:lineRule="auto"/>
        <w:ind w:firstLineChars="0"/>
        <w:rPr>
          <w:rFonts w:hint="eastAsia" w:ascii="宋体" w:hAnsi="宋体" w:cs="宋体"/>
          <w:color w:val="000000"/>
          <w:sz w:val="24"/>
        </w:rPr>
      </w:pPr>
      <w:r>
        <w:rPr>
          <w:rFonts w:hint="eastAsia" w:ascii="宋体" w:hAnsi="宋体" w:cs="宋体"/>
          <w:color w:val="000000"/>
          <w:sz w:val="24"/>
        </w:rPr>
        <w:t>投标人方面：上月服务概况（覆盖人数、出勤、关键指标）、服务质量自查情况（含奖惩记录）、患者/家属/医护人员反馈意见及处理结果、投诉处理情况（含原因分析与整改措施）、医疗护理员培训计划执行情况（理论、技能、应急演练）、发生的特殊/不良事件报告（事件描述、调查过程、整改措施、处理意见）及其他需说明事项。</w:t>
      </w:r>
    </w:p>
    <w:p w14:paraId="48C1DB82">
      <w:pPr>
        <w:pStyle w:val="6"/>
        <w:numPr>
          <w:ilvl w:val="2"/>
          <w:numId w:val="3"/>
        </w:numPr>
        <w:spacing w:line="360" w:lineRule="auto"/>
        <w:ind w:firstLineChars="0"/>
        <w:rPr>
          <w:rFonts w:hint="eastAsia" w:ascii="宋体" w:hAnsi="宋体" w:cs="宋体"/>
          <w:color w:val="000000"/>
          <w:sz w:val="24"/>
        </w:rPr>
      </w:pPr>
      <w:r>
        <w:rPr>
          <w:rFonts w:hint="eastAsia" w:ascii="宋体" w:hAnsi="宋体" w:cs="宋体"/>
          <w:color w:val="000000"/>
          <w:sz w:val="24"/>
        </w:rPr>
        <w:t>医院方面：医院重点工作部署及对服务的新要求、患者及护理部满意度测评结果通报、日常质量督查中发现的问题、来自各方的投诉及反馈意见汇总、其他需协调解决的事项。</w:t>
      </w:r>
    </w:p>
    <w:p w14:paraId="106291D9">
      <w:pPr>
        <w:adjustRightInd w:val="0"/>
        <w:snapToGrid w:val="0"/>
        <w:spacing w:line="360" w:lineRule="auto"/>
        <w:rPr>
          <w:rFonts w:ascii="宋体" w:hAnsi="宋体"/>
          <w:b/>
          <w:bCs/>
          <w:sz w:val="24"/>
          <w:szCs w:val="24"/>
        </w:rPr>
      </w:pPr>
      <w:r>
        <w:rPr>
          <w:rFonts w:hint="eastAsia" w:ascii="宋体" w:hAnsi="宋体"/>
          <w:b/>
          <w:bCs/>
          <w:sz w:val="24"/>
          <w:szCs w:val="24"/>
        </w:rPr>
        <w:t>（4）服务范围与依据</w:t>
      </w:r>
    </w:p>
    <w:p w14:paraId="3828B4B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投标人须严格按照《上海市卫生健康委员会关于试点开展“免陪照护服务”工作的通知》、《免陪照护服务基本规范》(T/SNHA 0012) 及相关配套文件要求，制定详细的服务实施方案、标准化工作流程、质量管理与监控机制、应急预案等，并向采购方（医院）提供合格的医疗护理员及相应的管理服务。服务对象仅限于本院住院部中“无家属陪护或家属无法有效陪护”且医嘱确定为“特级护理”或“一级护理”的患者。由投标单位的医疗护理员，在护士的指导下为住院特级护理、Ⅰ级护理患者提供24小时不间断的生活照护服务。其他则进入“非免陪照护”服务模式。</w:t>
      </w:r>
    </w:p>
    <w:p w14:paraId="0B5D9F42">
      <w:pPr>
        <w:adjustRightInd w:val="0"/>
        <w:snapToGrid w:val="0"/>
        <w:spacing w:line="360" w:lineRule="auto"/>
        <w:rPr>
          <w:rFonts w:hint="eastAsia" w:ascii="宋体" w:hAnsi="宋体"/>
          <w:b/>
          <w:bCs/>
          <w:sz w:val="24"/>
          <w:szCs w:val="24"/>
        </w:rPr>
      </w:pPr>
      <w:r>
        <w:rPr>
          <w:rFonts w:hint="eastAsia" w:ascii="宋体" w:hAnsi="宋体"/>
          <w:b/>
          <w:bCs/>
          <w:sz w:val="24"/>
          <w:szCs w:val="24"/>
        </w:rPr>
        <w:t>（5）服务内容</w:t>
      </w:r>
    </w:p>
    <w:p w14:paraId="1C753FC5">
      <w:pPr>
        <w:numPr>
          <w:ilvl w:val="0"/>
          <w:numId w:val="4"/>
        </w:numPr>
        <w:spacing w:line="360" w:lineRule="auto"/>
        <w:rPr>
          <w:rFonts w:hint="eastAsia" w:ascii="宋体" w:hAnsi="宋体" w:cs="宋体"/>
          <w:color w:val="000000"/>
          <w:sz w:val="24"/>
          <w:szCs w:val="24"/>
        </w:rPr>
      </w:pPr>
      <w:r>
        <w:rPr>
          <w:rFonts w:hint="eastAsia" w:ascii="宋体" w:hAnsi="宋体" w:cs="宋体"/>
          <w:color w:val="000000"/>
          <w:sz w:val="24"/>
          <w:szCs w:val="24"/>
        </w:rPr>
        <w:t>日常生活照护与个人卫生：</w:t>
      </w:r>
    </w:p>
    <w:p w14:paraId="0F28097C">
      <w:pPr>
        <w:spacing w:line="360" w:lineRule="auto"/>
        <w:ind w:firstLine="420"/>
        <w:rPr>
          <w:rFonts w:hint="eastAsia" w:ascii="宋体" w:hAnsi="宋体" w:cs="宋体"/>
          <w:color w:val="000000"/>
          <w:sz w:val="24"/>
          <w:szCs w:val="24"/>
        </w:rPr>
      </w:pPr>
      <w:r>
        <w:rPr>
          <w:rFonts w:hint="eastAsia" w:ascii="宋体" w:hAnsi="宋体" w:cs="宋体"/>
          <w:color w:val="000000"/>
          <w:sz w:val="24"/>
          <w:szCs w:val="24"/>
        </w:rPr>
        <w:t>协助或帮助患者完成穿衣、脱衣、更换病员服。协助或帮助患者进行洗漱（洗脸、刷牙、漱口）、梳头、剃须（男性患者）、会阴清洁。协助或帮助患者修剪指（趾）甲（确保安全）。</w:t>
      </w:r>
    </w:p>
    <w:p w14:paraId="2C78C1F5">
      <w:pPr>
        <w:spacing w:line="360" w:lineRule="auto"/>
        <w:ind w:firstLine="420"/>
        <w:rPr>
          <w:rFonts w:hint="eastAsia" w:ascii="宋体" w:hAnsi="宋体" w:cs="宋体"/>
          <w:color w:val="000000"/>
          <w:sz w:val="24"/>
          <w:szCs w:val="24"/>
        </w:rPr>
      </w:pPr>
      <w:r>
        <w:rPr>
          <w:rFonts w:hint="eastAsia" w:ascii="宋体" w:hAnsi="宋体" w:cs="宋体"/>
          <w:color w:val="000000"/>
          <w:sz w:val="24"/>
          <w:szCs w:val="24"/>
        </w:rPr>
        <w:t>根据患者病情和需求，每天为患者进行全身或局部擦浴1-2次，保持皮肤清洁干燥，预防压疮。协助患者用餐：送餐、喂饭、喂水（注意温度、速度、体位），餐后清洁口腔（必要时）、清洗假牙及餐具。协助患者如厕（使用便盆、便壶）、更换尿布/纸尿裤、进行会阴护理，及时清理排泄物，保持清洁。协助患者床上移动、翻身、体位转换（每2小时或遵医嘱），协助患者下床活动（如助行器、轮椅使用）及安全转移（如上下床、入厕、检查）。注重患者隐私保护，操作时使用屏风或床帘遮挡。</w:t>
      </w:r>
    </w:p>
    <w:p w14:paraId="230F8630">
      <w:pPr>
        <w:numPr>
          <w:ilvl w:val="0"/>
          <w:numId w:val="4"/>
        </w:numPr>
        <w:spacing w:line="360" w:lineRule="auto"/>
        <w:rPr>
          <w:rFonts w:ascii="宋体" w:hAnsi="宋体" w:cs="宋体"/>
          <w:color w:val="000000"/>
          <w:sz w:val="24"/>
          <w:szCs w:val="24"/>
        </w:rPr>
      </w:pPr>
      <w:r>
        <w:rPr>
          <w:rFonts w:hint="eastAsia" w:ascii="宋体" w:hAnsi="宋体" w:cs="宋体"/>
          <w:color w:val="000000"/>
          <w:sz w:val="24"/>
          <w:szCs w:val="24"/>
        </w:rPr>
        <w:t>在护士指导下的患者安全与基础协助：按时为卧床患者翻身、叩背，及时更换潮湿污染的床单被服，保持床单位整洁干燥。密切观察患者冷暖需求，及时增减衣被。</w:t>
      </w:r>
    </w:p>
    <w:p w14:paraId="5BDDB5FE">
      <w:pPr>
        <w:numPr>
          <w:ilvl w:val="0"/>
          <w:numId w:val="4"/>
        </w:numPr>
        <w:spacing w:line="360" w:lineRule="auto"/>
        <w:rPr>
          <w:rFonts w:ascii="宋体" w:hAnsi="宋体" w:cs="宋体"/>
          <w:color w:val="000000"/>
          <w:sz w:val="24"/>
          <w:szCs w:val="24"/>
        </w:rPr>
      </w:pPr>
      <w:r>
        <w:rPr>
          <w:rFonts w:hint="eastAsia" w:ascii="宋体" w:hAnsi="宋体" w:cs="宋体"/>
          <w:color w:val="000000"/>
          <w:sz w:val="24"/>
          <w:szCs w:val="24"/>
        </w:rPr>
        <w:t>落实安全防护措施：正确使用床档、约束带（需遵医嘱并规范使用）；管理好热水袋、冰袋等物品，严防烫伤/冻伤；保持地面干燥无障碍物，严防患者跌倒/坠床；对高危走失患者加强看护。</w:t>
      </w:r>
    </w:p>
    <w:p w14:paraId="0BFC1758">
      <w:pPr>
        <w:numPr>
          <w:ilvl w:val="0"/>
          <w:numId w:val="4"/>
        </w:numPr>
        <w:spacing w:line="360" w:lineRule="auto"/>
        <w:rPr>
          <w:rFonts w:ascii="宋体" w:hAnsi="宋体" w:cs="宋体"/>
          <w:color w:val="000000"/>
          <w:sz w:val="24"/>
          <w:szCs w:val="24"/>
        </w:rPr>
      </w:pPr>
      <w:r>
        <w:rPr>
          <w:rFonts w:hint="eastAsia" w:ascii="宋体" w:hAnsi="宋体" w:cs="宋体"/>
          <w:color w:val="000000"/>
          <w:sz w:val="24"/>
          <w:szCs w:val="24"/>
        </w:rPr>
        <w:t>协助护士进行非侵入性、非技术性的基础观察与照护：</w:t>
      </w:r>
    </w:p>
    <w:p w14:paraId="2F23BDDC">
      <w:pPr>
        <w:spacing w:line="360" w:lineRule="auto"/>
        <w:ind w:firstLine="420"/>
        <w:rPr>
          <w:rFonts w:ascii="宋体" w:hAnsi="宋体" w:cs="宋体"/>
          <w:color w:val="000000"/>
          <w:sz w:val="24"/>
          <w:szCs w:val="24"/>
        </w:rPr>
      </w:pPr>
      <w:r>
        <w:rPr>
          <w:rFonts w:hint="eastAsia" w:ascii="宋体" w:hAnsi="宋体" w:cs="宋体"/>
          <w:color w:val="000000"/>
          <w:sz w:val="24"/>
          <w:szCs w:val="24"/>
        </w:rPr>
        <w:t>观察患者精神、情绪、心理状态，给予关心、安慰和心理支持。观察患者排泄物（尿、便）的性状、颜色、量，发现异常及时报告护士。观察治疗性管路（如输液管、氧气管、导尿管、引流管）是否在位、通畅、有无扭曲受压，发现异常及时报告护士。观察医疗设备（如监护仪、输液泵）运行是否正常（仅观察外观指示灯等，不操作），发现异常及时报告护士。</w:t>
      </w:r>
    </w:p>
    <w:p w14:paraId="7C19ED3C">
      <w:pPr>
        <w:spacing w:line="360" w:lineRule="auto"/>
        <w:ind w:firstLine="420"/>
        <w:rPr>
          <w:rFonts w:hint="eastAsia" w:ascii="宋体" w:hAnsi="宋体" w:cs="宋体"/>
          <w:color w:val="000000"/>
          <w:sz w:val="24"/>
          <w:szCs w:val="24"/>
        </w:rPr>
      </w:pPr>
      <w:r>
        <w:rPr>
          <w:rFonts w:hint="eastAsia" w:ascii="宋体" w:hAnsi="宋体" w:cs="宋体"/>
          <w:color w:val="000000"/>
          <w:sz w:val="24"/>
          <w:szCs w:val="24"/>
        </w:rPr>
        <w:t>协助患者按时服药（仅协助服药到口，不涉及药物管理）。在护士指导下，护送患者进行各项检查、治疗，确保转运安全。</w:t>
      </w:r>
    </w:p>
    <w:p w14:paraId="6228779D">
      <w:pPr>
        <w:numPr>
          <w:ilvl w:val="0"/>
          <w:numId w:val="4"/>
        </w:numPr>
        <w:spacing w:line="360" w:lineRule="auto"/>
        <w:rPr>
          <w:rFonts w:ascii="宋体" w:hAnsi="宋体" w:cs="宋体"/>
          <w:color w:val="000000"/>
          <w:sz w:val="24"/>
          <w:szCs w:val="24"/>
        </w:rPr>
      </w:pPr>
      <w:r>
        <w:rPr>
          <w:rFonts w:hint="eastAsia" w:ascii="宋体" w:hAnsi="宋体" w:cs="宋体"/>
          <w:color w:val="000000"/>
          <w:sz w:val="24"/>
          <w:szCs w:val="24"/>
        </w:rPr>
        <w:t>在护士指导下的病区环境与辅助工作：协助护士完成患者出院、转科或死亡后的床单位终末消毒处理。</w:t>
      </w:r>
    </w:p>
    <w:p w14:paraId="07025E07">
      <w:pPr>
        <w:numPr>
          <w:ilvl w:val="0"/>
          <w:numId w:val="4"/>
        </w:numPr>
        <w:spacing w:line="360" w:lineRule="auto"/>
        <w:rPr>
          <w:rFonts w:ascii="宋体" w:hAnsi="宋体" w:cs="宋体"/>
          <w:color w:val="000000"/>
          <w:sz w:val="24"/>
          <w:szCs w:val="24"/>
        </w:rPr>
      </w:pPr>
      <w:r>
        <w:rPr>
          <w:rFonts w:hint="eastAsia" w:ascii="宋体" w:hAnsi="宋体" w:cs="宋体"/>
          <w:color w:val="000000"/>
          <w:sz w:val="24"/>
          <w:szCs w:val="24"/>
        </w:rPr>
        <w:t>协助维护病室环境：定时开窗通风（避免对流风直吹患者），保持室内空气清新、物品摆放有序、公共区域整洁。</w:t>
      </w:r>
    </w:p>
    <w:p w14:paraId="3BBECEA0">
      <w:pPr>
        <w:numPr>
          <w:ilvl w:val="0"/>
          <w:numId w:val="4"/>
        </w:numPr>
        <w:spacing w:line="360" w:lineRule="auto"/>
        <w:rPr>
          <w:rFonts w:hint="eastAsia" w:ascii="宋体" w:hAnsi="宋体" w:cs="宋体"/>
          <w:color w:val="000000"/>
          <w:sz w:val="24"/>
          <w:szCs w:val="24"/>
        </w:rPr>
      </w:pPr>
      <w:r>
        <w:rPr>
          <w:rFonts w:hint="eastAsia" w:ascii="宋体" w:hAnsi="宋体" w:cs="宋体"/>
          <w:color w:val="000000"/>
          <w:sz w:val="24"/>
          <w:szCs w:val="24"/>
        </w:rPr>
        <w:t>协助做好病区安全管理工作：防火、防盗、防暑、防寒。完成护士交办的、在医疗护理员职责和能力范围内的其他辅助性工作（如传递非紧急物品、简单清洁工作区域等）。</w:t>
      </w:r>
    </w:p>
    <w:p w14:paraId="43734BC7">
      <w:pPr>
        <w:numPr>
          <w:ilvl w:val="0"/>
          <w:numId w:val="4"/>
        </w:numPr>
        <w:spacing w:line="360" w:lineRule="auto"/>
        <w:rPr>
          <w:rFonts w:hint="eastAsia" w:ascii="宋体" w:hAnsi="宋体" w:cs="宋体"/>
          <w:color w:val="000000"/>
          <w:sz w:val="24"/>
          <w:szCs w:val="24"/>
        </w:rPr>
      </w:pPr>
      <w:r>
        <w:rPr>
          <w:rFonts w:hint="eastAsia" w:ascii="宋体" w:hAnsi="宋体" w:cs="宋体"/>
          <w:color w:val="000000"/>
          <w:sz w:val="24"/>
          <w:szCs w:val="24"/>
        </w:rPr>
        <w:t>沟通与关怀：使用礼貌用语，态度和蔼，与患者、家属及医护人员进行有效沟通。关注患者心理变化，提供情感支持。</w:t>
      </w:r>
    </w:p>
    <w:p w14:paraId="2936703F">
      <w:pPr>
        <w:spacing w:line="360" w:lineRule="auto"/>
        <w:rPr>
          <w:rFonts w:hint="eastAsia" w:ascii="宋体" w:hAnsi="宋体" w:cs="宋体"/>
          <w:b/>
          <w:sz w:val="24"/>
          <w:szCs w:val="24"/>
        </w:rPr>
      </w:pPr>
      <w:r>
        <w:rPr>
          <w:rFonts w:hint="eastAsia" w:ascii="宋体" w:hAnsi="宋体" w:cs="宋体"/>
          <w:b/>
          <w:sz w:val="24"/>
          <w:szCs w:val="24"/>
        </w:rPr>
        <w:t>（6）服务详细技术要求</w:t>
      </w:r>
    </w:p>
    <w:p w14:paraId="03ABC821">
      <w:pPr>
        <w:pStyle w:val="6"/>
        <w:numPr>
          <w:ilvl w:val="0"/>
          <w:numId w:val="5"/>
        </w:numPr>
        <w:spacing w:line="360" w:lineRule="auto"/>
        <w:ind w:firstLineChars="0"/>
        <w:rPr>
          <w:rFonts w:hint="eastAsia" w:ascii="宋体" w:hAnsi="宋体" w:cs="宋体"/>
          <w:color w:val="000000"/>
          <w:sz w:val="24"/>
        </w:rPr>
      </w:pPr>
      <w:r>
        <w:rPr>
          <w:rFonts w:hint="eastAsia" w:ascii="宋体" w:hAnsi="宋体" w:cs="宋体"/>
          <w:b/>
          <w:bCs/>
          <w:color w:val="000000"/>
          <w:sz w:val="24"/>
        </w:rPr>
        <w:t>医疗护理员配置和资质</w:t>
      </w:r>
    </w:p>
    <w:p w14:paraId="07E58922">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在岗配置：在开展免陪照护服务的监护室及病区，投标人必须确保每日在岗医疗护理员总数不低于“核定人数”。核定人数计算公式为：服务患者总数÷6（即医疗护理员与患者配比不低于1:6），并向上取整。</w:t>
      </w:r>
    </w:p>
    <w:p w14:paraId="2EE0255D">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人员资质要求：监护室上岗医疗护理员必须持有C级及以上医疗护理员技能等级证书；普通病区上岗医疗护理员必须持有D级及以上医疗护理员技能等级证书。储备人员制度：投标人须建立并维持一支不低于在岗医疗护理员总数50%的储备人员队伍。储备人员资质：拟用于监护室的储备人员须持有C级及以上证书；拟用于普通病区的储备人员须持有D级及以上证书。储备人员管理：储备人员须完成与在岗人员同等的岗前培训、考核，熟悉医院规章制度和工作流程，并保持随时可上岗状态（保证通讯畅通，能在要求时限内到岗替补）。</w:t>
      </w:r>
    </w:p>
    <w:p w14:paraId="0DC5E0A2">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人员信息报送：投标人须于每月5日前，向医院护理部提交上月《人力资源配置月度报表》（含在岗人员名单、资质等级、服务区域、考勤）及《储备人员状态表》（含名单、资质、联系方式）。</w:t>
      </w:r>
    </w:p>
    <w:p w14:paraId="0FF2AAD0">
      <w:pPr>
        <w:pStyle w:val="6"/>
        <w:numPr>
          <w:ilvl w:val="0"/>
          <w:numId w:val="5"/>
        </w:numPr>
        <w:spacing w:line="360" w:lineRule="auto"/>
        <w:ind w:firstLineChars="0"/>
        <w:rPr>
          <w:rFonts w:hint="eastAsia" w:ascii="宋体" w:hAnsi="宋体" w:cs="宋体"/>
          <w:b/>
          <w:bCs/>
          <w:color w:val="000000"/>
          <w:sz w:val="24"/>
        </w:rPr>
      </w:pPr>
      <w:r>
        <w:rPr>
          <w:rFonts w:hint="eastAsia" w:ascii="宋体" w:hAnsi="宋体" w:cs="宋体"/>
          <w:b/>
          <w:bCs/>
          <w:color w:val="000000"/>
          <w:sz w:val="24"/>
        </w:rPr>
        <w:t>医疗护理员培训和考核</w:t>
      </w:r>
    </w:p>
    <w:p w14:paraId="060F0F6D">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主体责任：投标人是医疗护理员培训与考核的责任主体，须制定详细的年度、月度培训计划，报医院护理部备案。</w:t>
      </w:r>
    </w:p>
    <w:p w14:paraId="311267CB">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培训内容与频次：培训须覆盖“基本规范”要求的全部内容，包括但不限于：职业道德、法律法规、规章制度；感染防控知识与技能（手卫生、隔离、消毒、医疗废物处理）；患者安全防护技能（跌倒、坠床、压力性损伤、导管滑脱、烫伤、走失的预防）；生活照护规范技能（清洁、进食、排泄、活动）；沟通技巧与人文关怀。应急处理能力（突发疾病、消防、安全事件等）。</w:t>
      </w:r>
    </w:p>
    <w:p w14:paraId="6824F0B3">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医院角色：医院护理部负责对投标人的培训计划、内容进行指导和审核，并不定期对医疗护理员进行抽考、督查，评估培训效果。医院医护人员负责在工作中对医疗护理员进行即时指导与协作。</w:t>
      </w:r>
    </w:p>
    <w:p w14:paraId="020ADCD7">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考核管理：投标人须建立严格的考核制度。岗前考核不合格者不得录用。定期考核不合格者，须暂停服务并接受再培训，再培训考核合格后方可重新上岗。多次考核不合格或严重违规者应予以清退。考核记录须妥善保存备查。</w:t>
      </w:r>
    </w:p>
    <w:p w14:paraId="171580F4">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人员保障与应急：投标人须确保医疗护理员数量稳定充足，并建立有效的应急调配机制（包括储备人员启用流程），以满足医院动态需求（如突发公共卫生事件、季节性高峰、人员突发缺勤等），确保服务不中断。接到医院增派需求后，应保证在4小时内增派人员到位。</w:t>
      </w:r>
    </w:p>
    <w:p w14:paraId="0A7F9B49">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劳动关系：投标人负责与其派遣的医疗护理员签订合法有效的劳动合同（或劳务协议），按时足额支付薪资福利，依法缴纳社会保险（或购买商业保险），并全权负责处理所有与用工相关的争议、纠纷。医疗护理员在工作中发生工伤，由投标人负责申报、处理及赔付。</w:t>
      </w:r>
    </w:p>
    <w:p w14:paraId="4A206AB6">
      <w:pPr>
        <w:pStyle w:val="6"/>
        <w:numPr>
          <w:ilvl w:val="0"/>
          <w:numId w:val="5"/>
        </w:numPr>
        <w:spacing w:line="360" w:lineRule="auto"/>
        <w:ind w:firstLineChars="0"/>
        <w:rPr>
          <w:rFonts w:hint="eastAsia" w:ascii="宋体" w:hAnsi="宋体" w:cs="宋体"/>
          <w:b/>
          <w:bCs/>
          <w:color w:val="000000"/>
          <w:sz w:val="24"/>
        </w:rPr>
      </w:pPr>
      <w:r>
        <w:rPr>
          <w:rFonts w:hint="eastAsia" w:ascii="宋体" w:hAnsi="宋体" w:cs="宋体"/>
          <w:b/>
          <w:bCs/>
          <w:color w:val="000000"/>
          <w:sz w:val="24"/>
        </w:rPr>
        <w:t>服务质量监控</w:t>
      </w:r>
    </w:p>
    <w:p w14:paraId="25537A0B">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质量检查与整改：医院护理部及相关部门有权随时对医疗护理员服务质量进行日常巡查、专项检查和随机抽查。对检查中发现的不符合“基本规范”或合同要求的情形，医院将向投标人发出《服务质量整改通知单》。投标人须在收到通知后7天内完成整改，并向医院提交书面整改报告。对重大或重复性问题，医院可要求投标人支付违约金直至解除合同。</w:t>
      </w:r>
    </w:p>
    <w:p w14:paraId="6071B814">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投标人自查与报告：投标人应建立完善的三级（公司-驻院管理-组长）内部质量管理体系，每月必须对所有服务项目、在岗医疗护理员进行全覆盖的质量督查，发现问题立即整改。投标人须于每月10日前向医院护理部提交上月《服务质量月度报告》，内容包括督查情况、发现的问题、整改措施、效果验证及持续改进计划。</w:t>
      </w:r>
    </w:p>
    <w:p w14:paraId="46BF0025">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投诉处理：投标人应建立投诉处理机制，接到投诉反馈后应在2小时内响应，24小时内出具书面处理方案。</w:t>
      </w:r>
    </w:p>
    <w:p w14:paraId="1A62AE31">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赔偿条款：因投标人医疗护理员的故意、过失或未按规范操作导致患者、家属或医院遭受人身伤害或直接经济损失（如设备损坏、物品损失），由投标人承担全部赔偿责任。医院在提供充分证据材料后，由投标人在收到医院书面通知后5个工作日内全额赔付。因投标人医疗护理员过错导致的经济损失，投标人与招标人双方每季度召开联席会议，评估合作效果并优化服务流程。</w:t>
      </w:r>
    </w:p>
    <w:p w14:paraId="71D56B8B">
      <w:pPr>
        <w:pStyle w:val="6"/>
        <w:numPr>
          <w:ilvl w:val="0"/>
          <w:numId w:val="5"/>
        </w:numPr>
        <w:spacing w:line="360" w:lineRule="auto"/>
        <w:ind w:firstLineChars="0"/>
        <w:rPr>
          <w:rFonts w:hint="eastAsia" w:ascii="宋体" w:hAnsi="宋体" w:cs="宋体"/>
          <w:b/>
          <w:bCs/>
          <w:color w:val="000000"/>
          <w:sz w:val="24"/>
        </w:rPr>
      </w:pPr>
      <w:r>
        <w:rPr>
          <w:rFonts w:hint="eastAsia" w:ascii="宋体" w:hAnsi="宋体" w:cs="宋体"/>
          <w:b/>
          <w:bCs/>
          <w:color w:val="000000"/>
          <w:sz w:val="24"/>
        </w:rPr>
        <w:t>现场管理要求</w:t>
      </w:r>
    </w:p>
    <w:p w14:paraId="2CC35264">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管理团队配置：投标人按规定向医院派驻足够的专职现场管理人员。管理人员应具备相关管理经验和能力。投标人须提供管理人员的工作证明、社保缴纳证明等材料。</w:t>
      </w:r>
    </w:p>
    <w:p w14:paraId="09C39DDF">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管理人员职责与要求：负责医疗护理员的日常排班、调度、现场管理、协调沟通、质量督查、投诉初步处理、培训组织等。实行坐班制管理，建立并执行24小时值班制度，确保任何时候均有管理人员可联络并响应医院需求。值班人员须保持通讯畅通，遇紧急情况需30分钟内到达现场（院内）。并定期参加医院组织的相关会议。</w:t>
      </w:r>
    </w:p>
    <w:p w14:paraId="35979A40">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护理员要求：</w:t>
      </w:r>
    </w:p>
    <w:p w14:paraId="567E1A0D">
      <w:pPr>
        <w:pStyle w:val="6"/>
        <w:numPr>
          <w:ilvl w:val="2"/>
          <w:numId w:val="5"/>
        </w:numPr>
        <w:spacing w:line="360" w:lineRule="auto"/>
        <w:ind w:firstLineChars="0"/>
        <w:rPr>
          <w:rFonts w:hint="eastAsia" w:ascii="宋体" w:hAnsi="宋体" w:cs="宋体"/>
          <w:color w:val="000000"/>
          <w:sz w:val="24"/>
        </w:rPr>
      </w:pPr>
      <w:r>
        <w:rPr>
          <w:rFonts w:hint="eastAsia" w:ascii="宋体" w:hAnsi="宋体" w:cs="宋体"/>
          <w:color w:val="000000"/>
          <w:sz w:val="24"/>
        </w:rPr>
        <w:t>基本配置：投标人承诺派驻医院服务的合格医疗护理员总数满足实际服务需求。医院有权根据实际服务量、病区开放情况、服务质量等因素，书面要求投标人在合理范围内增减派驻人员数量。投标人应积极响应。</w:t>
      </w:r>
    </w:p>
    <w:p w14:paraId="0278DC6A">
      <w:pPr>
        <w:pStyle w:val="6"/>
        <w:numPr>
          <w:ilvl w:val="2"/>
          <w:numId w:val="5"/>
        </w:numPr>
        <w:spacing w:line="360" w:lineRule="auto"/>
        <w:ind w:firstLineChars="0"/>
        <w:rPr>
          <w:rFonts w:hint="eastAsia" w:ascii="宋体" w:hAnsi="宋体" w:cs="宋体"/>
          <w:color w:val="000000"/>
          <w:sz w:val="24"/>
        </w:rPr>
      </w:pPr>
      <w:r>
        <w:rPr>
          <w:rFonts w:hint="eastAsia" w:ascii="宋体" w:hAnsi="宋体" w:cs="宋体"/>
          <w:color w:val="000000"/>
          <w:sz w:val="24"/>
        </w:rPr>
        <w:t>基础要求：遵纪守法，且具有完全民事行为能力；所有上岗医疗护理员必须“三证齐全”（本人有效身份证、有效的健康证、符合要求的医疗护理员技能等级证书），并在医院备案。</w:t>
      </w:r>
    </w:p>
    <w:p w14:paraId="6C7BF2CD">
      <w:pPr>
        <w:pStyle w:val="6"/>
        <w:numPr>
          <w:ilvl w:val="2"/>
          <w:numId w:val="5"/>
        </w:numPr>
        <w:spacing w:line="360" w:lineRule="auto"/>
        <w:ind w:firstLineChars="0"/>
        <w:rPr>
          <w:rFonts w:hint="eastAsia" w:ascii="宋体" w:hAnsi="宋体" w:cs="宋体"/>
          <w:color w:val="auto"/>
          <w:sz w:val="24"/>
        </w:rPr>
      </w:pPr>
      <w:r>
        <w:rPr>
          <w:rFonts w:hint="eastAsia" w:ascii="宋体" w:hAnsi="宋体" w:cs="宋体"/>
          <w:color w:val="auto"/>
          <w:sz w:val="24"/>
        </w:rPr>
        <w:t>年龄要求：要求本次投标人员名单中列明年龄，并不超过男</w:t>
      </w:r>
      <w:r>
        <w:rPr>
          <w:rFonts w:ascii="宋体" w:hAnsi="宋体" w:cs="宋体"/>
          <w:color w:val="auto"/>
          <w:sz w:val="24"/>
        </w:rPr>
        <w:t>65</w:t>
      </w:r>
      <w:r>
        <w:rPr>
          <w:rFonts w:hint="eastAsia" w:ascii="宋体" w:hAnsi="宋体" w:cs="宋体"/>
          <w:color w:val="auto"/>
          <w:sz w:val="24"/>
        </w:rPr>
        <w:t>岁，女</w:t>
      </w:r>
      <w:r>
        <w:rPr>
          <w:rFonts w:ascii="宋体" w:hAnsi="宋体" w:cs="宋体"/>
          <w:color w:val="auto"/>
          <w:sz w:val="24"/>
        </w:rPr>
        <w:t>60</w:t>
      </w:r>
      <w:r>
        <w:rPr>
          <w:rFonts w:hint="eastAsia" w:ascii="宋体" w:hAnsi="宋体" w:cs="宋体"/>
          <w:color w:val="auto"/>
          <w:sz w:val="24"/>
        </w:rPr>
        <w:t>岁。</w:t>
      </w:r>
    </w:p>
    <w:p w14:paraId="2013B063">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投标人负责处理与医疗护理员相关的所有劳动/劳务争议，确保不影响医院正常医疗秩序。</w:t>
      </w:r>
    </w:p>
    <w:p w14:paraId="3E04824F">
      <w:pPr>
        <w:pStyle w:val="6"/>
        <w:numPr>
          <w:ilvl w:val="1"/>
          <w:numId w:val="5"/>
        </w:numPr>
        <w:spacing w:line="360" w:lineRule="auto"/>
        <w:ind w:firstLineChars="0"/>
        <w:rPr>
          <w:rFonts w:hint="eastAsia" w:ascii="宋体" w:hAnsi="宋体" w:cs="宋体"/>
          <w:color w:val="000000"/>
          <w:sz w:val="24"/>
        </w:rPr>
      </w:pPr>
      <w:r>
        <w:rPr>
          <w:rFonts w:hint="eastAsia" w:ascii="宋体" w:hAnsi="宋体" w:cs="宋体"/>
          <w:color w:val="000000"/>
          <w:sz w:val="24"/>
        </w:rPr>
        <w:t>分级服务：投标人须根据患者需求和医嘱护理级别，结合医疗护理员技能等级，建立清晰的分级服务标准和操作规范，并在服务方案中详细说明。</w:t>
      </w:r>
    </w:p>
    <w:p w14:paraId="30DA42F8">
      <w:pPr>
        <w:spacing w:line="360" w:lineRule="auto"/>
        <w:rPr>
          <w:rFonts w:hint="eastAsia" w:ascii="宋体" w:hAnsi="宋体" w:cs="宋体"/>
          <w:b/>
          <w:sz w:val="24"/>
          <w:szCs w:val="24"/>
        </w:rPr>
      </w:pPr>
      <w:r>
        <w:rPr>
          <w:rFonts w:hint="eastAsia" w:ascii="宋体" w:hAnsi="宋体" w:cs="宋体"/>
          <w:b/>
          <w:sz w:val="24"/>
          <w:szCs w:val="24"/>
        </w:rPr>
        <w:t>（7）相关设施设备清单</w:t>
      </w:r>
    </w:p>
    <w:p w14:paraId="2D7ACD5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投标人应自行配备并维护项目运营所需的全部基本设施设备，包括但不限于：管理人员办公所需的电脑、打印机、电话、办公桌椅、文件柜等；日常办公文具耗材；统一制式的医疗护理员工作服（需符合医院感控要求）、胸牌等；必要的培训器材（如模型、教具）；应急物资（如基础急救包用品、手电筒等）。</w:t>
      </w:r>
    </w:p>
    <w:p w14:paraId="5D883FFA">
      <w:pPr>
        <w:spacing w:line="360" w:lineRule="auto"/>
        <w:rPr>
          <w:rFonts w:hint="eastAsia" w:ascii="宋体" w:hAnsi="宋体" w:cs="宋体"/>
          <w:b/>
          <w:sz w:val="24"/>
          <w:szCs w:val="24"/>
        </w:rPr>
      </w:pPr>
      <w:r>
        <w:rPr>
          <w:rFonts w:hint="eastAsia" w:ascii="宋体" w:hAnsi="宋体" w:cs="宋体"/>
          <w:b/>
          <w:sz w:val="24"/>
          <w:szCs w:val="24"/>
        </w:rPr>
        <w:t>（8）其他要求</w:t>
      </w:r>
    </w:p>
    <w:p w14:paraId="58668058">
      <w:pPr>
        <w:pStyle w:val="6"/>
        <w:numPr>
          <w:ilvl w:val="0"/>
          <w:numId w:val="6"/>
        </w:numPr>
        <w:spacing w:line="360" w:lineRule="auto"/>
        <w:ind w:firstLineChars="0"/>
        <w:rPr>
          <w:rFonts w:hint="eastAsia" w:ascii="宋体" w:hAnsi="宋体" w:cs="宋体"/>
          <w:color w:val="000000"/>
          <w:sz w:val="24"/>
        </w:rPr>
      </w:pPr>
      <w:r>
        <w:rPr>
          <w:rFonts w:hint="eastAsia" w:ascii="宋体" w:hAnsi="宋体" w:cs="宋体"/>
          <w:color w:val="000000"/>
          <w:sz w:val="24"/>
        </w:rPr>
        <w:t>投标人一律不得将服务内容转包分包，一经发现，招标人有权终止协议，而由此造成的一切经济损失，由投标人负责赔偿。</w:t>
      </w:r>
    </w:p>
    <w:p w14:paraId="51E7131F">
      <w:pPr>
        <w:pStyle w:val="6"/>
        <w:numPr>
          <w:ilvl w:val="0"/>
          <w:numId w:val="6"/>
        </w:numPr>
        <w:spacing w:line="360" w:lineRule="auto"/>
        <w:ind w:firstLineChars="0"/>
        <w:rPr>
          <w:rFonts w:hint="eastAsia" w:ascii="宋体" w:hAnsi="宋体" w:cs="宋体"/>
          <w:color w:val="000000"/>
          <w:sz w:val="24"/>
        </w:rPr>
      </w:pPr>
      <w:r>
        <w:rPr>
          <w:rFonts w:hint="eastAsia" w:ascii="宋体" w:hAnsi="宋体" w:cs="宋体"/>
          <w:color w:val="000000"/>
          <w:sz w:val="24"/>
        </w:rPr>
        <w:t>投标人应严格按照已确认的服务方案和工作流程提供服务，无条件地接受招标人对其工作质量的监督检查。</w:t>
      </w:r>
    </w:p>
    <w:p w14:paraId="1A3C57B1">
      <w:pPr>
        <w:pStyle w:val="6"/>
        <w:numPr>
          <w:ilvl w:val="0"/>
          <w:numId w:val="6"/>
        </w:numPr>
        <w:spacing w:line="360" w:lineRule="auto"/>
        <w:ind w:firstLineChars="0"/>
        <w:rPr>
          <w:rFonts w:hint="eastAsia" w:ascii="宋体" w:hAnsi="宋体" w:cs="宋体"/>
          <w:color w:val="000000"/>
          <w:sz w:val="24"/>
        </w:rPr>
      </w:pPr>
      <w:r>
        <w:rPr>
          <w:rFonts w:hint="eastAsia" w:ascii="宋体" w:hAnsi="宋体" w:cs="宋体"/>
          <w:color w:val="000000"/>
          <w:sz w:val="24"/>
        </w:rPr>
        <w:t>在合同期内，投标人应努力保持项目核心管理团队及骨干医疗护理员的相对稳定，以保证服务的延续性和质量。投标人可根据项目实际需求和业务需要对项目组人员做出合理调整。若更换项目组人员，应以相当资格与技能的人员替换；须经招标人同意后方可更换。</w:t>
      </w:r>
    </w:p>
    <w:p w14:paraId="6C07C6AB">
      <w:pPr>
        <w:adjustRightInd w:val="0"/>
        <w:snapToGrid w:val="0"/>
        <w:spacing w:line="360" w:lineRule="auto"/>
        <w:rPr>
          <w:rFonts w:hint="eastAsia" w:ascii="宋体" w:hAnsi="宋体"/>
          <w:sz w:val="24"/>
          <w:szCs w:val="24"/>
        </w:rPr>
      </w:pPr>
    </w:p>
    <w:p w14:paraId="2568A707">
      <w:pPr>
        <w:adjustRightInd w:val="0"/>
        <w:snapToGrid w:val="0"/>
        <w:spacing w:line="360" w:lineRule="auto"/>
        <w:ind w:firstLine="480" w:firstLineChars="200"/>
        <w:rPr>
          <w:rFonts w:ascii="宋体" w:hAnsi="宋体"/>
          <w:sz w:val="24"/>
          <w:szCs w:val="24"/>
        </w:rPr>
      </w:pPr>
      <w:r>
        <w:rPr>
          <w:rFonts w:hint="eastAsia" w:ascii="宋体" w:hAnsi="宋体"/>
          <w:sz w:val="24"/>
          <w:szCs w:val="24"/>
        </w:rPr>
        <w:t>说明：</w:t>
      </w:r>
    </w:p>
    <w:p w14:paraId="4544B4C6">
      <w:pPr>
        <w:adjustRightInd w:val="0"/>
        <w:snapToGrid w:val="0"/>
        <w:spacing w:line="360" w:lineRule="auto"/>
        <w:ind w:firstLine="480" w:firstLineChars="200"/>
        <w:rPr>
          <w:rFonts w:ascii="宋体" w:hAnsi="宋体"/>
          <w:sz w:val="24"/>
          <w:szCs w:val="24"/>
        </w:rPr>
      </w:pPr>
      <w:r>
        <w:rPr>
          <w:rFonts w:hint="eastAsia" w:ascii="宋体" w:hAnsi="宋体"/>
          <w:color w:val="000000"/>
          <w:sz w:val="24"/>
          <w:szCs w:val="24"/>
        </w:rPr>
        <w:t>为保证招标的合法性、公平性，投标人认为上述采购需求指标存在排他性或歧视性的，应当在投标截止时间10日前提出并附相</w:t>
      </w:r>
      <w:r>
        <w:rPr>
          <w:rFonts w:hint="eastAsia" w:ascii="宋体" w:hAnsi="宋体"/>
          <w:sz w:val="24"/>
          <w:szCs w:val="24"/>
        </w:rPr>
        <w:t>关证据，招标人将及时进行调查或组织论证，如情况属实，招标人将对上述相关技术需求指标做相应修改。</w:t>
      </w:r>
    </w:p>
    <w:p w14:paraId="0BF1075D">
      <w:pPr>
        <w:adjustRightInd w:val="0"/>
        <w:snapToGrid w:val="0"/>
        <w:spacing w:line="360" w:lineRule="auto"/>
        <w:outlineLvl w:val="0"/>
        <w:rPr>
          <w:rFonts w:ascii="宋体" w:hAnsi="宋体"/>
          <w:sz w:val="24"/>
          <w:szCs w:val="24"/>
        </w:rPr>
      </w:pPr>
    </w:p>
    <w:p w14:paraId="51E41F1F">
      <w:pPr>
        <w:adjustRightInd w:val="0"/>
        <w:snapToGrid w:val="0"/>
        <w:spacing w:line="360" w:lineRule="auto"/>
        <w:ind w:firstLine="480" w:firstLineChars="200"/>
        <w:rPr>
          <w:rFonts w:ascii="宋体" w:hAnsi="宋体"/>
          <w:sz w:val="24"/>
          <w:szCs w:val="24"/>
        </w:rPr>
      </w:pPr>
    </w:p>
    <w:p w14:paraId="6C0FB147">
      <w:pPr>
        <w:snapToGrid w:val="0"/>
        <w:spacing w:line="360" w:lineRule="auto"/>
        <w:ind w:firstLine="482" w:firstLineChars="200"/>
        <w:outlineLvl w:val="0"/>
        <w:rPr>
          <w:rFonts w:ascii="宋体" w:hAnsi="宋体"/>
          <w:b/>
          <w:sz w:val="24"/>
          <w:szCs w:val="24"/>
        </w:rPr>
      </w:pPr>
      <w:r>
        <w:rPr>
          <w:rFonts w:hint="eastAsia" w:ascii="宋体" w:hAnsi="宋体"/>
          <w:b/>
          <w:sz w:val="24"/>
          <w:szCs w:val="24"/>
        </w:rPr>
        <w:t>二、项目服务与管理要求</w:t>
      </w:r>
    </w:p>
    <w:p w14:paraId="3E70B7FF">
      <w:pPr>
        <w:spacing w:line="360" w:lineRule="auto"/>
        <w:ind w:firstLine="480" w:firstLineChars="200"/>
        <w:rPr>
          <w:rFonts w:ascii="宋体" w:hAnsi="宋体"/>
          <w:sz w:val="24"/>
          <w:szCs w:val="24"/>
        </w:rPr>
      </w:pPr>
      <w:r>
        <w:rPr>
          <w:rFonts w:hint="eastAsia" w:ascii="宋体" w:hAnsi="宋体"/>
          <w:sz w:val="24"/>
          <w:szCs w:val="24"/>
        </w:rPr>
        <w:t>1、本项目投标人中标后应按照本项目招标需求所要求的服务范围、内容及目标要求提供服务。</w:t>
      </w:r>
    </w:p>
    <w:p w14:paraId="44EC4762">
      <w:pPr>
        <w:spacing w:line="360" w:lineRule="auto"/>
        <w:ind w:firstLine="480" w:firstLineChars="200"/>
        <w:rPr>
          <w:rFonts w:ascii="宋体" w:hAnsi="宋体"/>
          <w:sz w:val="24"/>
          <w:szCs w:val="24"/>
        </w:rPr>
      </w:pPr>
      <w:r>
        <w:rPr>
          <w:rFonts w:hint="eastAsia" w:ascii="宋体" w:hAnsi="宋体"/>
          <w:sz w:val="24"/>
          <w:szCs w:val="24"/>
        </w:rPr>
        <w:t>2、投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14:paraId="5CD2130D">
      <w:pPr>
        <w:snapToGrid w:val="0"/>
        <w:spacing w:line="360" w:lineRule="auto"/>
        <w:ind w:firstLine="480" w:firstLineChars="200"/>
        <w:jc w:val="left"/>
        <w:outlineLvl w:val="0"/>
        <w:rPr>
          <w:rFonts w:ascii="宋体" w:hAnsi="宋体"/>
          <w:sz w:val="24"/>
          <w:szCs w:val="24"/>
        </w:rPr>
      </w:pPr>
      <w:r>
        <w:rPr>
          <w:rFonts w:hint="eastAsia" w:ascii="宋体" w:hAnsi="宋体"/>
          <w:sz w:val="24"/>
          <w:szCs w:val="24"/>
        </w:rPr>
        <w:t>3、服务管理</w:t>
      </w:r>
    </w:p>
    <w:p w14:paraId="77FAFAE1">
      <w:pPr>
        <w:snapToGrid w:val="0"/>
        <w:spacing w:line="360" w:lineRule="auto"/>
        <w:ind w:firstLine="480" w:firstLineChars="200"/>
        <w:jc w:val="left"/>
        <w:outlineLvl w:val="0"/>
        <w:rPr>
          <w:rFonts w:ascii="宋体" w:hAnsi="宋体"/>
          <w:sz w:val="24"/>
          <w:szCs w:val="24"/>
        </w:rPr>
      </w:pPr>
      <w:r>
        <w:rPr>
          <w:rFonts w:hint="eastAsia" w:ascii="宋体" w:hAnsi="宋体"/>
          <w:sz w:val="24"/>
          <w:szCs w:val="24"/>
        </w:rPr>
        <w:t>（1）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14:paraId="737FCC98">
      <w:pPr>
        <w:widowControl/>
        <w:snapToGrid w:val="0"/>
        <w:spacing w:line="360" w:lineRule="auto"/>
        <w:ind w:firstLine="360" w:firstLineChars="150"/>
        <w:rPr>
          <w:rFonts w:ascii="宋体" w:hAnsi="宋体"/>
          <w:sz w:val="24"/>
          <w:szCs w:val="24"/>
        </w:rPr>
      </w:pPr>
      <w:r>
        <w:rPr>
          <w:rFonts w:hint="eastAsia" w:ascii="宋体" w:hAnsi="宋体"/>
          <w:sz w:val="24"/>
          <w:szCs w:val="24"/>
        </w:rPr>
        <w:t>（2）项目负责人应为中标人在职人员，具有类似本项目的服务管理经验，项目组人员的数量应足够满足本项目服务需要，具有良好的职业道德和严谨的工作作风。</w:t>
      </w:r>
    </w:p>
    <w:p w14:paraId="4B6E378D">
      <w:pPr>
        <w:snapToGrid w:val="0"/>
        <w:spacing w:line="360" w:lineRule="auto"/>
        <w:ind w:firstLine="480" w:firstLineChars="200"/>
        <w:jc w:val="left"/>
        <w:outlineLvl w:val="0"/>
        <w:rPr>
          <w:rFonts w:ascii="宋体" w:hAnsi="宋体"/>
          <w:sz w:val="24"/>
          <w:szCs w:val="24"/>
        </w:rPr>
      </w:pPr>
      <w:r>
        <w:rPr>
          <w:rFonts w:hint="eastAsia" w:ascii="宋体" w:hAnsi="宋体"/>
          <w:sz w:val="24"/>
          <w:szCs w:val="24"/>
        </w:rPr>
        <w:t>（3）中标人在组织项目服务实施期间，应按采购人实际服务需求落实所对应提供的服务工作，中标人在项目服务实施期间应做好相关管理记录，保证满足采购人服务需求。</w:t>
      </w:r>
    </w:p>
    <w:p w14:paraId="27AF28B3">
      <w:pPr>
        <w:snapToGrid w:val="0"/>
        <w:spacing w:line="360" w:lineRule="auto"/>
        <w:ind w:firstLine="480" w:firstLineChars="200"/>
        <w:jc w:val="left"/>
        <w:outlineLvl w:val="0"/>
        <w:rPr>
          <w:rFonts w:ascii="宋体" w:hAnsi="宋体"/>
          <w:sz w:val="24"/>
          <w:szCs w:val="24"/>
        </w:rPr>
      </w:pPr>
      <w:r>
        <w:rPr>
          <w:rFonts w:hint="eastAsia" w:ascii="宋体" w:hAnsi="宋体"/>
          <w:sz w:val="24"/>
          <w:szCs w:val="24"/>
        </w:rPr>
        <w:t>（4）经采购人确认的项目负责人和项目组人员及数量，未经采购人书面批准不得随意调换或撤离，若自行更换或撤离，按照合同违约处理。</w:t>
      </w:r>
    </w:p>
    <w:p w14:paraId="4D0BA749">
      <w:pPr>
        <w:adjustRightInd w:val="0"/>
        <w:snapToGrid w:val="0"/>
        <w:spacing w:line="360" w:lineRule="auto"/>
        <w:ind w:firstLine="480" w:firstLineChars="200"/>
        <w:rPr>
          <w:rFonts w:ascii="宋体" w:hAnsi="宋体"/>
          <w:sz w:val="24"/>
          <w:szCs w:val="24"/>
        </w:rPr>
      </w:pPr>
      <w:r>
        <w:rPr>
          <w:rFonts w:hint="eastAsia" w:ascii="宋体" w:hAnsi="宋体"/>
          <w:sz w:val="24"/>
          <w:szCs w:val="24"/>
        </w:rPr>
        <w:t>（5）各投标人在投标文件中要结合本项目的特点和采购人上述的具体要求制定相应的服务管理措施，同时应适当考虑购买自己员工和第三方责任保险，并在报价措施费中列支必须的费用清单。</w:t>
      </w:r>
    </w:p>
    <w:p w14:paraId="20DC6F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EC650"/>
    <w:multiLevelType w:val="singleLevel"/>
    <w:tmpl w:val="F4EEC650"/>
    <w:lvl w:ilvl="0" w:tentative="0">
      <w:start w:val="1"/>
      <w:numFmt w:val="decimal"/>
      <w:suff w:val="nothing"/>
      <w:lvlText w:val="%1、"/>
      <w:lvlJc w:val="left"/>
    </w:lvl>
  </w:abstractNum>
  <w:abstractNum w:abstractNumId="1">
    <w:nsid w:val="08125920"/>
    <w:multiLevelType w:val="multilevel"/>
    <w:tmpl w:val="08125920"/>
    <w:lvl w:ilvl="0" w:tentative="0">
      <w:start w:val="1"/>
      <w:numFmt w:val="decimal"/>
      <w:lvlText w:val="%1."/>
      <w:lvlJc w:val="left"/>
      <w:pPr>
        <w:ind w:left="425" w:hanging="425"/>
      </w:pPr>
      <w:rPr>
        <w:rFonts w:hint="default"/>
        <w:b/>
        <w:bC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1B94418C"/>
    <w:multiLevelType w:val="multilevel"/>
    <w:tmpl w:val="1B94418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ED038F2"/>
    <w:multiLevelType w:val="singleLevel"/>
    <w:tmpl w:val="1ED038F2"/>
    <w:lvl w:ilvl="0" w:tentative="0">
      <w:start w:val="1"/>
      <w:numFmt w:val="decimal"/>
      <w:suff w:val="nothing"/>
      <w:lvlText w:val="%1、"/>
      <w:lvlJc w:val="left"/>
    </w:lvl>
  </w:abstractNum>
  <w:abstractNum w:abstractNumId="4">
    <w:nsid w:val="66CA277D"/>
    <w:multiLevelType w:val="singleLevel"/>
    <w:tmpl w:val="66CA277D"/>
    <w:lvl w:ilvl="0" w:tentative="0">
      <w:start w:val="1"/>
      <w:numFmt w:val="decimal"/>
      <w:suff w:val="nothing"/>
      <w:lvlText w:val="%1、"/>
      <w:lvlJc w:val="left"/>
    </w:lvl>
  </w:abstractNum>
  <w:abstractNum w:abstractNumId="5">
    <w:nsid w:val="6AE93213"/>
    <w:multiLevelType w:val="multilevel"/>
    <w:tmpl w:val="6AE93213"/>
    <w:lvl w:ilvl="0" w:tentative="0">
      <w:start w:val="1"/>
      <w:numFmt w:val="decimal"/>
      <w:lvlText w:val="%1."/>
      <w:lvlJc w:val="left"/>
      <w:pPr>
        <w:ind w:left="425" w:hanging="425"/>
      </w:pPr>
      <w:rPr>
        <w:rFonts w:hint="default"/>
        <w:color w:val="auto"/>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6042C"/>
    <w:rsid w:val="1A56042C"/>
    <w:rsid w:val="5561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hAnsi="Times New Roman" w:eastAsia="宋体" w:cs="Times New Roman"/>
      <w:szCs w:val="24"/>
    </w:rPr>
  </w:style>
  <w:style w:type="character" w:styleId="5">
    <w:name w:val="annotation reference"/>
    <w:qFormat/>
    <w:uiPriority w:val="99"/>
    <w:rPr>
      <w:sz w:val="21"/>
      <w:szCs w:val="21"/>
    </w:rPr>
  </w:style>
  <w:style w:type="paragraph" w:styleId="6">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6263</Words>
  <Characters>6357</Characters>
  <Lines>0</Lines>
  <Paragraphs>0</Paragraphs>
  <TotalTime>9</TotalTime>
  <ScaleCrop>false</ScaleCrop>
  <LinksUpToDate>false</LinksUpToDate>
  <CharactersWithSpaces>6362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2025-08-22T16:41:00Z</dcterms:created>
  <dc:creator>杨俐君</dc:creator>
  <cp:lastModifiedBy>杨俐君</cp:lastModifiedBy>
  <dcterms:modified xsi:type="dcterms:W3CDTF">2025-08-22T16:54:25Z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C9130D1C85284336A0606C89B111A724_13</vt:lpwstr>
  </property>
  <property fmtid="{D5CDD505-2E9C-101B-9397-08002B2CF9AE}" pid="4" name="KSOTemplateDocerSaveRecord">
    <vt:lpwstr>eyJoZGlkIjoiOTk1MDI2OWM5MzRhNzc2MDgxNDZhZmRhMmE3MWIxOTkiLCJ1c2VySWQiOiI2NDA4MzE2NjgifQ==</vt:lpwstr>
  </property>
</Properties>
</file>