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315AC">
      <w:pPr>
        <w:adjustRightInd w:val="0"/>
        <w:snapToGrid w:val="0"/>
        <w:spacing w:line="360" w:lineRule="auto"/>
        <w:jc w:val="left"/>
        <w:rPr>
          <w:rFonts w:hint="eastAsia" w:ascii="宋体" w:hAnsi="宋体"/>
          <w:b/>
          <w:bCs/>
          <w:sz w:val="24"/>
        </w:rPr>
      </w:pPr>
      <w:r>
        <w:rPr>
          <w:rFonts w:hint="eastAsia" w:ascii="宋体" w:hAnsi="宋体"/>
          <w:b/>
          <w:bCs/>
          <w:sz w:val="24"/>
        </w:rPr>
        <w:t>一、项目概述</w:t>
      </w:r>
    </w:p>
    <w:p w14:paraId="0A7BBBF0">
      <w:pPr>
        <w:adjustRightInd w:val="0"/>
        <w:snapToGrid w:val="0"/>
        <w:spacing w:line="360" w:lineRule="auto"/>
        <w:jc w:val="left"/>
        <w:rPr>
          <w:rFonts w:ascii="宋体" w:hAnsi="宋体"/>
          <w:sz w:val="24"/>
        </w:rPr>
      </w:pPr>
      <w:r>
        <w:rPr>
          <w:rFonts w:hint="eastAsia" w:ascii="宋体" w:hAnsi="宋体"/>
          <w:sz w:val="24"/>
        </w:rPr>
        <w:t>1、项目名称：临床药学服务智能体采购</w:t>
      </w:r>
    </w:p>
    <w:p w14:paraId="3462294A">
      <w:pPr>
        <w:adjustRightInd w:val="0"/>
        <w:snapToGrid w:val="0"/>
        <w:spacing w:line="360" w:lineRule="auto"/>
        <w:jc w:val="left"/>
        <w:rPr>
          <w:rFonts w:hint="eastAsia" w:ascii="宋体" w:hAnsi="宋体"/>
          <w:sz w:val="24"/>
        </w:rPr>
      </w:pPr>
      <w:r>
        <w:rPr>
          <w:rFonts w:hint="eastAsia" w:ascii="宋体" w:hAnsi="宋体"/>
          <w:sz w:val="24"/>
        </w:rPr>
        <w:t>2、服务地点：上海交通大学医学院附属新华医院</w:t>
      </w:r>
    </w:p>
    <w:p w14:paraId="24591609">
      <w:pPr>
        <w:adjustRightInd w:val="0"/>
        <w:snapToGrid w:val="0"/>
        <w:spacing w:line="360" w:lineRule="auto"/>
        <w:jc w:val="left"/>
        <w:rPr>
          <w:rFonts w:hint="eastAsia" w:ascii="宋体" w:hAnsi="宋体"/>
          <w:sz w:val="24"/>
        </w:rPr>
      </w:pPr>
      <w:r>
        <w:rPr>
          <w:rFonts w:hint="eastAsia" w:ascii="宋体" w:hAnsi="宋体"/>
          <w:sz w:val="24"/>
        </w:rPr>
        <w:t>3、服务期限：</w:t>
      </w:r>
    </w:p>
    <w:p w14:paraId="5D2EE0A0">
      <w:pPr>
        <w:adjustRightInd w:val="0"/>
        <w:snapToGrid w:val="0"/>
        <w:spacing w:line="360" w:lineRule="auto"/>
        <w:jc w:val="left"/>
        <w:rPr>
          <w:rFonts w:hint="eastAsia" w:ascii="宋体" w:hAnsi="宋体"/>
          <w:sz w:val="24"/>
        </w:rPr>
      </w:pPr>
      <w:r>
        <w:rPr>
          <w:rFonts w:hint="eastAsia" w:ascii="宋体" w:hAnsi="宋体"/>
          <w:sz w:val="24"/>
        </w:rPr>
        <w:t>（1）项目建设周期：合同签订后90个工作日内完成所有产品功能上线</w:t>
      </w:r>
    </w:p>
    <w:p w14:paraId="0E62BAE4">
      <w:pPr>
        <w:adjustRightInd w:val="0"/>
        <w:snapToGrid w:val="0"/>
        <w:spacing w:line="360" w:lineRule="auto"/>
        <w:jc w:val="left"/>
        <w:rPr>
          <w:rFonts w:ascii="宋体" w:hAnsi="宋体"/>
          <w:sz w:val="24"/>
        </w:rPr>
      </w:pPr>
      <w:r>
        <w:rPr>
          <w:rFonts w:hint="eastAsia" w:ascii="宋体" w:hAnsi="宋体"/>
          <w:sz w:val="24"/>
        </w:rPr>
        <w:t>（2）运维期：自所有产品功能验收后12个月</w:t>
      </w:r>
    </w:p>
    <w:p w14:paraId="5E5C04AF">
      <w:pPr>
        <w:adjustRightInd w:val="0"/>
        <w:snapToGrid w:val="0"/>
        <w:spacing w:line="360" w:lineRule="auto"/>
        <w:jc w:val="left"/>
        <w:rPr>
          <w:rFonts w:hint="eastAsia" w:ascii="宋体" w:hAnsi="宋体"/>
          <w:sz w:val="24"/>
        </w:rPr>
      </w:pPr>
      <w:r>
        <w:rPr>
          <w:rFonts w:hint="eastAsia" w:ascii="宋体" w:hAnsi="宋体"/>
          <w:sz w:val="24"/>
        </w:rPr>
        <w:t>4、付款方式：</w:t>
      </w:r>
    </w:p>
    <w:p w14:paraId="4F5B46F4">
      <w:pPr>
        <w:adjustRightInd w:val="0"/>
        <w:snapToGrid w:val="0"/>
        <w:spacing w:line="360" w:lineRule="auto"/>
        <w:jc w:val="left"/>
        <w:rPr>
          <w:rFonts w:hint="eastAsia" w:ascii="宋体" w:hAnsi="宋体"/>
          <w:sz w:val="24"/>
        </w:rPr>
      </w:pPr>
      <w:r>
        <w:rPr>
          <w:rFonts w:hint="eastAsia" w:ascii="宋体" w:hAnsi="宋体"/>
          <w:sz w:val="24"/>
        </w:rPr>
        <w:t>（1）本项目自合同签订签约后开始实施，中标人按照项目实施计划进行项目实施工作，并经过招标人阶段性验收后（所有产品功能上线），根据医院付款流程，招标人向中标人支付本合同项目总金额40%的合同款。</w:t>
      </w:r>
    </w:p>
    <w:p w14:paraId="045F3E74">
      <w:pPr>
        <w:adjustRightInd w:val="0"/>
        <w:snapToGrid w:val="0"/>
        <w:spacing w:line="360" w:lineRule="auto"/>
        <w:jc w:val="left"/>
        <w:rPr>
          <w:rFonts w:hint="eastAsia" w:ascii="宋体" w:hAnsi="宋体"/>
          <w:sz w:val="24"/>
        </w:rPr>
      </w:pPr>
      <w:r>
        <w:rPr>
          <w:rFonts w:hint="eastAsia" w:ascii="宋体" w:hAnsi="宋体"/>
          <w:sz w:val="24"/>
        </w:rPr>
        <w:t>（2）本项目自所有产品功能验收合格之日起，且招标人在收到中标人开具的有效发票后，根据医院付款流程，向中标人支付本合同项目总金额50%的合同款。</w:t>
      </w:r>
    </w:p>
    <w:p w14:paraId="21CB6CE7">
      <w:pPr>
        <w:adjustRightInd w:val="0"/>
        <w:snapToGrid w:val="0"/>
        <w:spacing w:line="360" w:lineRule="auto"/>
        <w:jc w:val="left"/>
        <w:rPr>
          <w:rFonts w:ascii="宋体" w:hAnsi="宋体"/>
          <w:sz w:val="24"/>
        </w:rPr>
      </w:pPr>
      <w:r>
        <w:rPr>
          <w:rFonts w:hint="eastAsia" w:ascii="宋体" w:hAnsi="宋体"/>
          <w:sz w:val="24"/>
        </w:rPr>
        <w:t>（3）本项目剩余的合同款按实际维保期月份数/合同约定维保月份数折算，实际未维保月份不予支付。本项目运维期结束后，招标人在收到中标人开具的有效发票后，根据医院付款流程，向中标人支付剩余合同款项。</w:t>
      </w:r>
    </w:p>
    <w:p w14:paraId="401FD727">
      <w:pPr>
        <w:adjustRightInd w:val="0"/>
        <w:snapToGrid w:val="0"/>
        <w:spacing w:line="360" w:lineRule="auto"/>
        <w:jc w:val="left"/>
        <w:rPr>
          <w:rFonts w:hint="eastAsia" w:ascii="宋体" w:hAnsi="宋体"/>
          <w:sz w:val="24"/>
        </w:rPr>
      </w:pPr>
      <w:r>
        <w:rPr>
          <w:rFonts w:hint="eastAsia" w:ascii="宋体" w:hAnsi="宋体"/>
          <w:sz w:val="24"/>
        </w:rPr>
        <w:t>5、总体要求：</w:t>
      </w:r>
    </w:p>
    <w:p w14:paraId="4E8A08CA">
      <w:pPr>
        <w:adjustRightInd w:val="0"/>
        <w:snapToGrid w:val="0"/>
        <w:spacing w:line="360" w:lineRule="auto"/>
        <w:jc w:val="left"/>
        <w:rPr>
          <w:rFonts w:hint="eastAsia" w:ascii="宋体" w:hAnsi="宋体"/>
          <w:sz w:val="24"/>
        </w:rPr>
      </w:pPr>
      <w:r>
        <w:rPr>
          <w:rFonts w:hint="eastAsia" w:ascii="宋体" w:hAnsi="宋体"/>
          <w:sz w:val="24"/>
        </w:rPr>
        <w:t>临床药学服务智能体包含以下模块：</w:t>
      </w:r>
    </w:p>
    <w:p w14:paraId="50D98996">
      <w:pPr>
        <w:adjustRightInd w:val="0"/>
        <w:snapToGrid w:val="0"/>
        <w:spacing w:line="360" w:lineRule="auto"/>
        <w:jc w:val="left"/>
        <w:rPr>
          <w:rFonts w:hint="eastAsia" w:ascii="宋体" w:hAnsi="宋体"/>
          <w:sz w:val="24"/>
        </w:rPr>
      </w:pPr>
      <w:r>
        <w:rPr>
          <w:rFonts w:hint="eastAsia" w:ascii="宋体" w:hAnsi="宋体"/>
          <w:sz w:val="24"/>
        </w:rPr>
        <w:t>（1）、药物治疗管理模块：应用于药学门诊和居家药学服务的场景，利用知识图谱、实体链指、自然语言识别等人工智能技术，自动匹配生成精准的合理用药策略，提升用药重整、不良反应识别与预警、多重用药风险管控等工作效能。</w:t>
      </w:r>
    </w:p>
    <w:p w14:paraId="6A665266">
      <w:pPr>
        <w:adjustRightInd w:val="0"/>
        <w:snapToGrid w:val="0"/>
        <w:spacing w:line="360" w:lineRule="auto"/>
        <w:jc w:val="left"/>
        <w:rPr>
          <w:rFonts w:hint="eastAsia" w:ascii="宋体" w:hAnsi="宋体"/>
          <w:sz w:val="24"/>
        </w:rPr>
      </w:pPr>
      <w:r>
        <w:rPr>
          <w:rFonts w:hint="eastAsia" w:ascii="宋体" w:hAnsi="宋体"/>
          <w:sz w:val="24"/>
        </w:rPr>
        <w:t>（2）、住院药学监护模块：可满足临床药师针对住院患者从入院评估到查房直至出院的全流程监护工作需求。系统内置监护计划、用药重整、监护日志、监护评级、电子药历等各类模板。通过与院内HIS、LIS、EMR等业务系统深度对接，实现智能辅助填表并自动生成药物治疗总结。</w:t>
      </w:r>
    </w:p>
    <w:p w14:paraId="65E6DEBD">
      <w:pPr>
        <w:adjustRightInd w:val="0"/>
        <w:snapToGrid w:val="0"/>
        <w:spacing w:line="360" w:lineRule="auto"/>
        <w:jc w:val="left"/>
        <w:rPr>
          <w:rFonts w:ascii="宋体" w:hAnsi="宋体"/>
          <w:sz w:val="24"/>
        </w:rPr>
      </w:pPr>
      <w:r>
        <w:rPr>
          <w:rFonts w:hint="eastAsia" w:ascii="宋体" w:hAnsi="宋体"/>
          <w:sz w:val="24"/>
        </w:rPr>
        <w:t>（3）、药学服务大模型：依托于大模型，构建药学专业数据集完成检索增强生成，实现信息源追溯，搭载于门诊和住院系统中即时回答各类临床用药问题并提供参考来源。</w:t>
      </w:r>
    </w:p>
    <w:p w14:paraId="48DFBAB8">
      <w:pPr>
        <w:adjustRightInd w:val="0"/>
        <w:snapToGrid w:val="0"/>
        <w:spacing w:line="360" w:lineRule="auto"/>
        <w:jc w:val="left"/>
        <w:rPr>
          <w:rFonts w:ascii="宋体" w:hAnsi="宋体"/>
          <w:sz w:val="24"/>
        </w:rPr>
      </w:pPr>
      <w:r>
        <w:rPr>
          <w:rFonts w:hint="eastAsia" w:ascii="宋体" w:hAnsi="宋体"/>
          <w:sz w:val="24"/>
        </w:rPr>
        <w:t>6、与现有系统对接要求：</w:t>
      </w:r>
    </w:p>
    <w:p w14:paraId="3C4863FE">
      <w:pPr>
        <w:adjustRightInd w:val="0"/>
        <w:snapToGrid w:val="0"/>
        <w:spacing w:line="360" w:lineRule="auto"/>
        <w:jc w:val="left"/>
        <w:rPr>
          <w:rFonts w:hint="eastAsia" w:ascii="宋体" w:hAnsi="宋体"/>
          <w:sz w:val="24"/>
        </w:rPr>
      </w:pPr>
      <w:r>
        <w:rPr>
          <w:rFonts w:hint="eastAsia" w:ascii="宋体" w:hAnsi="宋体"/>
          <w:sz w:val="24"/>
        </w:rPr>
        <w:t>现有的医生工作站只是与合理用药系统联动实现了审方业务，无法实现医生和药师之间对用药建议、用药重整等信息的交互。</w:t>
      </w:r>
    </w:p>
    <w:p w14:paraId="3CA18933">
      <w:pPr>
        <w:adjustRightInd w:val="0"/>
        <w:snapToGrid w:val="0"/>
        <w:spacing w:line="360" w:lineRule="auto"/>
        <w:jc w:val="left"/>
        <w:rPr>
          <w:rFonts w:ascii="宋体" w:hAnsi="宋体"/>
          <w:sz w:val="24"/>
        </w:rPr>
      </w:pPr>
      <w:r>
        <w:rPr>
          <w:rFonts w:hint="eastAsia" w:ascii="宋体" w:hAnsi="宋体"/>
          <w:sz w:val="24"/>
        </w:rPr>
        <w:t>通过数据接口服务或中间库或视图的方式获取临床数据，包含了患者信息、电子病历、电子处方、病人全套生化检验数据等，同时与医生工作站对接，实现医生和药师的交互。</w:t>
      </w:r>
    </w:p>
    <w:p w14:paraId="08FB45F8">
      <w:pPr>
        <w:adjustRightInd w:val="0"/>
        <w:snapToGrid w:val="0"/>
        <w:spacing w:line="360" w:lineRule="auto"/>
        <w:jc w:val="left"/>
        <w:rPr>
          <w:rFonts w:ascii="宋体" w:hAnsi="宋体"/>
          <w:sz w:val="24"/>
        </w:rPr>
      </w:pPr>
    </w:p>
    <w:p w14:paraId="6BF8BDC6">
      <w:pPr>
        <w:adjustRightInd w:val="0"/>
        <w:snapToGrid w:val="0"/>
        <w:spacing w:line="360" w:lineRule="auto"/>
        <w:jc w:val="left"/>
        <w:rPr>
          <w:rFonts w:hint="eastAsia" w:ascii="宋体" w:hAnsi="宋体"/>
          <w:b/>
          <w:bCs/>
          <w:sz w:val="24"/>
        </w:rPr>
      </w:pPr>
      <w:r>
        <w:rPr>
          <w:rFonts w:hint="eastAsia" w:ascii="宋体" w:hAnsi="宋体"/>
          <w:b/>
          <w:bCs/>
          <w:sz w:val="24"/>
        </w:rPr>
        <w:t>二、开发要求</w:t>
      </w:r>
    </w:p>
    <w:p w14:paraId="754C206F">
      <w:pPr>
        <w:adjustRightInd w:val="0"/>
        <w:snapToGrid w:val="0"/>
        <w:spacing w:line="360" w:lineRule="auto"/>
        <w:jc w:val="left"/>
        <w:rPr>
          <w:rFonts w:hint="eastAsia" w:ascii="宋体" w:hAnsi="宋体"/>
          <w:sz w:val="24"/>
        </w:rPr>
      </w:pPr>
      <w:r>
        <w:rPr>
          <w:rFonts w:hint="eastAsia" w:ascii="宋体" w:hAnsi="宋体"/>
          <w:sz w:val="24"/>
        </w:rPr>
        <w:t>1、性能要求：</w:t>
      </w:r>
    </w:p>
    <w:p w14:paraId="3194D0AC">
      <w:pPr>
        <w:adjustRightInd w:val="0"/>
        <w:snapToGrid w:val="0"/>
        <w:spacing w:line="360" w:lineRule="auto"/>
        <w:jc w:val="left"/>
        <w:rPr>
          <w:rFonts w:hint="eastAsia" w:ascii="宋体" w:hAnsi="宋体"/>
          <w:sz w:val="24"/>
        </w:rPr>
      </w:pPr>
      <w:r>
        <w:rPr>
          <w:rFonts w:hint="eastAsia" w:ascii="宋体" w:hAnsi="宋体"/>
          <w:sz w:val="24"/>
        </w:rPr>
        <w:t>1）系统响应速度：系统应具备高并发处理能力，确保在多用户同时操作时响应时间不超过规定阈值（如页面加载时间≤2秒）。</w:t>
      </w:r>
    </w:p>
    <w:p w14:paraId="4860EF36">
      <w:pPr>
        <w:adjustRightInd w:val="0"/>
        <w:snapToGrid w:val="0"/>
        <w:spacing w:line="360" w:lineRule="auto"/>
        <w:jc w:val="left"/>
        <w:rPr>
          <w:rFonts w:hint="eastAsia" w:ascii="宋体" w:hAnsi="宋体"/>
          <w:sz w:val="24"/>
        </w:rPr>
      </w:pPr>
      <w:r>
        <w:rPr>
          <w:rFonts w:hint="eastAsia" w:ascii="宋体" w:hAnsi="宋体"/>
          <w:sz w:val="24"/>
        </w:rPr>
        <w:t>2）稳定性：系统应支持7×24小时不间断运行，年故障时间不超过3%（≥99.9%的可用性）。</w:t>
      </w:r>
    </w:p>
    <w:p w14:paraId="2E3027FD">
      <w:pPr>
        <w:adjustRightInd w:val="0"/>
        <w:snapToGrid w:val="0"/>
        <w:spacing w:line="360" w:lineRule="auto"/>
        <w:jc w:val="left"/>
        <w:rPr>
          <w:rFonts w:hint="eastAsia" w:ascii="宋体" w:hAnsi="宋体"/>
          <w:sz w:val="24"/>
        </w:rPr>
      </w:pPr>
      <w:r>
        <w:rPr>
          <w:rFonts w:hint="eastAsia" w:ascii="宋体" w:hAnsi="宋体"/>
          <w:sz w:val="24"/>
        </w:rPr>
        <w:t>3）扩展性：系统应支持横向和纵向扩展，能够根据业务需求灵活增加硬件资源或功能模块。</w:t>
      </w:r>
    </w:p>
    <w:p w14:paraId="6318FF97">
      <w:pPr>
        <w:adjustRightInd w:val="0"/>
        <w:snapToGrid w:val="0"/>
        <w:spacing w:line="360" w:lineRule="auto"/>
        <w:jc w:val="left"/>
        <w:rPr>
          <w:rFonts w:hint="eastAsia" w:ascii="宋体" w:hAnsi="宋体"/>
          <w:sz w:val="24"/>
        </w:rPr>
      </w:pPr>
      <w:r>
        <w:rPr>
          <w:rFonts w:hint="eastAsia" w:ascii="宋体" w:hAnsi="宋体"/>
          <w:sz w:val="24"/>
        </w:rPr>
        <w:t>4）兼容性：系统应兼容不同操作系统、浏览器。</w:t>
      </w:r>
    </w:p>
    <w:p w14:paraId="597B95F5">
      <w:pPr>
        <w:adjustRightInd w:val="0"/>
        <w:snapToGrid w:val="0"/>
        <w:spacing w:line="360" w:lineRule="auto"/>
        <w:jc w:val="left"/>
        <w:rPr>
          <w:rFonts w:hint="eastAsia" w:ascii="宋体" w:hAnsi="宋体"/>
          <w:sz w:val="24"/>
        </w:rPr>
      </w:pPr>
      <w:r>
        <w:rPr>
          <w:rFonts w:hint="eastAsia" w:ascii="宋体" w:hAnsi="宋体"/>
          <w:sz w:val="24"/>
        </w:rPr>
        <w:t>5）负载能力：系统应支持一定数量的并发用户（≥1000+用户同时在线）。</w:t>
      </w:r>
    </w:p>
    <w:p w14:paraId="2F1FF1B1">
      <w:pPr>
        <w:adjustRightInd w:val="0"/>
        <w:snapToGrid w:val="0"/>
        <w:spacing w:line="360" w:lineRule="auto"/>
        <w:jc w:val="left"/>
        <w:rPr>
          <w:rFonts w:hint="eastAsia" w:ascii="宋体" w:hAnsi="宋体"/>
          <w:sz w:val="24"/>
        </w:rPr>
      </w:pPr>
      <w:r>
        <w:rPr>
          <w:rFonts w:hint="eastAsia" w:ascii="宋体" w:hAnsi="宋体"/>
          <w:sz w:val="24"/>
        </w:rPr>
        <w:t>2、安全性要求：</w:t>
      </w:r>
    </w:p>
    <w:p w14:paraId="01138395">
      <w:pPr>
        <w:adjustRightInd w:val="0"/>
        <w:snapToGrid w:val="0"/>
        <w:spacing w:line="360" w:lineRule="auto"/>
        <w:jc w:val="left"/>
        <w:rPr>
          <w:rFonts w:hint="eastAsia" w:ascii="宋体" w:hAnsi="宋体"/>
          <w:sz w:val="24"/>
        </w:rPr>
      </w:pPr>
      <w:r>
        <w:rPr>
          <w:rFonts w:hint="eastAsia" w:ascii="宋体" w:hAnsi="宋体"/>
          <w:sz w:val="24"/>
        </w:rPr>
        <w:t>1）数据加密：敏感数据需采用加密存储和传输。</w:t>
      </w:r>
    </w:p>
    <w:p w14:paraId="7B44EDC6">
      <w:pPr>
        <w:adjustRightInd w:val="0"/>
        <w:snapToGrid w:val="0"/>
        <w:spacing w:line="360" w:lineRule="auto"/>
        <w:jc w:val="left"/>
        <w:rPr>
          <w:rFonts w:hint="eastAsia" w:ascii="宋体" w:hAnsi="宋体"/>
          <w:sz w:val="24"/>
        </w:rPr>
      </w:pPr>
      <w:r>
        <w:rPr>
          <w:rFonts w:hint="eastAsia" w:ascii="宋体" w:hAnsi="宋体"/>
          <w:sz w:val="24"/>
        </w:rPr>
        <w:t>2）访问控制：系统应支持基于角色的权限管理，确保不同用户只能访问授权范围内的功能。</w:t>
      </w:r>
    </w:p>
    <w:p w14:paraId="61EB4D70">
      <w:pPr>
        <w:adjustRightInd w:val="0"/>
        <w:snapToGrid w:val="0"/>
        <w:spacing w:line="360" w:lineRule="auto"/>
        <w:jc w:val="left"/>
        <w:rPr>
          <w:rFonts w:hint="eastAsia" w:ascii="宋体" w:hAnsi="宋体"/>
          <w:sz w:val="24"/>
        </w:rPr>
      </w:pPr>
      <w:r>
        <w:rPr>
          <w:rFonts w:hint="eastAsia" w:ascii="宋体" w:hAnsi="宋体"/>
          <w:sz w:val="24"/>
        </w:rPr>
        <w:t>2）日志记录：系统需记录用户操作日志，支持追溯。</w:t>
      </w:r>
    </w:p>
    <w:p w14:paraId="178D73CB">
      <w:pPr>
        <w:adjustRightInd w:val="0"/>
        <w:snapToGrid w:val="0"/>
        <w:spacing w:line="360" w:lineRule="auto"/>
        <w:jc w:val="left"/>
        <w:rPr>
          <w:rFonts w:hint="eastAsia" w:ascii="宋体" w:hAnsi="宋体"/>
          <w:sz w:val="24"/>
        </w:rPr>
      </w:pPr>
      <w:r>
        <w:rPr>
          <w:rFonts w:hint="eastAsia" w:ascii="宋体" w:hAnsi="宋体"/>
          <w:sz w:val="24"/>
        </w:rPr>
        <w:t>3、验收要求：</w:t>
      </w:r>
    </w:p>
    <w:p w14:paraId="02D3DEA2">
      <w:pPr>
        <w:adjustRightInd w:val="0"/>
        <w:snapToGrid w:val="0"/>
        <w:spacing w:line="360" w:lineRule="auto"/>
        <w:jc w:val="left"/>
        <w:rPr>
          <w:rFonts w:hint="eastAsia" w:ascii="宋体" w:hAnsi="宋体"/>
          <w:sz w:val="24"/>
        </w:rPr>
      </w:pPr>
      <w:r>
        <w:rPr>
          <w:rFonts w:hint="eastAsia" w:ascii="宋体" w:hAnsi="宋体"/>
          <w:sz w:val="24"/>
        </w:rPr>
        <w:t>1）功能验收：系统需通过功能测试，确保所有功能模块符合需求文档要求。</w:t>
      </w:r>
    </w:p>
    <w:p w14:paraId="6664AF2B">
      <w:pPr>
        <w:adjustRightInd w:val="0"/>
        <w:snapToGrid w:val="0"/>
        <w:spacing w:line="360" w:lineRule="auto"/>
        <w:jc w:val="left"/>
        <w:rPr>
          <w:rFonts w:hint="eastAsia" w:ascii="宋体" w:hAnsi="宋体"/>
          <w:sz w:val="24"/>
        </w:rPr>
      </w:pPr>
      <w:r>
        <w:rPr>
          <w:rFonts w:hint="eastAsia" w:ascii="宋体" w:hAnsi="宋体"/>
          <w:sz w:val="24"/>
        </w:rPr>
        <w:t>2）性能验收：系统需通过性能测试，确保在高并发场景下满足性能指标。</w:t>
      </w:r>
    </w:p>
    <w:p w14:paraId="27497930">
      <w:pPr>
        <w:adjustRightInd w:val="0"/>
        <w:snapToGrid w:val="0"/>
        <w:spacing w:line="360" w:lineRule="auto"/>
        <w:jc w:val="left"/>
        <w:rPr>
          <w:rFonts w:hint="eastAsia" w:ascii="宋体" w:hAnsi="宋体"/>
          <w:sz w:val="24"/>
        </w:rPr>
      </w:pPr>
      <w:r>
        <w:rPr>
          <w:rFonts w:hint="eastAsia" w:ascii="宋体" w:hAnsi="宋体"/>
          <w:sz w:val="24"/>
        </w:rPr>
        <w:t>3）安全验收：系统需通过安全测试，确保符合等保要求及其他安全标准。</w:t>
      </w:r>
    </w:p>
    <w:p w14:paraId="71E6DA20">
      <w:pPr>
        <w:adjustRightInd w:val="0"/>
        <w:snapToGrid w:val="0"/>
        <w:spacing w:line="360" w:lineRule="auto"/>
        <w:jc w:val="left"/>
        <w:rPr>
          <w:rFonts w:hint="eastAsia" w:ascii="宋体" w:hAnsi="宋体"/>
          <w:sz w:val="24"/>
        </w:rPr>
      </w:pPr>
      <w:r>
        <w:rPr>
          <w:rFonts w:hint="eastAsia" w:ascii="宋体" w:hAnsi="宋体"/>
          <w:sz w:val="24"/>
        </w:rPr>
        <w:t>4）文档验收：投标人需提供完整的项目文档，包括建设方案、实施文档、测试报告、用户手册等。</w:t>
      </w:r>
    </w:p>
    <w:p w14:paraId="71636802">
      <w:pPr>
        <w:adjustRightInd w:val="0"/>
        <w:snapToGrid w:val="0"/>
        <w:spacing w:line="360" w:lineRule="auto"/>
        <w:jc w:val="left"/>
        <w:rPr>
          <w:rFonts w:hint="eastAsia" w:ascii="宋体" w:hAnsi="宋体"/>
          <w:sz w:val="24"/>
        </w:rPr>
      </w:pPr>
      <w:r>
        <w:rPr>
          <w:rFonts w:hint="eastAsia" w:ascii="宋体" w:hAnsi="宋体"/>
          <w:sz w:val="24"/>
        </w:rPr>
        <w:t>5）试运行验收：系统需经过一定时间的试运行，确保稳定性和可靠性。</w:t>
      </w:r>
    </w:p>
    <w:p w14:paraId="3E9B3739">
      <w:pPr>
        <w:adjustRightInd w:val="0"/>
        <w:snapToGrid w:val="0"/>
        <w:spacing w:line="360" w:lineRule="auto"/>
        <w:jc w:val="left"/>
        <w:rPr>
          <w:rFonts w:hint="eastAsia" w:ascii="宋体" w:hAnsi="宋体"/>
          <w:sz w:val="24"/>
        </w:rPr>
      </w:pPr>
      <w:r>
        <w:rPr>
          <w:rFonts w:hint="eastAsia" w:ascii="宋体" w:hAnsi="宋体" w:cs="宋体"/>
          <w:sz w:val="24"/>
        </w:rPr>
        <w:t>★</w:t>
      </w:r>
      <w:r>
        <w:rPr>
          <w:rFonts w:hint="eastAsia" w:ascii="宋体" w:hAnsi="宋体"/>
          <w:sz w:val="24"/>
        </w:rPr>
        <w:t>4、驻场要求（提供承诺函）：</w:t>
      </w:r>
    </w:p>
    <w:p w14:paraId="289383F6">
      <w:pPr>
        <w:adjustRightInd w:val="0"/>
        <w:snapToGrid w:val="0"/>
        <w:spacing w:line="360" w:lineRule="auto"/>
        <w:jc w:val="left"/>
        <w:rPr>
          <w:rFonts w:hint="eastAsia" w:ascii="宋体" w:hAnsi="宋体"/>
          <w:sz w:val="24"/>
        </w:rPr>
      </w:pPr>
      <w:r>
        <w:rPr>
          <w:rFonts w:hint="eastAsia" w:ascii="宋体" w:hAnsi="宋体"/>
          <w:sz w:val="24"/>
        </w:rPr>
        <w:t>1）根据招标人要求及实际情况提供驻场服务。</w:t>
      </w:r>
    </w:p>
    <w:p w14:paraId="7DBBD201">
      <w:pPr>
        <w:adjustRightInd w:val="0"/>
        <w:snapToGrid w:val="0"/>
        <w:spacing w:line="360" w:lineRule="auto"/>
        <w:jc w:val="left"/>
        <w:rPr>
          <w:rFonts w:hint="eastAsia" w:ascii="宋体" w:hAnsi="宋体"/>
          <w:sz w:val="24"/>
        </w:rPr>
      </w:pPr>
      <w:r>
        <w:rPr>
          <w:rFonts w:hint="eastAsia" w:ascii="宋体" w:hAnsi="宋体"/>
          <w:sz w:val="24"/>
        </w:rPr>
        <w:t>2）需提供7×24小时应急响应服务，确保在系统出现故障时能够及时处理。</w:t>
      </w:r>
    </w:p>
    <w:p w14:paraId="7832EED1">
      <w:pPr>
        <w:adjustRightInd w:val="0"/>
        <w:snapToGrid w:val="0"/>
        <w:spacing w:line="360" w:lineRule="auto"/>
        <w:jc w:val="left"/>
        <w:rPr>
          <w:rFonts w:ascii="宋体" w:hAnsi="宋体"/>
          <w:sz w:val="24"/>
        </w:rPr>
      </w:pPr>
      <w:r>
        <w:rPr>
          <w:rFonts w:hint="eastAsia" w:ascii="宋体" w:hAnsi="宋体"/>
          <w:sz w:val="24"/>
        </w:rPr>
        <w:t>3）驻场人数：≥ 5 人</w:t>
      </w:r>
    </w:p>
    <w:p w14:paraId="1529D4EC">
      <w:pPr>
        <w:adjustRightInd w:val="0"/>
        <w:snapToGrid w:val="0"/>
        <w:spacing w:line="360" w:lineRule="auto"/>
        <w:jc w:val="left"/>
        <w:rPr>
          <w:rFonts w:ascii="宋体" w:hAnsi="宋体"/>
          <w:sz w:val="24"/>
        </w:rPr>
      </w:pPr>
      <w:r>
        <w:rPr>
          <w:rFonts w:hint="eastAsia" w:ascii="宋体" w:hAnsi="宋体"/>
          <w:sz w:val="24"/>
        </w:rPr>
        <w:t>4）驻场工作时间：与招标人工作时间一致</w:t>
      </w:r>
    </w:p>
    <w:p w14:paraId="78F9F2BF">
      <w:pPr>
        <w:adjustRightInd w:val="0"/>
        <w:snapToGrid w:val="0"/>
        <w:spacing w:line="360" w:lineRule="auto"/>
        <w:jc w:val="left"/>
        <w:rPr>
          <w:rFonts w:ascii="宋体" w:hAnsi="宋体"/>
          <w:sz w:val="24"/>
        </w:rPr>
      </w:pPr>
      <w:r>
        <w:rPr>
          <w:rFonts w:hint="eastAsia" w:ascii="宋体" w:hAnsi="宋体"/>
          <w:sz w:val="24"/>
        </w:rPr>
        <w:t>5）资质：至少一名高级工程师、一名PMP认证项目经理、一名中级工程师及两名初级工程师。所有成员均需具备两年以上相关行业经验</w:t>
      </w:r>
    </w:p>
    <w:p w14:paraId="77029BEA">
      <w:pPr>
        <w:adjustRightInd w:val="0"/>
        <w:snapToGrid w:val="0"/>
        <w:spacing w:line="360" w:lineRule="auto"/>
        <w:jc w:val="left"/>
        <w:rPr>
          <w:rFonts w:hint="eastAsia" w:ascii="宋体" w:hAnsi="宋体"/>
          <w:sz w:val="24"/>
        </w:rPr>
      </w:pPr>
      <w:r>
        <w:rPr>
          <w:rFonts w:hint="eastAsia" w:ascii="宋体" w:hAnsi="宋体"/>
          <w:sz w:val="24"/>
        </w:rPr>
        <w:t>5、数据要求：</w:t>
      </w:r>
    </w:p>
    <w:p w14:paraId="1CF44D8A">
      <w:pPr>
        <w:adjustRightInd w:val="0"/>
        <w:snapToGrid w:val="0"/>
        <w:spacing w:line="360" w:lineRule="auto"/>
        <w:jc w:val="left"/>
        <w:rPr>
          <w:rFonts w:hint="eastAsia" w:ascii="宋体" w:hAnsi="宋体"/>
          <w:sz w:val="24"/>
        </w:rPr>
      </w:pPr>
      <w:r>
        <w:rPr>
          <w:rFonts w:hint="eastAsia" w:ascii="宋体" w:hAnsi="宋体"/>
          <w:sz w:val="24"/>
        </w:rPr>
        <w:t>1）数据准确性：系统需确保数据的准确性和完整性，避免数据丢失或错误。</w:t>
      </w:r>
    </w:p>
    <w:p w14:paraId="1A9FAD9C">
      <w:pPr>
        <w:adjustRightInd w:val="0"/>
        <w:snapToGrid w:val="0"/>
        <w:spacing w:line="360" w:lineRule="auto"/>
        <w:jc w:val="left"/>
        <w:rPr>
          <w:rFonts w:hint="eastAsia" w:ascii="宋体" w:hAnsi="宋体"/>
          <w:sz w:val="24"/>
        </w:rPr>
      </w:pPr>
      <w:r>
        <w:rPr>
          <w:rFonts w:hint="eastAsia" w:ascii="宋体" w:hAnsi="宋体"/>
          <w:sz w:val="24"/>
        </w:rPr>
        <w:t>2）数据一致性：系统需支持多数据源的数据同步，确保数据一致性。</w:t>
      </w:r>
    </w:p>
    <w:p w14:paraId="1EECDD33">
      <w:pPr>
        <w:adjustRightInd w:val="0"/>
        <w:snapToGrid w:val="0"/>
        <w:spacing w:line="360" w:lineRule="auto"/>
        <w:jc w:val="left"/>
        <w:rPr>
          <w:rFonts w:hint="eastAsia" w:ascii="宋体" w:hAnsi="宋体"/>
          <w:sz w:val="24"/>
        </w:rPr>
      </w:pPr>
      <w:r>
        <w:rPr>
          <w:rFonts w:hint="eastAsia" w:ascii="宋体" w:hAnsi="宋体"/>
          <w:sz w:val="24"/>
        </w:rPr>
        <w:t>3）数据备份：系统需提供定期数据备份功能，支持灾难恢复。</w:t>
      </w:r>
    </w:p>
    <w:p w14:paraId="51779752">
      <w:pPr>
        <w:adjustRightInd w:val="0"/>
        <w:snapToGrid w:val="0"/>
        <w:spacing w:line="360" w:lineRule="auto"/>
        <w:jc w:val="left"/>
        <w:rPr>
          <w:rFonts w:hint="eastAsia" w:ascii="宋体" w:hAnsi="宋体"/>
          <w:sz w:val="24"/>
        </w:rPr>
      </w:pPr>
      <w:r>
        <w:rPr>
          <w:rFonts w:hint="eastAsia" w:ascii="宋体" w:hAnsi="宋体"/>
          <w:sz w:val="24"/>
        </w:rPr>
        <w:t>4）数据接口：系统需提供标准化的数据接口，支持与其他系统进行数据交互。</w:t>
      </w:r>
    </w:p>
    <w:p w14:paraId="56BB37D7">
      <w:pPr>
        <w:adjustRightInd w:val="0"/>
        <w:snapToGrid w:val="0"/>
        <w:spacing w:line="360" w:lineRule="auto"/>
        <w:jc w:val="left"/>
        <w:rPr>
          <w:rFonts w:hint="eastAsia" w:ascii="宋体" w:hAnsi="宋体"/>
          <w:sz w:val="24"/>
        </w:rPr>
      </w:pPr>
      <w:r>
        <w:rPr>
          <w:rFonts w:hint="eastAsia" w:ascii="宋体" w:hAnsi="宋体"/>
          <w:sz w:val="24"/>
        </w:rPr>
        <w:t>5）数据隐私：系统需确保用户隐私数据的安全。</w:t>
      </w:r>
    </w:p>
    <w:p w14:paraId="1AAB9837">
      <w:pPr>
        <w:adjustRightInd w:val="0"/>
        <w:snapToGrid w:val="0"/>
        <w:spacing w:line="360" w:lineRule="auto"/>
        <w:jc w:val="left"/>
        <w:rPr>
          <w:rFonts w:ascii="宋体" w:hAnsi="宋体"/>
          <w:sz w:val="24"/>
        </w:rPr>
      </w:pPr>
      <w:r>
        <w:rPr>
          <w:rFonts w:hint="eastAsia" w:ascii="宋体" w:hAnsi="宋体"/>
          <w:sz w:val="24"/>
        </w:rPr>
        <w:t>6）接口费用：投标方需承担与院内其他系统接口对接产生的相关费用。</w:t>
      </w:r>
    </w:p>
    <w:p w14:paraId="2453CE2C">
      <w:pPr>
        <w:pStyle w:val="5"/>
        <w:snapToGrid w:val="0"/>
        <w:spacing w:line="360" w:lineRule="auto"/>
        <w:rPr>
          <w:rFonts w:hAnsi="宋体"/>
          <w:bCs/>
          <w:sz w:val="24"/>
          <w:szCs w:val="24"/>
        </w:rPr>
      </w:pPr>
    </w:p>
    <w:p w14:paraId="44C2E56B">
      <w:pPr>
        <w:pStyle w:val="5"/>
        <w:snapToGrid w:val="0"/>
        <w:spacing w:line="360" w:lineRule="auto"/>
        <w:rPr>
          <w:rFonts w:hint="eastAsia" w:hAnsi="宋体"/>
          <w:b/>
          <w:sz w:val="24"/>
          <w:szCs w:val="24"/>
        </w:rPr>
      </w:pPr>
      <w:r>
        <w:rPr>
          <w:rFonts w:hint="eastAsia" w:hAnsi="宋体"/>
          <w:b/>
          <w:sz w:val="24"/>
          <w:szCs w:val="24"/>
        </w:rPr>
        <w:t>三、运维要求</w:t>
      </w:r>
    </w:p>
    <w:p w14:paraId="7BB14E44">
      <w:pPr>
        <w:pStyle w:val="5"/>
        <w:snapToGrid w:val="0"/>
        <w:spacing w:line="360" w:lineRule="auto"/>
        <w:rPr>
          <w:rFonts w:hint="eastAsia" w:hAnsi="宋体"/>
          <w:bCs/>
          <w:sz w:val="24"/>
          <w:szCs w:val="24"/>
        </w:rPr>
      </w:pPr>
      <w:r>
        <w:rPr>
          <w:rFonts w:hint="eastAsia" w:hAnsi="宋体"/>
          <w:bCs/>
          <w:sz w:val="24"/>
          <w:szCs w:val="24"/>
        </w:rPr>
        <w:t>1、运维期：</w:t>
      </w:r>
      <w:r>
        <w:rPr>
          <w:rFonts w:hint="eastAsia"/>
          <w:sz w:val="24"/>
          <w:szCs w:val="24"/>
        </w:rPr>
        <w:t>自所有产品功能验收后12个月</w:t>
      </w:r>
    </w:p>
    <w:p w14:paraId="191EE1B5">
      <w:pPr>
        <w:pStyle w:val="5"/>
        <w:snapToGrid w:val="0"/>
        <w:spacing w:line="360" w:lineRule="auto"/>
        <w:rPr>
          <w:rFonts w:hint="eastAsia" w:hAnsi="宋体"/>
          <w:bCs/>
          <w:sz w:val="24"/>
          <w:szCs w:val="24"/>
        </w:rPr>
      </w:pPr>
      <w:r>
        <w:rPr>
          <w:rFonts w:hint="eastAsia" w:hAnsi="宋体"/>
          <w:bCs/>
          <w:sz w:val="24"/>
          <w:szCs w:val="24"/>
        </w:rPr>
        <w:t>2、服务要求：</w:t>
      </w:r>
    </w:p>
    <w:p w14:paraId="75116EF6">
      <w:pPr>
        <w:pStyle w:val="5"/>
        <w:snapToGrid w:val="0"/>
        <w:spacing w:line="360" w:lineRule="auto"/>
        <w:rPr>
          <w:rFonts w:hint="eastAsia" w:hAnsi="宋体"/>
          <w:bCs/>
          <w:sz w:val="24"/>
          <w:szCs w:val="24"/>
        </w:rPr>
      </w:pPr>
      <w:r>
        <w:rPr>
          <w:rFonts w:hint="eastAsia" w:hAnsi="宋体"/>
          <w:bCs/>
          <w:sz w:val="24"/>
          <w:szCs w:val="24"/>
        </w:rPr>
        <w:t>1）服务范围：包括系统监控、故障处理、性能优化、数据备份、安全防护等。</w:t>
      </w:r>
    </w:p>
    <w:p w14:paraId="205ED867">
      <w:pPr>
        <w:pStyle w:val="5"/>
        <w:snapToGrid w:val="0"/>
        <w:spacing w:line="360" w:lineRule="auto"/>
        <w:rPr>
          <w:rFonts w:hint="eastAsia" w:hAnsi="宋体"/>
          <w:bCs/>
          <w:sz w:val="24"/>
          <w:szCs w:val="24"/>
        </w:rPr>
      </w:pPr>
      <w:r>
        <w:rPr>
          <w:rFonts w:hint="eastAsia" w:hAnsi="宋体"/>
          <w:bCs/>
          <w:sz w:val="24"/>
          <w:szCs w:val="24"/>
        </w:rPr>
        <w:t>2）服务时间：提供7*24小时及时响应服务。</w:t>
      </w:r>
    </w:p>
    <w:p w14:paraId="6D0ED4FE">
      <w:pPr>
        <w:pStyle w:val="5"/>
        <w:snapToGrid w:val="0"/>
        <w:spacing w:line="360" w:lineRule="auto"/>
        <w:rPr>
          <w:rFonts w:hint="eastAsia" w:hAnsi="宋体"/>
          <w:bCs/>
          <w:sz w:val="24"/>
          <w:szCs w:val="24"/>
        </w:rPr>
      </w:pPr>
      <w:r>
        <w:rPr>
          <w:rFonts w:hint="eastAsia" w:hAnsi="宋体"/>
          <w:bCs/>
          <w:sz w:val="24"/>
          <w:szCs w:val="24"/>
        </w:rPr>
        <w:t>3）服务响应：规定故障响应时间（30分钟内响应）和解决时间（2小时内解决）。</w:t>
      </w:r>
    </w:p>
    <w:p w14:paraId="0A39CF04">
      <w:pPr>
        <w:pStyle w:val="5"/>
        <w:snapToGrid w:val="0"/>
        <w:spacing w:line="360" w:lineRule="auto"/>
        <w:rPr>
          <w:rFonts w:hint="eastAsia" w:hAnsi="宋体"/>
          <w:bCs/>
          <w:sz w:val="24"/>
          <w:szCs w:val="24"/>
        </w:rPr>
      </w:pPr>
      <w:r>
        <w:rPr>
          <w:rFonts w:hint="eastAsia" w:hAnsi="宋体"/>
          <w:bCs/>
          <w:sz w:val="24"/>
          <w:szCs w:val="24"/>
        </w:rPr>
        <w:t>4）服务报告：每季度提供运维报告，包括系统运行状态、故障处理情况、性能优化建议等。</w:t>
      </w:r>
    </w:p>
    <w:p w14:paraId="483818CD">
      <w:pPr>
        <w:pStyle w:val="5"/>
        <w:snapToGrid w:val="0"/>
        <w:spacing w:line="360" w:lineRule="auto"/>
        <w:rPr>
          <w:rFonts w:hint="eastAsia" w:hAnsi="宋体"/>
          <w:bCs/>
          <w:sz w:val="24"/>
          <w:szCs w:val="24"/>
        </w:rPr>
      </w:pPr>
      <w:r>
        <w:rPr>
          <w:rFonts w:hint="eastAsia" w:hAnsi="宋体" w:cs="宋体"/>
          <w:bCs/>
          <w:sz w:val="24"/>
          <w:szCs w:val="24"/>
        </w:rPr>
        <w:t>★</w:t>
      </w:r>
      <w:r>
        <w:rPr>
          <w:rFonts w:hint="eastAsia" w:hAnsi="宋体"/>
          <w:bCs/>
          <w:sz w:val="24"/>
          <w:szCs w:val="24"/>
        </w:rPr>
        <w:t>3、驻场要求（提供承诺函）：</w:t>
      </w:r>
    </w:p>
    <w:p w14:paraId="261151AA">
      <w:pPr>
        <w:pStyle w:val="5"/>
        <w:snapToGrid w:val="0"/>
        <w:spacing w:line="360" w:lineRule="auto"/>
        <w:rPr>
          <w:rFonts w:hint="eastAsia" w:hAnsi="宋体"/>
          <w:bCs/>
          <w:sz w:val="24"/>
          <w:szCs w:val="24"/>
        </w:rPr>
      </w:pPr>
      <w:r>
        <w:rPr>
          <w:rFonts w:hint="eastAsia" w:hAnsi="宋体"/>
          <w:bCs/>
          <w:sz w:val="24"/>
          <w:szCs w:val="24"/>
        </w:rPr>
        <w:t>1）根据</w:t>
      </w:r>
      <w:r>
        <w:rPr>
          <w:rFonts w:hint="eastAsia" w:hAnsi="宋体"/>
          <w:sz w:val="24"/>
        </w:rPr>
        <w:t>招标人</w:t>
      </w:r>
      <w:r>
        <w:rPr>
          <w:rFonts w:hint="eastAsia" w:hAnsi="宋体"/>
          <w:bCs/>
          <w:sz w:val="24"/>
          <w:szCs w:val="24"/>
        </w:rPr>
        <w:t>要求及实际情况提供驻场服务。</w:t>
      </w:r>
    </w:p>
    <w:p w14:paraId="416FA198">
      <w:pPr>
        <w:pStyle w:val="5"/>
        <w:snapToGrid w:val="0"/>
        <w:spacing w:line="360" w:lineRule="auto"/>
        <w:rPr>
          <w:rFonts w:hint="eastAsia" w:hAnsi="宋体"/>
          <w:bCs/>
          <w:sz w:val="24"/>
          <w:szCs w:val="24"/>
        </w:rPr>
      </w:pPr>
      <w:r>
        <w:rPr>
          <w:rFonts w:hint="eastAsia" w:hAnsi="宋体"/>
          <w:bCs/>
          <w:sz w:val="24"/>
          <w:szCs w:val="24"/>
        </w:rPr>
        <w:t>2）驻场人员资质要求：投标人派遣的驻场人员需具备相关行业2年以上经验.</w:t>
      </w:r>
    </w:p>
    <w:p w14:paraId="5DB8068A">
      <w:pPr>
        <w:pStyle w:val="5"/>
        <w:snapToGrid w:val="0"/>
        <w:spacing w:line="360" w:lineRule="auto"/>
        <w:rPr>
          <w:rFonts w:hint="eastAsia" w:hAnsi="宋体"/>
          <w:bCs/>
          <w:sz w:val="24"/>
          <w:szCs w:val="24"/>
        </w:rPr>
      </w:pPr>
      <w:r>
        <w:rPr>
          <w:rFonts w:hint="eastAsia" w:hAnsi="宋体"/>
          <w:bCs/>
          <w:sz w:val="24"/>
          <w:szCs w:val="24"/>
        </w:rPr>
        <w:t>3）驻场工作内容与职责：系统运维、技术支持、需求对接、开发调试等。</w:t>
      </w:r>
    </w:p>
    <w:p w14:paraId="48E41A4A">
      <w:pPr>
        <w:pStyle w:val="5"/>
        <w:snapToGrid w:val="0"/>
        <w:spacing w:line="360" w:lineRule="auto"/>
        <w:rPr>
          <w:rFonts w:hint="eastAsia" w:hAnsi="宋体"/>
          <w:bCs/>
          <w:sz w:val="24"/>
          <w:szCs w:val="24"/>
        </w:rPr>
      </w:pPr>
      <w:r>
        <w:rPr>
          <w:rFonts w:hint="eastAsia" w:hAnsi="宋体"/>
          <w:bCs/>
          <w:sz w:val="24"/>
          <w:szCs w:val="24"/>
        </w:rPr>
        <w:t>4）需提供7×24小时应急响应服务，确保在系统出现故障时能够及时处理。</w:t>
      </w:r>
    </w:p>
    <w:p w14:paraId="73A3EA66">
      <w:pPr>
        <w:pStyle w:val="5"/>
        <w:snapToGrid w:val="0"/>
        <w:spacing w:line="360" w:lineRule="auto"/>
        <w:rPr>
          <w:rFonts w:hint="eastAsia" w:hAnsi="宋体"/>
          <w:bCs/>
          <w:sz w:val="24"/>
          <w:szCs w:val="24"/>
        </w:rPr>
      </w:pPr>
      <w:r>
        <w:rPr>
          <w:rFonts w:hint="eastAsia" w:hAnsi="宋体"/>
          <w:bCs/>
          <w:sz w:val="24"/>
          <w:szCs w:val="24"/>
        </w:rPr>
        <w:t>5）遵守</w:t>
      </w:r>
      <w:r>
        <w:rPr>
          <w:rFonts w:hint="eastAsia" w:hAnsi="宋体"/>
          <w:sz w:val="24"/>
        </w:rPr>
        <w:t>招标人</w:t>
      </w:r>
      <w:r>
        <w:rPr>
          <w:rFonts w:hint="eastAsia" w:hAnsi="宋体"/>
          <w:bCs/>
          <w:sz w:val="24"/>
          <w:szCs w:val="24"/>
        </w:rPr>
        <w:t>的信息安全、保密协议及办公纪律，不得擅自接触与工作无关的</w:t>
      </w:r>
      <w:r>
        <w:rPr>
          <w:rFonts w:hint="eastAsia" w:hAnsi="宋体"/>
          <w:sz w:val="24"/>
        </w:rPr>
        <w:t>招标人</w:t>
      </w:r>
      <w:r>
        <w:rPr>
          <w:rFonts w:hint="eastAsia" w:hAnsi="宋体"/>
          <w:bCs/>
          <w:sz w:val="24"/>
          <w:szCs w:val="24"/>
        </w:rPr>
        <w:t>内部数据或设备。</w:t>
      </w:r>
    </w:p>
    <w:p w14:paraId="48DE6EEE">
      <w:pPr>
        <w:pStyle w:val="5"/>
        <w:snapToGrid w:val="0"/>
        <w:spacing w:line="360" w:lineRule="auto"/>
        <w:rPr>
          <w:rFonts w:hint="eastAsia" w:hAnsi="宋体"/>
          <w:bCs/>
          <w:sz w:val="24"/>
          <w:szCs w:val="24"/>
        </w:rPr>
      </w:pPr>
      <w:r>
        <w:rPr>
          <w:rFonts w:hint="eastAsia" w:hAnsi="宋体"/>
          <w:bCs/>
          <w:sz w:val="24"/>
          <w:szCs w:val="24"/>
        </w:rPr>
        <w:t>6）差旅、住宿、餐饮等费用由投标人承担。</w:t>
      </w:r>
    </w:p>
    <w:p w14:paraId="05C902E3">
      <w:pPr>
        <w:pStyle w:val="5"/>
        <w:snapToGrid w:val="0"/>
        <w:spacing w:line="360" w:lineRule="auto"/>
        <w:rPr>
          <w:rFonts w:hint="eastAsia" w:hAnsi="宋体"/>
          <w:bCs/>
          <w:sz w:val="24"/>
          <w:szCs w:val="24"/>
        </w:rPr>
      </w:pPr>
      <w:r>
        <w:rPr>
          <w:rFonts w:hint="eastAsia" w:hAnsi="宋体"/>
          <w:bCs/>
          <w:sz w:val="24"/>
          <w:szCs w:val="24"/>
        </w:rPr>
        <w:t>7）</w:t>
      </w:r>
      <w:r>
        <w:rPr>
          <w:rFonts w:hint="eastAsia" w:hAnsi="宋体"/>
          <w:sz w:val="24"/>
        </w:rPr>
        <w:t>招标人</w:t>
      </w:r>
      <w:r>
        <w:rPr>
          <w:rFonts w:hint="eastAsia" w:hAnsi="宋体"/>
          <w:bCs/>
          <w:sz w:val="24"/>
          <w:szCs w:val="24"/>
        </w:rPr>
        <w:t>可定期对驻场人员的工作质量进行考核，考核不达标时，投标人需调整人员或改进服务。</w:t>
      </w:r>
    </w:p>
    <w:p w14:paraId="6E21C6A0">
      <w:pPr>
        <w:pStyle w:val="5"/>
        <w:snapToGrid w:val="0"/>
        <w:spacing w:line="360" w:lineRule="auto"/>
        <w:rPr>
          <w:rFonts w:hint="eastAsia" w:hAnsi="宋体"/>
          <w:bCs/>
          <w:sz w:val="24"/>
          <w:szCs w:val="24"/>
        </w:rPr>
      </w:pPr>
      <w:r>
        <w:rPr>
          <w:rFonts w:hint="eastAsia" w:hAnsi="宋体"/>
          <w:bCs/>
          <w:sz w:val="24"/>
          <w:szCs w:val="24"/>
        </w:rPr>
        <w:t>3、验收要求：</w:t>
      </w:r>
    </w:p>
    <w:p w14:paraId="27171E11">
      <w:pPr>
        <w:pStyle w:val="5"/>
        <w:snapToGrid w:val="0"/>
        <w:spacing w:line="360" w:lineRule="auto"/>
        <w:rPr>
          <w:rFonts w:hint="eastAsia" w:hAnsi="宋体"/>
          <w:bCs/>
          <w:sz w:val="24"/>
          <w:szCs w:val="24"/>
        </w:rPr>
      </w:pPr>
      <w:r>
        <w:rPr>
          <w:rFonts w:hint="eastAsia" w:hAnsi="宋体"/>
          <w:bCs/>
          <w:sz w:val="24"/>
          <w:szCs w:val="24"/>
        </w:rPr>
        <w:t>1）运维服务验收：根据运维服务合同，对服务质量进行验收，包括故障处理时效、系统稳定性、用户满意度等。</w:t>
      </w:r>
    </w:p>
    <w:p w14:paraId="369569D5">
      <w:pPr>
        <w:pStyle w:val="5"/>
        <w:snapToGrid w:val="0"/>
        <w:spacing w:line="360" w:lineRule="auto"/>
        <w:rPr>
          <w:rFonts w:hint="eastAsia" w:hAnsi="宋体"/>
          <w:bCs/>
          <w:sz w:val="24"/>
          <w:szCs w:val="24"/>
        </w:rPr>
      </w:pPr>
      <w:r>
        <w:rPr>
          <w:rFonts w:hint="eastAsia" w:hAnsi="宋体"/>
          <w:bCs/>
          <w:sz w:val="24"/>
          <w:szCs w:val="24"/>
        </w:rPr>
        <w:t>2）文档验收：投标人需提供完整的运维文档，包括运维流程、故障处理记录、系统优化报告等。</w:t>
      </w:r>
    </w:p>
    <w:p w14:paraId="400E7C6C">
      <w:pPr>
        <w:pStyle w:val="5"/>
        <w:snapToGrid w:val="0"/>
        <w:spacing w:line="360" w:lineRule="auto"/>
        <w:rPr>
          <w:rFonts w:hint="eastAsia" w:hAnsi="宋体"/>
          <w:bCs/>
          <w:sz w:val="24"/>
          <w:szCs w:val="24"/>
        </w:rPr>
      </w:pPr>
      <w:r>
        <w:rPr>
          <w:rFonts w:hint="eastAsia" w:hAnsi="宋体"/>
          <w:bCs/>
          <w:sz w:val="24"/>
          <w:szCs w:val="24"/>
        </w:rPr>
        <w:t>4、服务满意度要求：</w:t>
      </w:r>
    </w:p>
    <w:p w14:paraId="642F8C78">
      <w:pPr>
        <w:pStyle w:val="5"/>
        <w:snapToGrid w:val="0"/>
        <w:spacing w:line="360" w:lineRule="auto"/>
        <w:rPr>
          <w:rFonts w:hint="eastAsia" w:hAnsi="宋体"/>
          <w:bCs/>
          <w:sz w:val="24"/>
          <w:szCs w:val="24"/>
        </w:rPr>
      </w:pPr>
      <w:r>
        <w:rPr>
          <w:rFonts w:hint="eastAsia" w:hAnsi="宋体"/>
          <w:bCs/>
          <w:sz w:val="24"/>
          <w:szCs w:val="24"/>
        </w:rPr>
        <w:t>满意度调查：每季度进行用户满意度调查，收集用户反馈并改进服务。</w:t>
      </w:r>
    </w:p>
    <w:p w14:paraId="7ED83117">
      <w:pPr>
        <w:pStyle w:val="5"/>
        <w:snapToGrid w:val="0"/>
        <w:spacing w:line="360" w:lineRule="auto"/>
        <w:rPr>
          <w:rFonts w:hint="eastAsia" w:hAnsi="宋体"/>
          <w:bCs/>
          <w:sz w:val="24"/>
          <w:szCs w:val="24"/>
        </w:rPr>
      </w:pPr>
      <w:r>
        <w:rPr>
          <w:rFonts w:hint="eastAsia" w:hAnsi="宋体"/>
          <w:bCs/>
          <w:sz w:val="24"/>
          <w:szCs w:val="24"/>
        </w:rPr>
        <w:t>5、数据保密要求：</w:t>
      </w:r>
    </w:p>
    <w:p w14:paraId="21E6ECE1">
      <w:pPr>
        <w:pStyle w:val="5"/>
        <w:snapToGrid w:val="0"/>
        <w:spacing w:line="360" w:lineRule="auto"/>
        <w:rPr>
          <w:rFonts w:hint="eastAsia" w:hAnsi="宋体"/>
          <w:bCs/>
          <w:sz w:val="24"/>
          <w:szCs w:val="24"/>
        </w:rPr>
      </w:pPr>
      <w:r>
        <w:rPr>
          <w:rFonts w:hint="eastAsia" w:hAnsi="宋体"/>
          <w:bCs/>
          <w:sz w:val="24"/>
          <w:szCs w:val="24"/>
        </w:rPr>
        <w:t>1）保密协议：运维人员需签署保密协议，确保不泄露系统数据及用户信息。</w:t>
      </w:r>
    </w:p>
    <w:p w14:paraId="53B8A2DB">
      <w:pPr>
        <w:pStyle w:val="5"/>
        <w:snapToGrid w:val="0"/>
        <w:spacing w:line="360" w:lineRule="auto"/>
        <w:rPr>
          <w:rFonts w:hint="eastAsia" w:hAnsi="宋体"/>
          <w:bCs/>
          <w:sz w:val="24"/>
          <w:szCs w:val="24"/>
        </w:rPr>
      </w:pPr>
      <w:r>
        <w:rPr>
          <w:rFonts w:hint="eastAsia" w:hAnsi="宋体"/>
          <w:bCs/>
          <w:sz w:val="24"/>
          <w:szCs w:val="24"/>
        </w:rPr>
        <w:t>2）数据访问控制：运维人员只能访问与其工作相关的数据，禁止越权访问。</w:t>
      </w:r>
    </w:p>
    <w:p w14:paraId="2329D7EC">
      <w:pPr>
        <w:pStyle w:val="5"/>
        <w:snapToGrid w:val="0"/>
        <w:spacing w:line="360" w:lineRule="auto"/>
        <w:rPr>
          <w:rFonts w:hint="eastAsia" w:hAnsi="宋体"/>
          <w:bCs/>
          <w:sz w:val="24"/>
          <w:szCs w:val="24"/>
        </w:rPr>
      </w:pPr>
      <w:r>
        <w:rPr>
          <w:rFonts w:hint="eastAsia" w:hAnsi="宋体"/>
          <w:bCs/>
          <w:sz w:val="24"/>
          <w:szCs w:val="24"/>
        </w:rPr>
        <w:t>3）数据加密：运维过程中涉及的数据传输和存储需采用加密措施。</w:t>
      </w:r>
    </w:p>
    <w:p w14:paraId="2107CAAE">
      <w:pPr>
        <w:pStyle w:val="5"/>
        <w:snapToGrid w:val="0"/>
        <w:spacing w:line="360" w:lineRule="auto"/>
        <w:rPr>
          <w:rFonts w:hint="eastAsia" w:hAnsi="宋体"/>
          <w:bCs/>
          <w:sz w:val="24"/>
          <w:szCs w:val="24"/>
        </w:rPr>
      </w:pPr>
      <w:r>
        <w:rPr>
          <w:rFonts w:hint="eastAsia" w:hAnsi="宋体"/>
          <w:bCs/>
          <w:sz w:val="24"/>
          <w:szCs w:val="24"/>
        </w:rPr>
        <w:t>4）日志记录：记录运维人员的操作日志，支持追溯。</w:t>
      </w:r>
    </w:p>
    <w:p w14:paraId="2C4D32C0">
      <w:pPr>
        <w:pStyle w:val="5"/>
        <w:snapToGrid w:val="0"/>
        <w:spacing w:line="360" w:lineRule="auto"/>
        <w:rPr>
          <w:rFonts w:hint="eastAsia" w:hAnsi="宋体"/>
          <w:bCs/>
          <w:sz w:val="24"/>
          <w:szCs w:val="24"/>
        </w:rPr>
      </w:pPr>
    </w:p>
    <w:p w14:paraId="53B245D1">
      <w:pPr>
        <w:pStyle w:val="5"/>
        <w:snapToGrid w:val="0"/>
        <w:spacing w:line="360" w:lineRule="auto"/>
        <w:rPr>
          <w:rFonts w:hint="eastAsia" w:hAnsi="宋体"/>
          <w:b/>
          <w:sz w:val="24"/>
          <w:szCs w:val="24"/>
        </w:rPr>
      </w:pPr>
      <w:r>
        <w:rPr>
          <w:rFonts w:hint="eastAsia" w:hAnsi="宋体"/>
          <w:b/>
          <w:sz w:val="24"/>
          <w:szCs w:val="24"/>
        </w:rPr>
        <w:t>四、本项目的软著/专利归属</w:t>
      </w:r>
    </w:p>
    <w:p w14:paraId="4E061393">
      <w:pPr>
        <w:pStyle w:val="5"/>
        <w:snapToGrid w:val="0"/>
        <w:spacing w:line="360" w:lineRule="auto"/>
        <w:rPr>
          <w:rFonts w:hint="eastAsia" w:hAnsi="宋体"/>
          <w:bCs/>
          <w:sz w:val="24"/>
          <w:szCs w:val="24"/>
        </w:rPr>
      </w:pPr>
      <w:r>
        <w:rPr>
          <w:rFonts w:hint="eastAsia" w:hAnsi="宋体"/>
          <w:bCs/>
          <w:sz w:val="24"/>
          <w:szCs w:val="24"/>
        </w:rPr>
        <w:t>1、专利归属：采用"共同申请"模式，双方将作为共同专利权人出现在专利文件中。</w:t>
      </w:r>
    </w:p>
    <w:p w14:paraId="0B4512B3">
      <w:pPr>
        <w:pStyle w:val="5"/>
        <w:snapToGrid w:val="0"/>
        <w:spacing w:line="360" w:lineRule="auto"/>
        <w:rPr>
          <w:rFonts w:hint="eastAsia" w:hAnsi="宋体"/>
          <w:bCs/>
          <w:sz w:val="24"/>
          <w:szCs w:val="24"/>
        </w:rPr>
      </w:pPr>
      <w:r>
        <w:rPr>
          <w:rFonts w:hint="eastAsia" w:hAnsi="宋体"/>
          <w:bCs/>
          <w:sz w:val="24"/>
          <w:szCs w:val="24"/>
        </w:rPr>
        <w:t>2、软件著作权：明确归属投标人所有，投标人将作为唯一著作权人。</w:t>
      </w:r>
    </w:p>
    <w:p w14:paraId="4E98A866">
      <w:pPr>
        <w:pStyle w:val="5"/>
        <w:snapToGrid w:val="0"/>
        <w:spacing w:after="156" w:afterLines="50"/>
        <w:rPr>
          <w:rFonts w:hint="eastAsia" w:hAnsi="宋体"/>
          <w:bCs/>
          <w:sz w:val="24"/>
          <w:szCs w:val="24"/>
        </w:rPr>
      </w:pPr>
    </w:p>
    <w:p w14:paraId="188A427E">
      <w:pPr>
        <w:pStyle w:val="5"/>
        <w:snapToGrid w:val="0"/>
        <w:spacing w:after="156" w:afterLines="50"/>
        <w:rPr>
          <w:rFonts w:hAnsi="宋体"/>
          <w:b/>
          <w:sz w:val="24"/>
          <w:szCs w:val="24"/>
        </w:rPr>
      </w:pPr>
      <w:r>
        <w:rPr>
          <w:rFonts w:hint="eastAsia" w:hAnsi="宋体"/>
          <w:b/>
          <w:sz w:val="24"/>
          <w:szCs w:val="24"/>
        </w:rPr>
        <w:t>五、具体技术功能要求</w:t>
      </w:r>
    </w:p>
    <w:p w14:paraId="71D7B1D3">
      <w:pPr>
        <w:pStyle w:val="5"/>
        <w:snapToGrid w:val="0"/>
        <w:spacing w:after="156" w:afterLines="50"/>
        <w:rPr>
          <w:rFonts w:hint="eastAsia" w:hAnsi="宋体"/>
          <w:bCs/>
          <w:sz w:val="24"/>
          <w:szCs w:val="24"/>
        </w:rPr>
      </w:pPr>
      <w:r>
        <w:rPr>
          <w:rFonts w:hint="eastAsia" w:hAnsi="宋体"/>
          <w:bCs/>
          <w:sz w:val="24"/>
          <w:szCs w:val="24"/>
        </w:rPr>
        <w:t>1、药物治疗管理模块</w:t>
      </w:r>
    </w:p>
    <w:tbl>
      <w:tblPr>
        <w:tblStyle w:val="10"/>
        <w:tblW w:w="9835" w:type="dxa"/>
        <w:jc w:val="center"/>
        <w:tblLayout w:type="fixed"/>
        <w:tblCellMar>
          <w:top w:w="32" w:type="dxa"/>
          <w:left w:w="64" w:type="dxa"/>
          <w:bottom w:w="32" w:type="dxa"/>
          <w:right w:w="64" w:type="dxa"/>
        </w:tblCellMar>
      </w:tblPr>
      <w:tblGrid>
        <w:gridCol w:w="1146"/>
        <w:gridCol w:w="1901"/>
        <w:gridCol w:w="6788"/>
      </w:tblGrid>
      <w:tr w14:paraId="343C4254">
        <w:tblPrEx>
          <w:tblCellMar>
            <w:top w:w="32" w:type="dxa"/>
            <w:left w:w="64" w:type="dxa"/>
            <w:bottom w:w="32" w:type="dxa"/>
            <w:right w:w="64" w:type="dxa"/>
          </w:tblCellMar>
        </w:tblPrEx>
        <w:trPr>
          <w:tblHeader/>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086C50B">
            <w:pPr>
              <w:widowControl/>
              <w:snapToGrid w:val="0"/>
              <w:spacing w:line="360" w:lineRule="auto"/>
              <w:jc w:val="center"/>
              <w:textAlignment w:val="center"/>
              <w:rPr>
                <w:rFonts w:hint="eastAsia" w:ascii="宋体" w:hAnsi="宋体" w:cs="宋体"/>
                <w:b/>
                <w:color w:val="000000"/>
                <w:sz w:val="24"/>
              </w:rPr>
            </w:pPr>
            <w:r>
              <w:rPr>
                <w:rFonts w:hint="eastAsia" w:ascii="宋体" w:hAnsi="宋体" w:cs="宋体"/>
                <w:b/>
                <w:snapToGrid w:val="0"/>
                <w:color w:val="000000"/>
                <w:kern w:val="0"/>
                <w:sz w:val="24"/>
                <w:lang w:bidi="ar"/>
              </w:rPr>
              <w:t>序号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091C239">
            <w:pPr>
              <w:widowControl/>
              <w:snapToGrid w:val="0"/>
              <w:spacing w:line="360" w:lineRule="auto"/>
              <w:jc w:val="center"/>
              <w:textAlignment w:val="center"/>
              <w:rPr>
                <w:rFonts w:hint="eastAsia" w:ascii="宋体" w:hAnsi="宋体" w:cs="宋体"/>
                <w:b/>
                <w:color w:val="000000"/>
                <w:sz w:val="24"/>
              </w:rPr>
            </w:pPr>
            <w:r>
              <w:rPr>
                <w:rFonts w:hint="eastAsia" w:ascii="宋体" w:hAnsi="宋体" w:cs="宋体"/>
                <w:b/>
                <w:color w:val="000000"/>
                <w:sz w:val="24"/>
              </w:rPr>
              <w:t>功能名称</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161A89D8">
            <w:pPr>
              <w:snapToGrid w:val="0"/>
              <w:spacing w:line="360" w:lineRule="auto"/>
              <w:jc w:val="center"/>
              <w:rPr>
                <w:rFonts w:hint="eastAsia" w:ascii="宋体" w:hAnsi="宋体" w:cs="宋体"/>
                <w:b/>
                <w:color w:val="000000"/>
                <w:sz w:val="24"/>
              </w:rPr>
            </w:pPr>
            <w:r>
              <w:rPr>
                <w:rFonts w:hint="eastAsia" w:ascii="宋体" w:hAnsi="宋体" w:cs="宋体"/>
                <w:b/>
                <w:snapToGrid w:val="0"/>
                <w:color w:val="000000"/>
                <w:kern w:val="0"/>
                <w:sz w:val="24"/>
                <w:lang w:bidi="ar"/>
              </w:rPr>
              <w:t>具体功能技术要求</w:t>
            </w:r>
          </w:p>
        </w:tc>
      </w:tr>
      <w:tr w14:paraId="6F627ED3">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170E4">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FF6C6">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系统架构</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C77DDA8">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1.1采用B/S架构，内网部署。</w:t>
            </w:r>
          </w:p>
        </w:tc>
      </w:tr>
      <w:tr w14:paraId="3FDF1E58">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45833">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10A46">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C14E110">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1.2通过设置好的账号和密码进行登录。</w:t>
            </w:r>
          </w:p>
        </w:tc>
      </w:tr>
      <w:tr w14:paraId="724A1DE6">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5FE20">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2</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4B807">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系统管理</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4A5603EA">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2.1用户管理，对系统的用户进行管理，支持增删改。</w:t>
            </w:r>
          </w:p>
        </w:tc>
      </w:tr>
      <w:tr w14:paraId="2715C6DD">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663CB">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7AE8F">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9868805">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2.2角色管理，设置角色和分配权限，支持增删改。</w:t>
            </w:r>
          </w:p>
        </w:tc>
      </w:tr>
      <w:tr w14:paraId="5B6B21C2">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40A6B">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E9059">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447140E6">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2.3科室管理，对科室信息进行管理，支持增删改。</w:t>
            </w:r>
          </w:p>
        </w:tc>
      </w:tr>
      <w:tr w14:paraId="7EC8F7BE">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B3116">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4A6E2">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27495E6">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2.4资源管理，对菜单及其他功能按键进行管理。</w:t>
            </w:r>
          </w:p>
        </w:tc>
      </w:tr>
      <w:tr w14:paraId="18E68E5F">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nil"/>
              <w:right w:val="single" w:color="000000" w:sz="4" w:space="0"/>
            </w:tcBorders>
            <w:noWrap w:val="0"/>
            <w:vAlign w:val="center"/>
          </w:tcPr>
          <w:p w14:paraId="51933C81">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3</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99F601">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患者建档</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56E0653">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3.1支持通过与医院信息系统对接，或人工录入方式，为患者建档。</w:t>
            </w:r>
          </w:p>
        </w:tc>
      </w:tr>
      <w:tr w14:paraId="5C36C8EF">
        <w:tblPrEx>
          <w:tblCellMar>
            <w:top w:w="32" w:type="dxa"/>
            <w:left w:w="64" w:type="dxa"/>
            <w:bottom w:w="32" w:type="dxa"/>
            <w:right w:w="64" w:type="dxa"/>
          </w:tblCellMar>
        </w:tblPrEx>
        <w:trPr>
          <w:trHeight w:val="467" w:hRule="atLeast"/>
          <w:jc w:val="center"/>
        </w:trPr>
        <w:tc>
          <w:tcPr>
            <w:tcW w:w="1146" w:type="dxa"/>
            <w:vMerge w:val="continue"/>
            <w:tcBorders>
              <w:top w:val="single" w:color="000000" w:sz="4" w:space="0"/>
              <w:left w:val="single" w:color="000000" w:sz="4" w:space="0"/>
              <w:bottom w:val="nil"/>
              <w:right w:val="single" w:color="000000" w:sz="4" w:space="0"/>
            </w:tcBorders>
            <w:noWrap w:val="0"/>
            <w:vAlign w:val="center"/>
          </w:tcPr>
          <w:p w14:paraId="730CD017">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17202">
            <w:pPr>
              <w:snapToGrid w:val="0"/>
              <w:spacing w:line="360" w:lineRule="auto"/>
              <w:jc w:val="center"/>
              <w:rPr>
                <w:rFonts w:ascii="宋体" w:hAnsi="宋体" w:cs="宋体"/>
                <w:color w:val="000000"/>
                <w:sz w:val="24"/>
              </w:rPr>
            </w:pPr>
          </w:p>
        </w:tc>
        <w:tc>
          <w:tcPr>
            <w:tcW w:w="67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0C182">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3.2患者档案包括既往史、诊断、用药记录和检验检查结果等信息，可根据信息系统现有接口获取或人工编辑。</w:t>
            </w:r>
          </w:p>
        </w:tc>
      </w:tr>
      <w:tr w14:paraId="3459F553">
        <w:tblPrEx>
          <w:tblCellMar>
            <w:top w:w="32" w:type="dxa"/>
            <w:left w:w="64" w:type="dxa"/>
            <w:bottom w:w="32" w:type="dxa"/>
            <w:right w:w="64" w:type="dxa"/>
          </w:tblCellMar>
        </w:tblPrEx>
        <w:trPr>
          <w:trHeight w:val="467" w:hRule="atLeast"/>
          <w:jc w:val="center"/>
        </w:trPr>
        <w:tc>
          <w:tcPr>
            <w:tcW w:w="1146" w:type="dxa"/>
            <w:vMerge w:val="continue"/>
            <w:tcBorders>
              <w:top w:val="single" w:color="000000" w:sz="4" w:space="0"/>
              <w:left w:val="single" w:color="000000" w:sz="4" w:space="0"/>
              <w:bottom w:val="nil"/>
              <w:right w:val="single" w:color="000000" w:sz="4" w:space="0"/>
            </w:tcBorders>
            <w:noWrap w:val="0"/>
            <w:vAlign w:val="center"/>
          </w:tcPr>
          <w:p w14:paraId="3B9E2474">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C7E80">
            <w:pPr>
              <w:snapToGrid w:val="0"/>
              <w:spacing w:line="360" w:lineRule="auto"/>
              <w:jc w:val="center"/>
              <w:rPr>
                <w:rFonts w:ascii="宋体" w:hAnsi="宋体" w:cs="宋体"/>
                <w:color w:val="000000"/>
                <w:sz w:val="24"/>
              </w:rPr>
            </w:pPr>
          </w:p>
        </w:tc>
        <w:tc>
          <w:tcPr>
            <w:tcW w:w="67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4E5C9">
            <w:pPr>
              <w:snapToGrid w:val="0"/>
              <w:spacing w:line="360" w:lineRule="auto"/>
              <w:jc w:val="left"/>
              <w:rPr>
                <w:rFonts w:ascii="宋体" w:hAnsi="宋体" w:cs="宋体"/>
                <w:sz w:val="24"/>
              </w:rPr>
            </w:pPr>
          </w:p>
        </w:tc>
      </w:tr>
      <w:tr w14:paraId="0E4180A9">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4B4103">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4</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51A8B">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治疗目标</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8825D6F">
            <w:pPr>
              <w:widowControl/>
              <w:snapToGrid w:val="0"/>
              <w:spacing w:line="360" w:lineRule="auto"/>
              <w:jc w:val="left"/>
              <w:textAlignment w:val="center"/>
              <w:rPr>
                <w:rFonts w:hint="eastAsia" w:ascii="宋体" w:hAnsi="宋体" w:cs="宋体"/>
                <w:sz w:val="24"/>
              </w:rPr>
            </w:pPr>
            <w:r>
              <w:rPr>
                <w:rFonts w:hint="eastAsia" w:ascii="宋体" w:hAnsi="宋体" w:cs="宋体"/>
                <w:snapToGrid w:val="0"/>
                <w:kern w:val="0"/>
                <w:sz w:val="24"/>
                <w:lang w:bidi="ar"/>
              </w:rPr>
              <w:t>▲4.1支持药师为患有高血压、糖尿病、高脂血症等疾病的患者设置个体化疾病控制目标；可根据</w:t>
            </w:r>
            <w:r>
              <w:rPr>
                <w:rFonts w:hint="eastAsia"/>
                <w:sz w:val="24"/>
              </w:rPr>
              <w:t>循证医学证据</w:t>
            </w:r>
            <w:r>
              <w:rPr>
                <w:rFonts w:hint="eastAsia" w:ascii="宋体" w:hAnsi="宋体" w:cs="宋体"/>
                <w:snapToGrid w:val="0"/>
                <w:kern w:val="0"/>
                <w:sz w:val="24"/>
                <w:lang w:bidi="ar"/>
              </w:rPr>
              <w:t>中推荐的目标值（可查看参考来源）或自定义数值范围设置。（提供系统截图）</w:t>
            </w:r>
          </w:p>
        </w:tc>
      </w:tr>
      <w:tr w14:paraId="211DE9CB">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73B8F">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14133">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16DAD08">
            <w:pPr>
              <w:widowControl/>
              <w:snapToGrid w:val="0"/>
              <w:spacing w:line="360" w:lineRule="auto"/>
              <w:jc w:val="left"/>
              <w:textAlignment w:val="center"/>
              <w:rPr>
                <w:rFonts w:hint="eastAsia" w:ascii="宋体" w:hAnsi="宋体" w:cs="宋体"/>
                <w:sz w:val="24"/>
              </w:rPr>
            </w:pPr>
            <w:r>
              <w:rPr>
                <w:rFonts w:hint="eastAsia" w:ascii="宋体" w:hAnsi="宋体" w:cs="宋体"/>
                <w:snapToGrid w:val="0"/>
                <w:color w:val="auto"/>
                <w:kern w:val="0"/>
                <w:sz w:val="24"/>
                <w:lang w:bidi="ar"/>
              </w:rPr>
              <w:t>▲4.2支持药师为患者设置不同病种的随访套餐，至少包括随访项目和随访周期。（提供视频演示）</w:t>
            </w:r>
          </w:p>
        </w:tc>
      </w:tr>
      <w:tr w14:paraId="76F404D3">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5D78D5">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5</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F2CA3">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用药教育</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4B51708">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5.1内置用药教育专论知识库，至少包括临床常用中西药物的用药注意事项等教育内容。</w:t>
            </w:r>
          </w:p>
        </w:tc>
      </w:tr>
      <w:tr w14:paraId="42D84BB3">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DADDE">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CE631">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256E62C">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5.2用药教育单至少包含药品的用药时间、用药方法、用药注意事项内容。</w:t>
            </w:r>
          </w:p>
        </w:tc>
      </w:tr>
      <w:tr w14:paraId="7E6208FD">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8C084">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9D68AB">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D9C8B74">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5.3支持生成带有用药时间轴的用药教育单。</w:t>
            </w:r>
          </w:p>
        </w:tc>
      </w:tr>
      <w:tr w14:paraId="7EA03A10">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CCDE96">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91B32">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3DED6905">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5.4支持药师对教育单内容进行二次编辑。</w:t>
            </w:r>
          </w:p>
        </w:tc>
      </w:tr>
      <w:tr w14:paraId="03929993">
        <w:tblPrEx>
          <w:tblCellMar>
            <w:top w:w="32" w:type="dxa"/>
            <w:left w:w="64" w:type="dxa"/>
            <w:bottom w:w="32" w:type="dxa"/>
            <w:right w:w="64" w:type="dxa"/>
          </w:tblCellMar>
        </w:tblPrEx>
        <w:trPr>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E1EAC5E">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6</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EE4197D">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历史记录</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32F6C726">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6可实现按日期快捷回溯患者历次药物治疗管理记录。</w:t>
            </w:r>
          </w:p>
        </w:tc>
      </w:tr>
      <w:tr w14:paraId="4E0ABB38">
        <w:tblPrEx>
          <w:tblCellMar>
            <w:top w:w="32" w:type="dxa"/>
            <w:left w:w="64" w:type="dxa"/>
            <w:bottom w:w="32" w:type="dxa"/>
            <w:right w:w="64" w:type="dxa"/>
          </w:tblCellMar>
        </w:tblPrEx>
        <w:trPr>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A0504A4">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7</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8068C02">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电子药历</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43EAB828">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7可根据信息系统的数据接口获取的患者医疗信息及药师评估内容生成药学门诊基于SOAP规范的电子药历。</w:t>
            </w:r>
          </w:p>
        </w:tc>
      </w:tr>
      <w:tr w14:paraId="55E222F8">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80A22">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8</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86F61">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药物治疗评估</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B921203">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8.1内置系统评估表，辅助药师快速完善患者主诉内容。</w:t>
            </w:r>
          </w:p>
        </w:tc>
      </w:tr>
      <w:tr w14:paraId="12845951">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B5039">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18E17">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74CA8DC">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8.2内置肿瘤、咳喘、疼痛、精神、依从性、肝功能等专业评估量表，辅助药师快速掌握患者疾病控制情况并查阅历史评估结果（选项、得分）。</w:t>
            </w:r>
          </w:p>
        </w:tc>
      </w:tr>
      <w:tr w14:paraId="0067587F">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FFFE0">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BAF3B">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298C996">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8.3药师可依据安全性、有效性、适应性和依从性等维度分类记录药物治疗相关问题。</w:t>
            </w:r>
          </w:p>
        </w:tc>
      </w:tr>
      <w:tr w14:paraId="3AE5658D">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2386E">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FE93D">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ign w:val="center"/>
          </w:tcPr>
          <w:p w14:paraId="78B1B0D6">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8.4药师对历次管理中未解决的药物治疗相关问题和未完成的行动计划进行再次评估。</w:t>
            </w:r>
          </w:p>
        </w:tc>
      </w:tr>
      <w:tr w14:paraId="7748A3FA">
        <w:tblPrEx>
          <w:tblCellMar>
            <w:top w:w="32" w:type="dxa"/>
            <w:left w:w="64" w:type="dxa"/>
            <w:bottom w:w="32" w:type="dxa"/>
            <w:right w:w="64" w:type="dxa"/>
          </w:tblCellMar>
        </w:tblPrEx>
        <w:trPr>
          <w:jc w:val="center"/>
        </w:trPr>
        <w:tc>
          <w:tcPr>
            <w:tcW w:w="1146" w:type="dxa"/>
            <w:vMerge w:val="restart"/>
            <w:tcBorders>
              <w:top w:val="nil"/>
              <w:left w:val="single" w:color="000000" w:sz="4" w:space="0"/>
              <w:bottom w:val="nil"/>
              <w:right w:val="single" w:color="000000" w:sz="4" w:space="0"/>
            </w:tcBorders>
            <w:noWrap w:val="0"/>
            <w:vAlign w:val="center"/>
          </w:tcPr>
          <w:p w14:paraId="0C941248">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9</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928A8">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用药建议</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CBA70CA">
            <w:pPr>
              <w:widowControl/>
              <w:snapToGrid w:val="0"/>
              <w:spacing w:line="360" w:lineRule="auto"/>
              <w:jc w:val="left"/>
              <w:textAlignment w:val="center"/>
              <w:rPr>
                <w:rFonts w:ascii="宋体" w:hAnsi="宋体" w:cs="宋体"/>
                <w:sz w:val="24"/>
              </w:rPr>
            </w:pPr>
            <w:r>
              <w:rPr>
                <w:rFonts w:hint="eastAsia" w:ascii="宋体" w:hAnsi="宋体" w:cs="宋体"/>
                <w:snapToGrid w:val="0"/>
                <w:color w:val="auto"/>
                <w:kern w:val="0"/>
                <w:sz w:val="24"/>
                <w:lang w:bidi="ar"/>
              </w:rPr>
              <w:t>▲9.1系统可根据患者诊疗情况自动生成用药建议，建议内容至少包含药物-药物和药物-食物联用风险审查、老年用药风险提示、妊娠哺乳用药建议、肝肾功能不全剂量调整、用药警示、监护要点等内容。（提供视频演示）</w:t>
            </w:r>
          </w:p>
        </w:tc>
      </w:tr>
      <w:tr w14:paraId="1C056D36">
        <w:tblPrEx>
          <w:tblCellMar>
            <w:top w:w="32" w:type="dxa"/>
            <w:left w:w="64" w:type="dxa"/>
            <w:bottom w:w="32" w:type="dxa"/>
            <w:right w:w="64" w:type="dxa"/>
          </w:tblCellMar>
        </w:tblPrEx>
        <w:trPr>
          <w:jc w:val="center"/>
        </w:trPr>
        <w:tc>
          <w:tcPr>
            <w:tcW w:w="1146" w:type="dxa"/>
            <w:vMerge w:val="continue"/>
            <w:tcBorders>
              <w:top w:val="nil"/>
              <w:left w:val="single" w:color="000000" w:sz="4" w:space="0"/>
              <w:bottom w:val="nil"/>
              <w:right w:val="single" w:color="000000" w:sz="4" w:space="0"/>
            </w:tcBorders>
            <w:noWrap w:val="0"/>
            <w:vAlign w:val="center"/>
          </w:tcPr>
          <w:p w14:paraId="1BDC1CA1">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9841C">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7F2B40A">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9.2药物相互作用、剂量调整建议及不良反应提示内容可快速导入药物治疗相关问题列表。</w:t>
            </w:r>
          </w:p>
        </w:tc>
      </w:tr>
      <w:tr w14:paraId="1A1CD329">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nil"/>
              <w:right w:val="single" w:color="000000" w:sz="4" w:space="0"/>
            </w:tcBorders>
            <w:noWrap w:val="0"/>
            <w:vAlign w:val="center"/>
          </w:tcPr>
          <w:p w14:paraId="73169D03">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10</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6873C86">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不良反应识别</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105DF43">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10.1系统可根据患者主诉检验用药情况提示潜在可能发生的不良反应。</w:t>
            </w:r>
          </w:p>
        </w:tc>
      </w:tr>
      <w:tr w14:paraId="3D86A1B7">
        <w:tblPrEx>
          <w:tblCellMar>
            <w:top w:w="32" w:type="dxa"/>
            <w:left w:w="64" w:type="dxa"/>
            <w:bottom w:w="32" w:type="dxa"/>
            <w:right w:w="64" w:type="dxa"/>
          </w:tblCellMar>
        </w:tblPrEx>
        <w:trPr>
          <w:trHeight w:val="467" w:hRule="atLeast"/>
          <w:jc w:val="center"/>
        </w:trPr>
        <w:tc>
          <w:tcPr>
            <w:tcW w:w="1146" w:type="dxa"/>
            <w:vMerge w:val="continue"/>
            <w:tcBorders>
              <w:top w:val="single" w:color="000000" w:sz="4" w:space="0"/>
              <w:left w:val="single" w:color="000000" w:sz="4" w:space="0"/>
              <w:bottom w:val="nil"/>
              <w:right w:val="single" w:color="000000" w:sz="4" w:space="0"/>
            </w:tcBorders>
            <w:noWrap w:val="0"/>
            <w:vAlign w:val="center"/>
          </w:tcPr>
          <w:p w14:paraId="6E771FE8">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532C6">
            <w:pPr>
              <w:snapToGrid w:val="0"/>
              <w:spacing w:line="360" w:lineRule="auto"/>
              <w:jc w:val="center"/>
              <w:rPr>
                <w:rFonts w:ascii="宋体" w:hAnsi="宋体" w:cs="宋体"/>
                <w:color w:val="000000"/>
                <w:sz w:val="24"/>
              </w:rPr>
            </w:pPr>
          </w:p>
        </w:tc>
        <w:tc>
          <w:tcPr>
            <w:tcW w:w="67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0482A">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▲10.2支持药师查看不良反应上报率数据、患者用药常见不良反应和处理方案、通报和警戒内容。（提供系统截图）</w:t>
            </w:r>
          </w:p>
        </w:tc>
      </w:tr>
      <w:tr w14:paraId="68309FA0">
        <w:tblPrEx>
          <w:tblCellMar>
            <w:top w:w="32" w:type="dxa"/>
            <w:left w:w="64" w:type="dxa"/>
            <w:bottom w:w="32" w:type="dxa"/>
            <w:right w:w="64" w:type="dxa"/>
          </w:tblCellMar>
        </w:tblPrEx>
        <w:trPr>
          <w:trHeight w:val="467" w:hRule="atLeast"/>
          <w:jc w:val="center"/>
        </w:trPr>
        <w:tc>
          <w:tcPr>
            <w:tcW w:w="1146" w:type="dxa"/>
            <w:vMerge w:val="continue"/>
            <w:tcBorders>
              <w:top w:val="single" w:color="000000" w:sz="4" w:space="0"/>
              <w:left w:val="single" w:color="000000" w:sz="4" w:space="0"/>
              <w:bottom w:val="nil"/>
              <w:right w:val="single" w:color="000000" w:sz="4" w:space="0"/>
            </w:tcBorders>
            <w:noWrap w:val="0"/>
            <w:vAlign w:val="center"/>
          </w:tcPr>
          <w:p w14:paraId="69A86F33">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82A29">
            <w:pPr>
              <w:snapToGrid w:val="0"/>
              <w:spacing w:line="360" w:lineRule="auto"/>
              <w:jc w:val="center"/>
              <w:rPr>
                <w:rFonts w:ascii="宋体" w:hAnsi="宋体" w:cs="宋体"/>
                <w:color w:val="000000"/>
                <w:sz w:val="24"/>
              </w:rPr>
            </w:pPr>
          </w:p>
        </w:tc>
        <w:tc>
          <w:tcPr>
            <w:tcW w:w="67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F15F8">
            <w:pPr>
              <w:snapToGrid w:val="0"/>
              <w:spacing w:line="360" w:lineRule="auto"/>
              <w:jc w:val="left"/>
              <w:rPr>
                <w:rFonts w:ascii="宋体" w:hAnsi="宋体" w:cs="宋体"/>
                <w:sz w:val="24"/>
              </w:rPr>
            </w:pPr>
          </w:p>
        </w:tc>
      </w:tr>
      <w:tr w14:paraId="22FD4207">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nil"/>
              <w:right w:val="single" w:color="000000" w:sz="4" w:space="0"/>
            </w:tcBorders>
            <w:noWrap w:val="0"/>
            <w:vAlign w:val="center"/>
          </w:tcPr>
          <w:p w14:paraId="40CDBE20">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11</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602987">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知识查询</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0E2FE4D">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11.1提供药品说明书、常用医药公式、抗栓评估工具等知识库的查询功能。</w:t>
            </w:r>
          </w:p>
        </w:tc>
      </w:tr>
      <w:tr w14:paraId="404435AC">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nil"/>
              <w:right w:val="single" w:color="000000" w:sz="4" w:space="0"/>
            </w:tcBorders>
            <w:noWrap w:val="0"/>
            <w:vAlign w:val="center"/>
          </w:tcPr>
          <w:p w14:paraId="6400122C">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A8215">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08C14CC">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11.2提供血药浓度监测建议（至少包含治疗窗、检测指征、检测要点）、药物基因检测建议(至少包含基因、变异体或单倍体、表型分类、表型、级别、基因型或等位基因、注解、等位基因功能、基因详细说明和临床推荐）的查询功能。（提供系统截图）</w:t>
            </w:r>
          </w:p>
        </w:tc>
      </w:tr>
      <w:tr w14:paraId="25FD81BC">
        <w:tblPrEx>
          <w:tblCellMar>
            <w:top w:w="32" w:type="dxa"/>
            <w:left w:w="64" w:type="dxa"/>
            <w:bottom w:w="32" w:type="dxa"/>
            <w:right w:w="64" w:type="dxa"/>
          </w:tblCellMar>
        </w:tblPrEx>
        <w:trPr>
          <w:jc w:val="center"/>
        </w:trPr>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4067203">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12</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A9BA2ED">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统计分析</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68089860">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12可实现工作量、药物治疗问题、行动计划等分类统计。</w:t>
            </w:r>
          </w:p>
        </w:tc>
      </w:tr>
      <w:tr w14:paraId="0E5D7E5E">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E4C8D">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13</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6E41C">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患者端(居家随访小程序)</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D800591">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13.1实现与药师的签约制管理。</w:t>
            </w:r>
          </w:p>
        </w:tc>
      </w:tr>
      <w:tr w14:paraId="75828F69">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7478D">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5B9D9">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49FF701">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13.2实现上传用药清单、生活方式信息、诊断和化验单，通过拍照药盒或处方识别药品名称。</w:t>
            </w:r>
          </w:p>
        </w:tc>
      </w:tr>
      <w:tr w14:paraId="65794020">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1D494">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74721">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58754264">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13.3实现图文和语音形式的在线咨询。</w:t>
            </w:r>
          </w:p>
        </w:tc>
      </w:tr>
      <w:tr w14:paraId="52C956E3">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2F84C">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F4F0D">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32571C0D">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13.4接收药师的随访提醒并按随访项目反馈随访数据。</w:t>
            </w:r>
          </w:p>
        </w:tc>
      </w:tr>
      <w:tr w14:paraId="15B360F4">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58B37">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B1CF6">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F531C7A">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13.5接收用药时间提醒。</w:t>
            </w:r>
          </w:p>
        </w:tc>
      </w:tr>
      <w:tr w14:paraId="66D612A9">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88B2F">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8106E">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B607DE4">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13.6接收个性化用药教育和健康指导（视频图文、语音朗读）。</w:t>
            </w:r>
          </w:p>
        </w:tc>
      </w:tr>
      <w:tr w14:paraId="263CC32B">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1AC76">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3A234">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01366A2">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13.7实现上传血糖、血压、PEF等监测数据，可对接智能设备实现数据自动采集。</w:t>
            </w:r>
          </w:p>
        </w:tc>
      </w:tr>
      <w:tr w14:paraId="726A9E79">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9FEDDF">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14</w:t>
            </w:r>
          </w:p>
        </w:tc>
        <w:tc>
          <w:tcPr>
            <w:tcW w:w="19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295D9">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医疗端(居家随访小程序)</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4A533695">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14.1实现与患者的签约制管理。</w:t>
            </w:r>
          </w:p>
        </w:tc>
      </w:tr>
      <w:tr w14:paraId="7448AFE9">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7D1D6">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09BE6">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4526710">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14.2医院用户可查看和反馈签约患者上传的各类医疗信息、随访数据、监测数据和咨询问题。</w:t>
            </w:r>
          </w:p>
        </w:tc>
      </w:tr>
      <w:tr w14:paraId="40B6A985">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7CFC1">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FD883">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74B178F6">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14.3实现对漏服等依从性情况进行统计。</w:t>
            </w:r>
          </w:p>
        </w:tc>
      </w:tr>
      <w:tr w14:paraId="47D89181">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24458">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DE144">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E63CDF2">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14.4支持查询相互作用、医药公式、药品说明书。</w:t>
            </w:r>
          </w:p>
        </w:tc>
      </w:tr>
      <w:tr w14:paraId="4E339369">
        <w:tblPrEx>
          <w:tblCellMar>
            <w:top w:w="32" w:type="dxa"/>
            <w:left w:w="64" w:type="dxa"/>
            <w:bottom w:w="32" w:type="dxa"/>
            <w:right w:w="64" w:type="dxa"/>
          </w:tblCellMar>
        </w:tblPrEx>
        <w:trPr>
          <w:jc w:val="center"/>
        </w:trPr>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2E525">
            <w:pPr>
              <w:snapToGrid w:val="0"/>
              <w:spacing w:line="360" w:lineRule="auto"/>
              <w:jc w:val="center"/>
              <w:rPr>
                <w:rFonts w:ascii="宋体" w:hAnsi="宋体" w:cs="宋体"/>
                <w:color w:val="000000"/>
                <w:sz w:val="24"/>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F14F4">
            <w:pPr>
              <w:snapToGrid w:val="0"/>
              <w:spacing w:line="360" w:lineRule="auto"/>
              <w:jc w:val="center"/>
              <w:rPr>
                <w:rFonts w:ascii="宋体" w:hAnsi="宋体" w:cs="宋体"/>
                <w:color w:val="000000"/>
                <w:sz w:val="24"/>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2497C184">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14.5实现工作量统计。</w:t>
            </w:r>
          </w:p>
        </w:tc>
      </w:tr>
      <w:tr w14:paraId="0CB40956">
        <w:tblPrEx>
          <w:tblCellMar>
            <w:top w:w="32" w:type="dxa"/>
            <w:left w:w="64" w:type="dxa"/>
            <w:bottom w:w="32" w:type="dxa"/>
            <w:right w:w="64" w:type="dxa"/>
          </w:tblCellMar>
        </w:tblPrEx>
        <w:trPr>
          <w:jc w:val="center"/>
        </w:trPr>
        <w:tc>
          <w:tcPr>
            <w:tcW w:w="1146" w:type="dxa"/>
            <w:vMerge w:val="restart"/>
            <w:tcBorders>
              <w:top w:val="single" w:color="000000" w:sz="4" w:space="0"/>
              <w:left w:val="single" w:color="000000" w:sz="4" w:space="0"/>
              <w:right w:val="single" w:color="000000" w:sz="4" w:space="0"/>
            </w:tcBorders>
            <w:noWrap w:val="0"/>
            <w:vAlign w:val="center"/>
          </w:tcPr>
          <w:p w14:paraId="57A0ACDD">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15</w:t>
            </w:r>
          </w:p>
        </w:tc>
        <w:tc>
          <w:tcPr>
            <w:tcW w:w="1901" w:type="dxa"/>
            <w:vMerge w:val="restart"/>
            <w:tcBorders>
              <w:top w:val="single" w:color="000000" w:sz="4" w:space="0"/>
              <w:left w:val="single" w:color="000000" w:sz="4" w:space="0"/>
              <w:right w:val="single" w:color="000000" w:sz="4" w:space="0"/>
            </w:tcBorders>
            <w:noWrap w:val="0"/>
            <w:vAlign w:val="center"/>
          </w:tcPr>
          <w:p w14:paraId="60B17584">
            <w:pPr>
              <w:widowControl/>
              <w:snapToGrid w:val="0"/>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药学服务大模型</w:t>
            </w: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3FAB2ED9">
            <w:pPr>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15.1依托于生成式大语言模型构建药学问答机器人，搭载于模块中即时回答各类临床用药问题。</w:t>
            </w:r>
          </w:p>
        </w:tc>
      </w:tr>
      <w:tr w14:paraId="0F7C590C">
        <w:tblPrEx>
          <w:tblCellMar>
            <w:top w:w="32" w:type="dxa"/>
            <w:left w:w="64" w:type="dxa"/>
            <w:bottom w:w="32" w:type="dxa"/>
            <w:right w:w="64" w:type="dxa"/>
          </w:tblCellMar>
        </w:tblPrEx>
        <w:trPr>
          <w:jc w:val="center"/>
        </w:trPr>
        <w:tc>
          <w:tcPr>
            <w:tcW w:w="1146" w:type="dxa"/>
            <w:vMerge w:val="continue"/>
            <w:tcBorders>
              <w:left w:val="single" w:color="000000" w:sz="4" w:space="0"/>
              <w:bottom w:val="single" w:color="000000" w:sz="4" w:space="0"/>
              <w:right w:val="single" w:color="000000" w:sz="4" w:space="0"/>
            </w:tcBorders>
            <w:noWrap w:val="0"/>
            <w:vAlign w:val="center"/>
          </w:tcPr>
          <w:p w14:paraId="60E9FD8B">
            <w:pPr>
              <w:widowControl/>
              <w:snapToGrid w:val="0"/>
              <w:spacing w:line="360" w:lineRule="auto"/>
              <w:jc w:val="center"/>
              <w:textAlignment w:val="center"/>
            </w:pPr>
          </w:p>
        </w:tc>
        <w:tc>
          <w:tcPr>
            <w:tcW w:w="1901" w:type="dxa"/>
            <w:vMerge w:val="continue"/>
            <w:tcBorders>
              <w:left w:val="single" w:color="000000" w:sz="4" w:space="0"/>
              <w:bottom w:val="single" w:color="000000" w:sz="4" w:space="0"/>
              <w:right w:val="single" w:color="000000" w:sz="4" w:space="0"/>
            </w:tcBorders>
            <w:noWrap w:val="0"/>
            <w:vAlign w:val="center"/>
          </w:tcPr>
          <w:p w14:paraId="6FCEB334">
            <w:pPr>
              <w:widowControl/>
              <w:snapToGrid w:val="0"/>
              <w:spacing w:line="360" w:lineRule="auto"/>
              <w:jc w:val="center"/>
              <w:textAlignment w:val="center"/>
              <w:rPr>
                <w:rFonts w:hint="eastAsia" w:ascii="宋体" w:hAnsi="宋体" w:cs="宋体"/>
                <w:snapToGrid w:val="0"/>
                <w:color w:val="000000"/>
                <w:kern w:val="0"/>
                <w:sz w:val="24"/>
                <w:lang w:bidi="ar"/>
              </w:rPr>
            </w:pPr>
          </w:p>
        </w:tc>
        <w:tc>
          <w:tcPr>
            <w:tcW w:w="6788" w:type="dxa"/>
            <w:tcBorders>
              <w:top w:val="single" w:color="000000" w:sz="4" w:space="0"/>
              <w:left w:val="single" w:color="000000" w:sz="4" w:space="0"/>
              <w:bottom w:val="single" w:color="000000" w:sz="4" w:space="0"/>
              <w:right w:val="single" w:color="000000" w:sz="4" w:space="0"/>
            </w:tcBorders>
            <w:noWrap w:val="0"/>
            <w:vAlign w:val="center"/>
          </w:tcPr>
          <w:p w14:paraId="05A0CC9E">
            <w:pPr>
              <w:widowControl/>
              <w:snapToGrid w:val="0"/>
              <w:spacing w:line="360" w:lineRule="auto"/>
              <w:jc w:val="left"/>
              <w:textAlignment w:val="center"/>
              <w:rPr>
                <w:rFonts w:ascii="宋体" w:hAnsi="宋体" w:cs="宋体"/>
                <w:snapToGrid w:val="0"/>
                <w:kern w:val="0"/>
                <w:sz w:val="24"/>
                <w:lang w:bidi="ar"/>
              </w:rPr>
            </w:pPr>
            <w:r>
              <w:rPr>
                <w:rFonts w:hint="eastAsia" w:ascii="宋体" w:hAnsi="宋体" w:cs="宋体"/>
                <w:snapToGrid w:val="0"/>
                <w:color w:val="auto"/>
                <w:kern w:val="0"/>
                <w:sz w:val="24"/>
                <w:lang w:bidi="ar"/>
              </w:rPr>
              <w:t>▲15.2 药学问答机器人可在针对问题生成的答案中提供参考来源名称及具体参考段落内容，并记录历史对话内容。（提供视频演示）</w:t>
            </w:r>
          </w:p>
        </w:tc>
      </w:tr>
    </w:tbl>
    <w:p w14:paraId="326637AE">
      <w:pPr>
        <w:pStyle w:val="5"/>
        <w:snapToGrid w:val="0"/>
        <w:spacing w:after="156" w:afterLines="50"/>
        <w:rPr>
          <w:rFonts w:hAnsi="宋体"/>
          <w:bCs/>
          <w:sz w:val="24"/>
          <w:szCs w:val="24"/>
        </w:rPr>
      </w:pPr>
    </w:p>
    <w:p w14:paraId="15B3C843">
      <w:pPr>
        <w:pStyle w:val="5"/>
        <w:snapToGrid w:val="0"/>
        <w:spacing w:after="156" w:afterLines="50"/>
        <w:rPr>
          <w:rFonts w:hint="eastAsia" w:hAnsi="宋体"/>
          <w:bCs/>
          <w:sz w:val="24"/>
          <w:szCs w:val="24"/>
        </w:rPr>
      </w:pPr>
      <w:r>
        <w:rPr>
          <w:rFonts w:hint="eastAsia" w:hAnsi="宋体"/>
          <w:bCs/>
          <w:sz w:val="24"/>
          <w:szCs w:val="24"/>
        </w:rPr>
        <w:t>2、住院药学监护模块</w:t>
      </w:r>
    </w:p>
    <w:tbl>
      <w:tblPr>
        <w:tblStyle w:val="10"/>
        <w:tblW w:w="9825" w:type="dxa"/>
        <w:tblInd w:w="93" w:type="dxa"/>
        <w:tblLayout w:type="autofit"/>
        <w:tblCellMar>
          <w:top w:w="0" w:type="dxa"/>
          <w:left w:w="108" w:type="dxa"/>
          <w:bottom w:w="0" w:type="dxa"/>
          <w:right w:w="108" w:type="dxa"/>
        </w:tblCellMar>
      </w:tblPr>
      <w:tblGrid>
        <w:gridCol w:w="1080"/>
        <w:gridCol w:w="1923"/>
        <w:gridCol w:w="6822"/>
      </w:tblGrid>
      <w:tr w14:paraId="7DD565D7">
        <w:tblPrEx>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4B366C">
            <w:pPr>
              <w:widowControl/>
              <w:snapToGrid w:val="0"/>
              <w:spacing w:line="360" w:lineRule="auto"/>
              <w:jc w:val="center"/>
              <w:textAlignment w:val="center"/>
              <w:rPr>
                <w:rFonts w:hint="eastAsia" w:ascii="宋体" w:hAnsi="宋体" w:cs="宋体"/>
                <w:b/>
                <w:color w:val="000000"/>
                <w:sz w:val="24"/>
              </w:rPr>
            </w:pPr>
            <w:r>
              <w:rPr>
                <w:rFonts w:hint="eastAsia" w:ascii="宋体" w:hAnsi="宋体" w:cs="宋体"/>
                <w:b/>
                <w:snapToGrid w:val="0"/>
                <w:color w:val="000000"/>
                <w:kern w:val="0"/>
                <w:sz w:val="24"/>
                <w:lang w:bidi="ar"/>
              </w:rPr>
              <w:t>序号</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4F61B227">
            <w:pPr>
              <w:widowControl/>
              <w:snapToGrid w:val="0"/>
              <w:spacing w:line="360" w:lineRule="auto"/>
              <w:jc w:val="center"/>
              <w:textAlignment w:val="center"/>
              <w:rPr>
                <w:rFonts w:hint="eastAsia" w:ascii="宋体" w:hAnsi="宋体" w:cs="宋体"/>
                <w:b/>
                <w:color w:val="000000"/>
                <w:sz w:val="24"/>
              </w:rPr>
            </w:pPr>
            <w:r>
              <w:rPr>
                <w:rFonts w:hint="eastAsia" w:ascii="宋体" w:hAnsi="宋体" w:cs="宋体"/>
                <w:b/>
                <w:color w:val="000000"/>
                <w:sz w:val="24"/>
              </w:rPr>
              <w:t>功能名称</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D1EF200">
            <w:pPr>
              <w:snapToGrid w:val="0"/>
              <w:spacing w:line="360" w:lineRule="auto"/>
              <w:jc w:val="center"/>
              <w:rPr>
                <w:rFonts w:hint="eastAsia" w:ascii="宋体" w:hAnsi="宋体" w:cs="宋体"/>
                <w:b/>
                <w:color w:val="000000"/>
                <w:sz w:val="24"/>
              </w:rPr>
            </w:pPr>
            <w:r>
              <w:rPr>
                <w:rFonts w:hint="eastAsia" w:ascii="宋体" w:hAnsi="宋体" w:cs="宋体"/>
                <w:b/>
                <w:snapToGrid w:val="0"/>
                <w:color w:val="000000"/>
                <w:kern w:val="0"/>
                <w:sz w:val="24"/>
                <w:lang w:bidi="ar"/>
              </w:rPr>
              <w:t>具体功能技术要求</w:t>
            </w:r>
          </w:p>
        </w:tc>
      </w:tr>
      <w:tr w14:paraId="7E1CC6FE">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C2775">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3AA3E">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系统架构</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4E940F6">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1.1采用B/S架构，内网部署。</w:t>
            </w:r>
          </w:p>
        </w:tc>
      </w:tr>
      <w:tr w14:paraId="5F3C5AD9">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72895">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39191">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39D0BBB">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1.2通过设置好的账号和密码进行登录。</w:t>
            </w:r>
          </w:p>
        </w:tc>
      </w:tr>
      <w:tr w14:paraId="367919FA">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CD259">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2</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581CB">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系统管理</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DBCE10E">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2.1用户管理，对系统的用户进行管理，支持增删改。</w:t>
            </w:r>
          </w:p>
        </w:tc>
      </w:tr>
      <w:tr w14:paraId="36D1578F">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23FF9">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46819">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1101B4A">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2.2角色管理，设置角色和分配权限，支持增删改。</w:t>
            </w:r>
          </w:p>
        </w:tc>
      </w:tr>
      <w:tr w14:paraId="18868FE2">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BD4EA">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97A5B">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1F63D8D">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2.3科室管理，对科室信息进行管理，支持增删改。</w:t>
            </w:r>
          </w:p>
        </w:tc>
      </w:tr>
      <w:tr w14:paraId="521BDCDE">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3155B">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6DF49">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5B7C890">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2.4资源管理，对菜单及其他功能按键进行管理。</w:t>
            </w:r>
          </w:p>
        </w:tc>
      </w:tr>
      <w:tr w14:paraId="2F70EE13">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62799B">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3</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119EF">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患者360全景监护视图</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C9EE511">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3.1根据信息系统现有接口数据获取情况展示住院患者临床信息，如基本信息、诊断、检验、病程记录等。</w:t>
            </w:r>
          </w:p>
        </w:tc>
      </w:tr>
      <w:tr w14:paraId="026A2BF5">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A1D0">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DD5CE">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A2F905E">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3.2实现多指标趋势图和时序图便于直观掌握药物治疗全程患者重点生理指标的变化。</w:t>
            </w:r>
          </w:p>
        </w:tc>
      </w:tr>
      <w:tr w14:paraId="34D63420">
        <w:tblPrEx>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0FFA47">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4</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88BC7A5">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监护设置</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48E89699">
            <w:pPr>
              <w:widowControl/>
              <w:spacing w:line="360" w:lineRule="auto"/>
              <w:jc w:val="left"/>
              <w:textAlignment w:val="center"/>
              <w:rPr>
                <w:rFonts w:ascii="宋体" w:hAnsi="宋体" w:cs="宋体"/>
                <w:sz w:val="24"/>
              </w:rPr>
            </w:pPr>
            <w:r>
              <w:rPr>
                <w:rFonts w:hint="eastAsia" w:ascii="宋体" w:hAnsi="宋体" w:cs="宋体"/>
                <w:snapToGrid w:val="0"/>
                <w:kern w:val="0"/>
                <w:sz w:val="24"/>
                <w:lang w:bidi="ar"/>
              </w:rPr>
              <w:t>4.1药师可根据监护的需求自定义关注的病人类型，至少包括检验、用药、诊断、VTE风险评估、出血风险评估、特殊治疗、基因检测和血药浓度检测情况等多维度筛选。</w:t>
            </w:r>
          </w:p>
        </w:tc>
      </w:tr>
      <w:tr w14:paraId="09F30EDF">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B08B0">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1FE2B">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CC6931E">
            <w:pPr>
              <w:widowControl/>
              <w:spacing w:line="360" w:lineRule="auto"/>
              <w:jc w:val="left"/>
              <w:textAlignment w:val="center"/>
              <w:rPr>
                <w:rFonts w:ascii="宋体" w:hAnsi="宋体" w:cs="宋体"/>
                <w:sz w:val="24"/>
              </w:rPr>
            </w:pPr>
            <w:r>
              <w:rPr>
                <w:rFonts w:hint="eastAsia" w:ascii="宋体" w:hAnsi="宋体" w:cs="宋体"/>
                <w:snapToGrid w:val="0"/>
                <w:kern w:val="0"/>
                <w:sz w:val="24"/>
                <w:lang w:bidi="ar"/>
              </w:rPr>
              <w:t>4.2药师可根据关注的重点设置风险提示条件，至少包括检验、生命体征、疾病评估、年龄、重点疾病、重点用药、耐药情况、多病共患和多重用药情况、病史和手术及其他特殊诊疗等维度。</w:t>
            </w:r>
          </w:p>
        </w:tc>
      </w:tr>
      <w:tr w14:paraId="75C875D2">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60F02">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64940">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4521090">
            <w:pPr>
              <w:widowControl/>
              <w:spacing w:line="360" w:lineRule="auto"/>
              <w:jc w:val="left"/>
              <w:textAlignment w:val="center"/>
              <w:rPr>
                <w:rFonts w:ascii="宋体" w:hAnsi="宋体" w:cs="宋体"/>
                <w:sz w:val="24"/>
              </w:rPr>
            </w:pPr>
            <w:r>
              <w:rPr>
                <w:rFonts w:hint="eastAsia" w:ascii="宋体" w:hAnsi="宋体" w:cs="宋体"/>
                <w:snapToGrid w:val="0"/>
                <w:kern w:val="0"/>
                <w:sz w:val="24"/>
                <w:lang w:bidi="ar"/>
              </w:rPr>
              <w:t>4.3药师可根据关注的内容设置在时序图中展示的项目，至少包括三测单、出入量、病原学检测、用药、检验等维度，便于监护患者在整个住院期间用药前后各项指标的动态变化情况。</w:t>
            </w:r>
          </w:p>
        </w:tc>
      </w:tr>
      <w:tr w14:paraId="1B46629A">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20F659">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5</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9AF1FF">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监护事项</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C1A4788">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5.1支持药师对新入院患者进行入院评估，如肝肾功能、药物依从性和认知程度等。</w:t>
            </w:r>
          </w:p>
        </w:tc>
      </w:tr>
      <w:tr w14:paraId="57CC28A2">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0509B">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07F12">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2E16DDF">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5.2具备监护评级机制，可综合药师对检验、生命体征、重点药品、疾病评估、特殊治疗等各风险提示项目定义的药学监护等级自动匹配符合条件的患者并完成一级二级或三级的评定，药师也可以进行二次确认。</w:t>
            </w:r>
          </w:p>
        </w:tc>
      </w:tr>
      <w:tr w14:paraId="78BDF98E">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29DFD">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13504">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9C528C8">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5.3药师可通过监护计划表单快速导入患者临床信息，设定监护对象、评价指标。</w:t>
            </w:r>
          </w:p>
        </w:tc>
      </w:tr>
      <w:tr w14:paraId="26DCB0A4">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6EE3B">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1EFDA">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71F5DA63">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5.4系统可根据药师设置的提醒日期提示药师关注未完成监护计划及评价指标的动态变化，发现药物治疗问题。</w:t>
            </w:r>
          </w:p>
        </w:tc>
      </w:tr>
      <w:tr w14:paraId="001AF8D7">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05C79">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6C1AF">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43401B1B">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5.5系统可根据患者的出入院及转科状态，提醒药师要完成的如入院评估、用药重整、出院带药用药教育、查房等工作内容。</w:t>
            </w:r>
          </w:p>
        </w:tc>
      </w:tr>
      <w:tr w14:paraId="1506C353">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E8D5DB">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6</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BD6EFA0">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用药重整</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774ED7A">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6在入院、转科、出院的监护转换节点，通过系统内置的用药重整表实现患者用药清单与医嘱信息的快速导入与对照，辅助药师及时发现存在的差异和问题。</w:t>
            </w:r>
          </w:p>
        </w:tc>
      </w:tr>
      <w:tr w14:paraId="0FD512F0">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72A05">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7</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890B6">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用药教育</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CE1E266">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7.1内置用药指导知识库，支持药师查询。</w:t>
            </w:r>
          </w:p>
        </w:tc>
      </w:tr>
      <w:tr w14:paraId="176E7EE8">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2B7A4">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85502">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76AC941">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7.2系统支持药师对在院患者和出院患者生成用药教育单，教育单上自动生成临床常用药品的用药注意事项，同时支持药师对内容进行二次编辑。</w:t>
            </w:r>
          </w:p>
        </w:tc>
      </w:tr>
      <w:tr w14:paraId="477D3726">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C7F9C">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1DE25">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525CC6A">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7.3系统提供标准咨询表，支持快速导入患者医嘱、检验检查等信息，辅助药师分类记录问题和填写回答内容。</w:t>
            </w:r>
          </w:p>
        </w:tc>
      </w:tr>
      <w:tr w14:paraId="622C82CF">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CA686">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8</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E59BF">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监护日志和全程记录</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2299319C">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8.1支持监护日志当天新开、停嘱信息的自动匹配。</w:t>
            </w:r>
          </w:p>
        </w:tc>
      </w:tr>
      <w:tr w14:paraId="7FAF9AB0">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4C6ED">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B1AE1">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C976739">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8.2药师可导入患者检验和病程记录等诊疗信息，以便快速完善病情变化和治疗方案内容。</w:t>
            </w:r>
          </w:p>
        </w:tc>
      </w:tr>
      <w:tr w14:paraId="63D4CAD4">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04A5D">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511A6">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5E036B2">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8.3药师可根据监护项目分类查阅患者本次住院期间所接受的全部监护内容，支持预览及导出。</w:t>
            </w:r>
          </w:p>
        </w:tc>
      </w:tr>
      <w:tr w14:paraId="445D8792">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BA6FC">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44AC5">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8721370">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8.4支持药师查询历史住院患者的用药、检验检查等诊疗情况及药学监护内容。</w:t>
            </w:r>
          </w:p>
        </w:tc>
      </w:tr>
      <w:tr w14:paraId="798FF038">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9DAAA">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9</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1DFEE92">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电子药历</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A13F0BE">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9.1根据信息系统现有接口数据情况获取患者用药、诊断、检验等关键信息生成电子药历。</w:t>
            </w:r>
          </w:p>
        </w:tc>
      </w:tr>
      <w:tr w14:paraId="5909F8D8">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84BD2">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93530">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38545C1">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9.2实现辅助填写检验检查结果、病原学检测结果、住院医嘱。</w:t>
            </w:r>
          </w:p>
        </w:tc>
      </w:tr>
      <w:tr w14:paraId="2A2B1F14">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9A764">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21AB3">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928D586">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9.3实现同步药师已填写的药物治疗日志及总结等内容。</w:t>
            </w:r>
          </w:p>
        </w:tc>
      </w:tr>
      <w:tr w14:paraId="51B12D72">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C3C94">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D970F">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E4580FF">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9.4支持药师快速导入患者医嘱和用药时序图。</w:t>
            </w:r>
          </w:p>
        </w:tc>
      </w:tr>
      <w:tr w14:paraId="7008AD28">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E62DA">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90557">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25BD6DB6">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9.5支持查房记录和电子药历导出。</w:t>
            </w:r>
          </w:p>
        </w:tc>
      </w:tr>
      <w:tr w14:paraId="605BBD4E">
        <w:tblPrEx>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8B8B28">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10</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68A111E">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用药建议</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7078F080">
            <w:pPr>
              <w:keepNext/>
              <w:widowControl/>
              <w:snapToGrid w:val="0"/>
              <w:spacing w:line="360" w:lineRule="auto"/>
              <w:jc w:val="left"/>
              <w:textAlignment w:val="center"/>
              <w:rPr>
                <w:rFonts w:ascii="宋体" w:hAnsi="宋体" w:cs="宋体"/>
                <w:sz w:val="24"/>
              </w:rPr>
            </w:pPr>
            <w:r>
              <w:rPr>
                <w:rFonts w:hint="eastAsia" w:ascii="宋体" w:hAnsi="宋体" w:cs="宋体"/>
                <w:snapToGrid w:val="0"/>
                <w:color w:val="auto"/>
                <w:kern w:val="0"/>
                <w:sz w:val="24"/>
                <w:lang w:bidi="ar"/>
              </w:rPr>
              <w:t>▲10.1依据系统内置的药物相互作用、老年用药风险、妊娠哺乳用药建议、肝肾功能不全剂量调整建议、疾病用药方案推荐等药学专业知识库输出审核结果和建议内容。（提供视频演示）</w:t>
            </w:r>
          </w:p>
        </w:tc>
      </w:tr>
      <w:tr w14:paraId="0BD08AB5">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2DB71">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78A2">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689E83E">
            <w:pPr>
              <w:keepNext/>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10.2支持药师对医嘱进行人工审核。</w:t>
            </w:r>
          </w:p>
        </w:tc>
      </w:tr>
      <w:tr w14:paraId="35BE09D9">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A8BC1">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83F0A">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C2CDDD1">
            <w:pPr>
              <w:keepNext/>
              <w:widowControl/>
              <w:snapToGrid w:val="0"/>
              <w:spacing w:line="360" w:lineRule="auto"/>
              <w:jc w:val="left"/>
              <w:textAlignment w:val="center"/>
              <w:rPr>
                <w:rFonts w:ascii="宋体" w:hAnsi="宋体" w:cs="宋体"/>
                <w:sz w:val="24"/>
              </w:rPr>
            </w:pPr>
            <w:r>
              <w:rPr>
                <w:rFonts w:hint="eastAsia" w:ascii="宋体" w:hAnsi="宋体" w:cs="宋体"/>
                <w:snapToGrid w:val="0"/>
                <w:kern w:val="0"/>
                <w:sz w:val="24"/>
                <w:lang w:bidi="ar"/>
              </w:rPr>
              <w:t>10.3支持药师选择系统给出的用药建议快捷导入用药建议表单中。</w:t>
            </w:r>
          </w:p>
        </w:tc>
      </w:tr>
      <w:tr w14:paraId="786C1E5F">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9AD03">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A32C1">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360E7E2">
            <w:pPr>
              <w:keepNext/>
              <w:widowControl/>
              <w:snapToGrid w:val="0"/>
              <w:spacing w:line="360" w:lineRule="auto"/>
              <w:jc w:val="left"/>
              <w:textAlignment w:val="center"/>
              <w:rPr>
                <w:rFonts w:ascii="宋体" w:hAnsi="宋体" w:cs="宋体"/>
                <w:color w:val="auto"/>
                <w:sz w:val="24"/>
              </w:rPr>
            </w:pPr>
            <w:r>
              <w:rPr>
                <w:rFonts w:hint="eastAsia" w:ascii="宋体" w:hAnsi="宋体" w:cs="宋体"/>
                <w:snapToGrid w:val="0"/>
                <w:color w:val="auto"/>
                <w:kern w:val="0"/>
                <w:sz w:val="24"/>
                <w:lang w:bidi="ar"/>
              </w:rPr>
              <w:t>▲10.4药师可根据适应性、有效性、安全性和依从性等维度对用药建议进行分类。（提供视频演示）</w:t>
            </w:r>
          </w:p>
        </w:tc>
      </w:tr>
      <w:tr w14:paraId="6303C4F3">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72EBA7">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11</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270E4">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不良反应识别</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22B8D583">
            <w:pPr>
              <w:widowControl/>
              <w:spacing w:line="360" w:lineRule="auto"/>
              <w:jc w:val="left"/>
              <w:textAlignment w:val="center"/>
              <w:rPr>
                <w:rFonts w:ascii="宋体" w:hAnsi="宋体" w:cs="宋体"/>
                <w:color w:val="auto"/>
                <w:sz w:val="24"/>
              </w:rPr>
            </w:pPr>
            <w:r>
              <w:rPr>
                <w:rFonts w:hint="eastAsia" w:ascii="宋体" w:hAnsi="宋体" w:cs="宋体"/>
                <w:snapToGrid w:val="0"/>
                <w:color w:val="auto"/>
                <w:kern w:val="0"/>
                <w:sz w:val="24"/>
                <w:lang w:bidi="ar"/>
              </w:rPr>
              <w:t>▲11.1系统可根据患者病程记录检验用药情况等提示潜在可能发生的不良反应。（提供视频演示）</w:t>
            </w:r>
          </w:p>
        </w:tc>
      </w:tr>
      <w:tr w14:paraId="1121FF44">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AF5AC">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50665">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2C5FF28">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11.2支持药师选择不良反应事件作为监护原因快速导入药学监护等级评估。</w:t>
            </w:r>
          </w:p>
        </w:tc>
      </w:tr>
      <w:tr w14:paraId="568AF71E">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CEA983">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7CEC4">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FEB830B">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▲11.3支持药师查询患者用药常见不良反应和处理方案、不良反应上报率数据。（提供系统截图）</w:t>
            </w:r>
          </w:p>
        </w:tc>
      </w:tr>
      <w:tr w14:paraId="72CC9A0B">
        <w:tblPrEx>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right w:val="single" w:color="000000" w:sz="4" w:space="0"/>
            </w:tcBorders>
            <w:noWrap w:val="0"/>
            <w:vAlign w:val="center"/>
          </w:tcPr>
          <w:p w14:paraId="1B87BC03">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12</w:t>
            </w:r>
          </w:p>
        </w:tc>
        <w:tc>
          <w:tcPr>
            <w:tcW w:w="1923" w:type="dxa"/>
            <w:vMerge w:val="restart"/>
            <w:tcBorders>
              <w:top w:val="single" w:color="000000" w:sz="4" w:space="0"/>
              <w:left w:val="single" w:color="000000" w:sz="4" w:space="0"/>
              <w:right w:val="single" w:color="000000" w:sz="4" w:space="0"/>
            </w:tcBorders>
            <w:noWrap w:val="0"/>
            <w:vAlign w:val="center"/>
          </w:tcPr>
          <w:p w14:paraId="0A5AD97F">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药物定量计算</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9457C78">
            <w:pPr>
              <w:widowControl/>
              <w:spacing w:line="360" w:lineRule="auto"/>
              <w:jc w:val="left"/>
              <w:textAlignment w:val="center"/>
              <w:rPr>
                <w:rFonts w:ascii="宋体" w:hAnsi="宋体" w:cs="宋体"/>
                <w:sz w:val="24"/>
              </w:rPr>
            </w:pPr>
            <w:r>
              <w:rPr>
                <w:rFonts w:hint="eastAsia" w:ascii="宋体" w:hAnsi="宋体" w:cs="宋体"/>
                <w:snapToGrid w:val="0"/>
                <w:kern w:val="0"/>
                <w:sz w:val="24"/>
                <w:lang w:bidi="ar"/>
              </w:rPr>
              <w:t>▲12.</w:t>
            </w:r>
            <w:r>
              <w:rPr>
                <w:rFonts w:ascii="宋体" w:hAnsi="宋体" w:cs="宋体"/>
                <w:snapToGrid w:val="0"/>
                <w:kern w:val="0"/>
                <w:sz w:val="24"/>
                <w:lang w:bidi="ar"/>
              </w:rPr>
              <w:t>1</w:t>
            </w:r>
            <w:r>
              <w:rPr>
                <w:rFonts w:hint="eastAsia" w:ascii="宋体" w:hAnsi="宋体" w:cs="宋体"/>
                <w:snapToGrid w:val="0"/>
                <w:kern w:val="0"/>
                <w:sz w:val="24"/>
                <w:lang w:bidi="ar"/>
              </w:rPr>
              <w:t>系统内置采用机器学习技术构建的人工智能模型，针对患者接受治疗药物监测（TDM）的用药，自动从信息系统中抓取可通过现有接口获取到的模型中的临床参数，开展匹配运算，给出个体化用药剂量推荐。（提供系统截图）</w:t>
            </w:r>
          </w:p>
        </w:tc>
      </w:tr>
      <w:tr w14:paraId="4A128DE9">
        <w:tblPrEx>
          <w:tblCellMar>
            <w:top w:w="0" w:type="dxa"/>
            <w:left w:w="108" w:type="dxa"/>
            <w:bottom w:w="0" w:type="dxa"/>
            <w:right w:w="108" w:type="dxa"/>
          </w:tblCellMar>
        </w:tblPrEx>
        <w:trPr>
          <w:trHeight w:val="810" w:hRule="atLeast"/>
        </w:trPr>
        <w:tc>
          <w:tcPr>
            <w:tcW w:w="1080" w:type="dxa"/>
            <w:vMerge w:val="continue"/>
            <w:tcBorders>
              <w:left w:val="single" w:color="000000" w:sz="4" w:space="0"/>
              <w:bottom w:val="single" w:color="000000" w:sz="4" w:space="0"/>
              <w:right w:val="single" w:color="000000" w:sz="4" w:space="0"/>
            </w:tcBorders>
            <w:noWrap w:val="0"/>
            <w:vAlign w:val="center"/>
          </w:tcPr>
          <w:p w14:paraId="452CDE43">
            <w:pPr>
              <w:widowControl/>
              <w:spacing w:line="360" w:lineRule="auto"/>
              <w:jc w:val="center"/>
              <w:textAlignment w:val="center"/>
              <w:rPr>
                <w:rFonts w:hint="eastAsia" w:ascii="宋体" w:hAnsi="宋体" w:cs="宋体"/>
                <w:snapToGrid w:val="0"/>
                <w:color w:val="000000"/>
                <w:kern w:val="0"/>
                <w:sz w:val="24"/>
                <w:lang w:bidi="ar"/>
              </w:rPr>
            </w:pPr>
          </w:p>
        </w:tc>
        <w:tc>
          <w:tcPr>
            <w:tcW w:w="1923" w:type="dxa"/>
            <w:vMerge w:val="continue"/>
            <w:tcBorders>
              <w:left w:val="single" w:color="000000" w:sz="4" w:space="0"/>
              <w:bottom w:val="single" w:color="000000" w:sz="4" w:space="0"/>
              <w:right w:val="single" w:color="000000" w:sz="4" w:space="0"/>
            </w:tcBorders>
            <w:noWrap w:val="0"/>
            <w:vAlign w:val="center"/>
          </w:tcPr>
          <w:p w14:paraId="752C2168">
            <w:pPr>
              <w:widowControl/>
              <w:spacing w:line="360" w:lineRule="auto"/>
              <w:jc w:val="center"/>
              <w:textAlignment w:val="center"/>
              <w:rPr>
                <w:rFonts w:hint="eastAsia" w:ascii="宋体" w:hAnsi="宋体" w:cs="宋体"/>
                <w:snapToGrid w:val="0"/>
                <w:color w:val="000000"/>
                <w:kern w:val="0"/>
                <w:sz w:val="24"/>
                <w:lang w:bidi="ar"/>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8260E32">
            <w:pPr>
              <w:widowControl/>
              <w:spacing w:line="360" w:lineRule="auto"/>
              <w:jc w:val="left"/>
              <w:textAlignment w:val="center"/>
              <w:rPr>
                <w:rFonts w:hint="eastAsia" w:ascii="宋体" w:hAnsi="宋体" w:cs="宋体"/>
                <w:snapToGrid w:val="0"/>
                <w:kern w:val="0"/>
                <w:sz w:val="24"/>
                <w:lang w:bidi="ar"/>
              </w:rPr>
            </w:pPr>
            <w:r>
              <w:rPr>
                <w:rFonts w:hint="eastAsia" w:ascii="宋体" w:hAnsi="宋体" w:cs="宋体"/>
                <w:snapToGrid w:val="0"/>
                <w:color w:val="auto"/>
                <w:kern w:val="0"/>
                <w:sz w:val="24"/>
                <w:lang w:bidi="ar"/>
              </w:rPr>
              <w:t>▲1</w:t>
            </w:r>
            <w:r>
              <w:rPr>
                <w:rFonts w:ascii="宋体" w:hAnsi="宋体" w:cs="宋体"/>
                <w:snapToGrid w:val="0"/>
                <w:color w:val="auto"/>
                <w:kern w:val="0"/>
                <w:sz w:val="24"/>
                <w:lang w:bidi="ar"/>
              </w:rPr>
              <w:t>2.2</w:t>
            </w:r>
            <w:r>
              <w:rPr>
                <w:rFonts w:hint="eastAsia" w:ascii="宋体" w:hAnsi="宋体" w:cs="宋体"/>
                <w:snapToGrid w:val="0"/>
                <w:color w:val="auto"/>
                <w:kern w:val="0"/>
                <w:sz w:val="24"/>
                <w:lang w:bidi="ar"/>
              </w:rPr>
              <w:t>至少要内置万古霉素、他克莫司、环孢素、利培酮、丙戊酸、喹硫平、舍曲林这几个药的剂量推荐模型，并可查看与每个药的模型对应的已公开发表的SCI文献依据。（提供视频演示）</w:t>
            </w:r>
          </w:p>
        </w:tc>
      </w:tr>
      <w:tr w14:paraId="7FF615DA">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BA299C">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13</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A92C55">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病例讨论</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A860134">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13.1药师可作为主持人发起病例讨论及选择参与药师。</w:t>
            </w:r>
          </w:p>
        </w:tc>
      </w:tr>
      <w:tr w14:paraId="4100C7C2">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E94C7">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09280">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78BF9AC2">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13.2参与药师可收到病例讨论邀请并结合病例摘要和讨论主题内容反馈意见。</w:t>
            </w:r>
          </w:p>
        </w:tc>
      </w:tr>
      <w:tr w14:paraId="3BA84AEF">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C91FD">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05AA3">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D70E4FC">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13.3支持主持人汇总并导出病例讨论记录。</w:t>
            </w:r>
          </w:p>
        </w:tc>
      </w:tr>
      <w:tr w14:paraId="79800C28">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276304">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14</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3358F">
            <w:pPr>
              <w:widowControl/>
              <w:spacing w:line="360" w:lineRule="auto"/>
              <w:jc w:val="center"/>
              <w:textAlignment w:val="center"/>
              <w:rPr>
                <w:rFonts w:ascii="宋体" w:hAnsi="宋体" w:cs="宋体"/>
                <w:color w:val="000000"/>
                <w:sz w:val="24"/>
              </w:rPr>
            </w:pPr>
            <w:bookmarkStart w:id="0" w:name="_Hlk207124896"/>
            <w:r>
              <w:rPr>
                <w:rFonts w:hint="eastAsia" w:ascii="宋体" w:hAnsi="宋体" w:cs="宋体"/>
                <w:snapToGrid w:val="0"/>
                <w:color w:val="000000"/>
                <w:kern w:val="0"/>
                <w:sz w:val="24"/>
                <w:lang w:bidi="ar"/>
              </w:rPr>
              <w:t>药学查房</w:t>
            </w:r>
            <w:bookmarkEnd w:id="0"/>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6036C59">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14.1系统可根据患者的药学监护等级和药师设置的监护频率提示药师完成每日查房工作。</w:t>
            </w:r>
          </w:p>
        </w:tc>
      </w:tr>
      <w:tr w14:paraId="629B4C69">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326FB">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FD735">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43747357">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14.2系统</w:t>
            </w:r>
            <w:r>
              <w:rPr>
                <w:rFonts w:hint="eastAsia" w:ascii="宋体" w:hAnsi="宋体" w:cs="宋体"/>
                <w:snapToGrid w:val="0"/>
                <w:kern w:val="0"/>
                <w:sz w:val="24"/>
                <w:lang w:bidi="ar"/>
              </w:rPr>
              <w:t>至少包括</w:t>
            </w:r>
            <w:r>
              <w:rPr>
                <w:rFonts w:hint="eastAsia" w:ascii="宋体" w:hAnsi="宋体" w:cs="宋体"/>
                <w:snapToGrid w:val="0"/>
                <w:color w:val="000000"/>
                <w:kern w:val="0"/>
                <w:sz w:val="24"/>
                <w:lang w:bidi="ar"/>
              </w:rPr>
              <w:t>单独设计的移动查房APP，移动端与PC端查房记录支持数据同步。</w:t>
            </w:r>
          </w:p>
        </w:tc>
      </w:tr>
      <w:tr w14:paraId="23AD0182">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629DE8">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51A3">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47D290E">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14.3PC端查房记录支持CA数字签名。</w:t>
            </w:r>
          </w:p>
        </w:tc>
      </w:tr>
      <w:tr w14:paraId="06FB10D3">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925E5">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A15CF">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1E7F36AB">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w:t>
            </w:r>
            <w:bookmarkStart w:id="1" w:name="_Hlk207124888"/>
            <w:r>
              <w:rPr>
                <w:rFonts w:hint="eastAsia" w:ascii="宋体" w:hAnsi="宋体" w:cs="宋体"/>
                <w:snapToGrid w:val="0"/>
                <w:color w:val="000000"/>
                <w:kern w:val="0"/>
                <w:sz w:val="24"/>
                <w:lang w:bidi="ar"/>
              </w:rPr>
              <w:t>14.4</w:t>
            </w:r>
            <w:bookmarkEnd w:id="1"/>
            <w:r>
              <w:rPr>
                <w:rFonts w:hint="eastAsia" w:ascii="宋体" w:hAnsi="宋体" w:cs="宋体"/>
                <w:snapToGrid w:val="0"/>
                <w:color w:val="000000"/>
                <w:kern w:val="0"/>
                <w:sz w:val="24"/>
                <w:lang w:bidi="ar"/>
              </w:rPr>
              <w:t>移动端支持查看药师制定的监护计划。（提供系统截图）</w:t>
            </w:r>
          </w:p>
        </w:tc>
      </w:tr>
      <w:tr w14:paraId="112A25D7">
        <w:tblPrEx>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6FD65">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160DB">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68E97005">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14.5移动端支持查看患者医嘱、病程记录、检验检查等诊疗信息填写疾病评估量表、接收查房提醒并通过拍照和录音等方式记录查房要点。</w:t>
            </w:r>
          </w:p>
        </w:tc>
      </w:tr>
      <w:tr w14:paraId="4872C021">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0459B">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4AD32">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7586DF31">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14.6移动端可采集患者院外用药情况并同步至PC端入院用药重整表单。</w:t>
            </w:r>
          </w:p>
        </w:tc>
      </w:tr>
      <w:tr w14:paraId="036AEB1C">
        <w:tblPrEx>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right w:val="single" w:color="000000" w:sz="4" w:space="0"/>
            </w:tcBorders>
            <w:noWrap w:val="0"/>
            <w:vAlign w:val="center"/>
          </w:tcPr>
          <w:p w14:paraId="247DF217">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15</w:t>
            </w:r>
          </w:p>
        </w:tc>
        <w:tc>
          <w:tcPr>
            <w:tcW w:w="1923" w:type="dxa"/>
            <w:vMerge w:val="restart"/>
            <w:tcBorders>
              <w:top w:val="single" w:color="000000" w:sz="4" w:space="0"/>
              <w:left w:val="single" w:color="000000" w:sz="4" w:space="0"/>
              <w:right w:val="single" w:color="000000" w:sz="4" w:space="0"/>
            </w:tcBorders>
            <w:noWrap w:val="0"/>
            <w:vAlign w:val="center"/>
          </w:tcPr>
          <w:p w14:paraId="43F9F5DE">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知识查询</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BF9C252">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15.1提供药品说明书、用药指导、健康教育、特殊人群用药建议（至少包含老年人、妊娠哺乳、肾功能不全、药物性肝损伤）、常用医药公式。</w:t>
            </w:r>
          </w:p>
        </w:tc>
      </w:tr>
      <w:tr w14:paraId="1C523E7B">
        <w:tblPrEx>
          <w:tblCellMar>
            <w:top w:w="0" w:type="dxa"/>
            <w:left w:w="108" w:type="dxa"/>
            <w:bottom w:w="0" w:type="dxa"/>
            <w:right w:w="108" w:type="dxa"/>
          </w:tblCellMar>
        </w:tblPrEx>
        <w:trPr>
          <w:trHeight w:val="810" w:hRule="atLeast"/>
        </w:trPr>
        <w:tc>
          <w:tcPr>
            <w:tcW w:w="1080" w:type="dxa"/>
            <w:vMerge w:val="continue"/>
            <w:tcBorders>
              <w:left w:val="single" w:color="000000" w:sz="4" w:space="0"/>
              <w:bottom w:val="single" w:color="000000" w:sz="4" w:space="0"/>
              <w:right w:val="single" w:color="000000" w:sz="4" w:space="0"/>
            </w:tcBorders>
            <w:noWrap w:val="0"/>
            <w:vAlign w:val="center"/>
          </w:tcPr>
          <w:p w14:paraId="485C45F3">
            <w:pPr>
              <w:widowControl/>
              <w:spacing w:line="360" w:lineRule="auto"/>
              <w:jc w:val="center"/>
              <w:textAlignment w:val="center"/>
              <w:rPr>
                <w:rFonts w:hint="eastAsia" w:ascii="宋体" w:hAnsi="宋体" w:cs="宋体"/>
                <w:snapToGrid w:val="0"/>
                <w:color w:val="000000"/>
                <w:kern w:val="0"/>
                <w:sz w:val="24"/>
                <w:lang w:bidi="ar"/>
              </w:rPr>
            </w:pPr>
          </w:p>
        </w:tc>
        <w:tc>
          <w:tcPr>
            <w:tcW w:w="1923" w:type="dxa"/>
            <w:vMerge w:val="continue"/>
            <w:tcBorders>
              <w:left w:val="single" w:color="000000" w:sz="4" w:space="0"/>
              <w:bottom w:val="single" w:color="000000" w:sz="4" w:space="0"/>
              <w:right w:val="single" w:color="000000" w:sz="4" w:space="0"/>
            </w:tcBorders>
            <w:noWrap w:val="0"/>
            <w:vAlign w:val="center"/>
          </w:tcPr>
          <w:p w14:paraId="6E723101">
            <w:pPr>
              <w:widowControl/>
              <w:spacing w:line="360" w:lineRule="auto"/>
              <w:jc w:val="center"/>
              <w:textAlignment w:val="center"/>
              <w:rPr>
                <w:rFonts w:hint="eastAsia" w:ascii="宋体" w:hAnsi="宋体" w:cs="宋体"/>
                <w:snapToGrid w:val="0"/>
                <w:color w:val="000000"/>
                <w:kern w:val="0"/>
                <w:sz w:val="24"/>
                <w:lang w:bidi="ar"/>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4BA6AA40">
            <w:pPr>
              <w:widowControl/>
              <w:spacing w:line="360" w:lineRule="auto"/>
              <w:jc w:val="left"/>
              <w:textAlignment w:val="center"/>
              <w:rPr>
                <w:rFonts w:hint="eastAsia" w:ascii="宋体" w:hAnsi="宋体" w:cs="宋体"/>
                <w:snapToGrid w:val="0"/>
                <w:color w:val="000000"/>
                <w:kern w:val="0"/>
                <w:sz w:val="24"/>
                <w:lang w:bidi="ar"/>
              </w:rPr>
            </w:pPr>
            <w:r>
              <w:rPr>
                <w:rFonts w:hint="eastAsia" w:ascii="宋体" w:hAnsi="宋体" w:cs="宋体"/>
                <w:snapToGrid w:val="0"/>
                <w:color w:val="000000"/>
                <w:kern w:val="0"/>
                <w:sz w:val="24"/>
                <w:lang w:bidi="ar"/>
              </w:rPr>
              <w:t>▲15.2特殊给药装置操作手册和视频、相互作用查询（能够按抗肿瘤药、抗肝炎药等专科用药独立查询）等知识的查询功能。（提供系统截图）</w:t>
            </w:r>
          </w:p>
        </w:tc>
      </w:tr>
      <w:tr w14:paraId="52946EB2">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6ED63A">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16</w:t>
            </w:r>
          </w:p>
        </w:tc>
        <w:tc>
          <w:tcPr>
            <w:tcW w:w="19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F97449">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统计分析</w:t>
            </w: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93A180F">
            <w:pPr>
              <w:widowControl/>
              <w:spacing w:line="360" w:lineRule="auto"/>
              <w:jc w:val="left"/>
              <w:textAlignment w:val="center"/>
              <w:rPr>
                <w:rFonts w:ascii="宋体" w:hAnsi="宋体" w:cs="宋体"/>
                <w:color w:val="000000"/>
                <w:sz w:val="24"/>
              </w:rPr>
            </w:pPr>
            <w:r>
              <w:rPr>
                <w:rStyle w:val="22"/>
                <w:rFonts w:hint="default"/>
                <w:snapToGrid w:val="0"/>
                <w:sz w:val="24"/>
                <w:lang w:bidi="ar"/>
              </w:rPr>
              <w:t>16.1</w:t>
            </w:r>
            <w:r>
              <w:rPr>
                <w:rStyle w:val="25"/>
                <w:rFonts w:hint="default"/>
                <w:snapToGrid w:val="0"/>
                <w:sz w:val="24"/>
                <w:lang w:bidi="ar"/>
              </w:rPr>
              <w:t>支持</w:t>
            </w:r>
            <w:r>
              <w:rPr>
                <w:rStyle w:val="22"/>
                <w:rFonts w:hint="default"/>
                <w:snapToGrid w:val="0"/>
                <w:sz w:val="24"/>
                <w:lang w:bidi="ar"/>
              </w:rPr>
              <w:t>人工医嘱审核、监护计划、用药重整、用药咨询、入院评估等各监护项目的工作量统计。</w:t>
            </w:r>
          </w:p>
        </w:tc>
      </w:tr>
      <w:tr w14:paraId="7E0F911E">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139FA">
            <w:pPr>
              <w:spacing w:line="360" w:lineRule="auto"/>
              <w:jc w:val="center"/>
              <w:rPr>
                <w:rFonts w:ascii="宋体" w:hAnsi="宋体" w:cs="宋体"/>
                <w:color w:val="000000"/>
                <w:sz w:val="24"/>
              </w:rPr>
            </w:pPr>
          </w:p>
        </w:tc>
        <w:tc>
          <w:tcPr>
            <w:tcW w:w="19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B572D">
            <w:pPr>
              <w:spacing w:line="360" w:lineRule="auto"/>
              <w:jc w:val="center"/>
              <w:rPr>
                <w:rFonts w:ascii="宋体" w:hAnsi="宋体" w:cs="宋体"/>
                <w:color w:val="000000"/>
                <w:sz w:val="24"/>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37A60FA2">
            <w:pPr>
              <w:widowControl/>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16.2支持全院和不同科室的住院药学监护率统计。</w:t>
            </w:r>
          </w:p>
        </w:tc>
      </w:tr>
      <w:tr w14:paraId="3B56783F">
        <w:tblPrEx>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right w:val="single" w:color="000000" w:sz="4" w:space="0"/>
            </w:tcBorders>
            <w:noWrap w:val="0"/>
            <w:vAlign w:val="center"/>
          </w:tcPr>
          <w:p w14:paraId="0A75059C">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17</w:t>
            </w:r>
          </w:p>
        </w:tc>
        <w:tc>
          <w:tcPr>
            <w:tcW w:w="1923" w:type="dxa"/>
            <w:vMerge w:val="restart"/>
            <w:tcBorders>
              <w:top w:val="single" w:color="000000" w:sz="4" w:space="0"/>
              <w:left w:val="single" w:color="000000" w:sz="4" w:space="0"/>
              <w:right w:val="single" w:color="000000" w:sz="4" w:space="0"/>
            </w:tcBorders>
            <w:noWrap w:val="0"/>
            <w:vAlign w:val="center"/>
          </w:tcPr>
          <w:p w14:paraId="5BF6AD65">
            <w:pPr>
              <w:widowControl/>
              <w:spacing w:line="360" w:lineRule="auto"/>
              <w:jc w:val="left"/>
              <w:textAlignment w:val="center"/>
              <w:rPr>
                <w:rFonts w:ascii="宋体" w:hAnsi="宋体" w:cs="宋体"/>
                <w:color w:val="000000"/>
                <w:sz w:val="24"/>
              </w:rPr>
            </w:pPr>
            <w:bookmarkStart w:id="2" w:name="_Hlk207124861"/>
            <w:r>
              <w:rPr>
                <w:rFonts w:hint="eastAsia" w:ascii="宋体" w:hAnsi="宋体" w:cs="宋体"/>
                <w:snapToGrid w:val="0"/>
                <w:color w:val="000000"/>
                <w:kern w:val="0"/>
                <w:sz w:val="24"/>
                <w:lang w:bidi="ar"/>
              </w:rPr>
              <w:t>药学服务大模型</w:t>
            </w:r>
            <w:bookmarkEnd w:id="2"/>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02D6105B">
            <w:pPr>
              <w:widowControl/>
              <w:snapToGrid w:val="0"/>
              <w:spacing w:line="360" w:lineRule="auto"/>
              <w:jc w:val="left"/>
              <w:textAlignment w:val="center"/>
              <w:rPr>
                <w:rFonts w:ascii="宋体" w:hAnsi="宋体" w:cs="宋体"/>
                <w:color w:val="000000"/>
                <w:sz w:val="24"/>
              </w:rPr>
            </w:pPr>
            <w:r>
              <w:rPr>
                <w:rFonts w:hint="eastAsia" w:ascii="宋体" w:hAnsi="宋体" w:cs="宋体"/>
                <w:snapToGrid w:val="0"/>
                <w:color w:val="000000"/>
                <w:kern w:val="0"/>
                <w:sz w:val="24"/>
                <w:lang w:bidi="ar"/>
              </w:rPr>
              <w:t>▲</w:t>
            </w:r>
            <w:r>
              <w:rPr>
                <w:rFonts w:hint="eastAsia" w:ascii="宋体" w:hAnsi="宋体" w:cs="宋体"/>
                <w:snapToGrid w:val="0"/>
                <w:kern w:val="0"/>
                <w:sz w:val="24"/>
                <w:lang w:bidi="ar"/>
              </w:rPr>
              <w:t>1</w:t>
            </w:r>
            <w:r>
              <w:rPr>
                <w:rFonts w:hint="eastAsia" w:ascii="宋体" w:hAnsi="宋体" w:cs="宋体"/>
                <w:snapToGrid w:val="0"/>
                <w:kern w:val="0"/>
                <w:sz w:val="24"/>
                <w:lang w:val="en-US" w:eastAsia="zh-CN" w:bidi="ar"/>
              </w:rPr>
              <w:t>7</w:t>
            </w:r>
            <w:r>
              <w:rPr>
                <w:rFonts w:hint="eastAsia" w:ascii="宋体" w:hAnsi="宋体" w:cs="宋体"/>
                <w:snapToGrid w:val="0"/>
                <w:kern w:val="0"/>
                <w:sz w:val="24"/>
                <w:lang w:bidi="ar"/>
              </w:rPr>
              <w:t>.1依托于生成式大语言模型构建药学问答机器人，搭载于模块中即时回答各类临床用药问题。</w:t>
            </w:r>
            <w:r>
              <w:rPr>
                <w:rFonts w:hint="eastAsia" w:ascii="宋体" w:hAnsi="宋体" w:cs="宋体"/>
                <w:snapToGrid w:val="0"/>
                <w:color w:val="000000"/>
                <w:kern w:val="0"/>
                <w:sz w:val="24"/>
                <w:lang w:bidi="ar"/>
              </w:rPr>
              <w:t>（提供系统截图）</w:t>
            </w:r>
          </w:p>
        </w:tc>
      </w:tr>
      <w:tr w14:paraId="4BDB3114">
        <w:tblPrEx>
          <w:tblCellMar>
            <w:top w:w="0" w:type="dxa"/>
            <w:left w:w="108" w:type="dxa"/>
            <w:bottom w:w="0" w:type="dxa"/>
            <w:right w:w="108" w:type="dxa"/>
          </w:tblCellMar>
        </w:tblPrEx>
        <w:trPr>
          <w:trHeight w:val="540" w:hRule="atLeast"/>
        </w:trPr>
        <w:tc>
          <w:tcPr>
            <w:tcW w:w="1080" w:type="dxa"/>
            <w:vMerge w:val="continue"/>
            <w:tcBorders>
              <w:left w:val="single" w:color="000000" w:sz="4" w:space="0"/>
              <w:bottom w:val="single" w:color="000000" w:sz="4" w:space="0"/>
              <w:right w:val="single" w:color="000000" w:sz="4" w:space="0"/>
            </w:tcBorders>
            <w:noWrap w:val="0"/>
            <w:vAlign w:val="center"/>
          </w:tcPr>
          <w:p w14:paraId="73C8F604">
            <w:pPr>
              <w:widowControl/>
              <w:spacing w:line="360" w:lineRule="auto"/>
              <w:jc w:val="center"/>
              <w:textAlignment w:val="center"/>
              <w:rPr>
                <w:rFonts w:hint="eastAsia" w:ascii="宋体" w:hAnsi="宋体" w:cs="宋体"/>
                <w:snapToGrid w:val="0"/>
                <w:color w:val="000000"/>
                <w:kern w:val="0"/>
                <w:sz w:val="24"/>
                <w:lang w:bidi="ar"/>
              </w:rPr>
            </w:pPr>
          </w:p>
        </w:tc>
        <w:tc>
          <w:tcPr>
            <w:tcW w:w="1923" w:type="dxa"/>
            <w:vMerge w:val="continue"/>
            <w:tcBorders>
              <w:left w:val="single" w:color="000000" w:sz="4" w:space="0"/>
              <w:bottom w:val="single" w:color="000000" w:sz="4" w:space="0"/>
              <w:right w:val="single" w:color="000000" w:sz="4" w:space="0"/>
            </w:tcBorders>
            <w:noWrap w:val="0"/>
            <w:vAlign w:val="center"/>
          </w:tcPr>
          <w:p w14:paraId="1E37A06B">
            <w:pPr>
              <w:widowControl/>
              <w:spacing w:line="360" w:lineRule="auto"/>
              <w:jc w:val="left"/>
              <w:textAlignment w:val="center"/>
              <w:rPr>
                <w:rFonts w:hint="eastAsia" w:ascii="宋体" w:hAnsi="宋体" w:cs="宋体"/>
                <w:snapToGrid w:val="0"/>
                <w:color w:val="000000"/>
                <w:kern w:val="0"/>
                <w:sz w:val="24"/>
                <w:lang w:bidi="ar"/>
              </w:rPr>
            </w:pPr>
          </w:p>
        </w:tc>
        <w:tc>
          <w:tcPr>
            <w:tcW w:w="6822" w:type="dxa"/>
            <w:tcBorders>
              <w:top w:val="single" w:color="000000" w:sz="4" w:space="0"/>
              <w:left w:val="single" w:color="000000" w:sz="4" w:space="0"/>
              <w:bottom w:val="single" w:color="000000" w:sz="4" w:space="0"/>
              <w:right w:val="single" w:color="000000" w:sz="4" w:space="0"/>
            </w:tcBorders>
            <w:noWrap w:val="0"/>
            <w:vAlign w:val="center"/>
          </w:tcPr>
          <w:p w14:paraId="5E7CED57">
            <w:pPr>
              <w:widowControl/>
              <w:snapToGrid w:val="0"/>
              <w:spacing w:line="360" w:lineRule="auto"/>
              <w:jc w:val="left"/>
              <w:textAlignment w:val="center"/>
              <w:rPr>
                <w:rFonts w:hint="eastAsia" w:ascii="宋体" w:hAnsi="宋体" w:cs="宋体"/>
                <w:snapToGrid w:val="0"/>
                <w:color w:val="000000"/>
                <w:kern w:val="0"/>
                <w:sz w:val="24"/>
                <w:lang w:bidi="ar"/>
              </w:rPr>
            </w:pPr>
            <w:r>
              <w:rPr>
                <w:rFonts w:hint="eastAsia" w:ascii="宋体" w:hAnsi="宋体" w:cs="宋体"/>
                <w:snapToGrid w:val="0"/>
                <w:kern w:val="0"/>
                <w:sz w:val="24"/>
                <w:lang w:bidi="ar"/>
              </w:rPr>
              <w:t>1</w:t>
            </w:r>
            <w:r>
              <w:rPr>
                <w:rFonts w:hint="eastAsia" w:ascii="宋体" w:hAnsi="宋体" w:cs="宋体"/>
                <w:snapToGrid w:val="0"/>
                <w:kern w:val="0"/>
                <w:sz w:val="24"/>
                <w:lang w:val="en-US" w:eastAsia="zh-CN" w:bidi="ar"/>
              </w:rPr>
              <w:t>7</w:t>
            </w:r>
            <w:r>
              <w:rPr>
                <w:rFonts w:hint="eastAsia" w:ascii="宋体" w:hAnsi="宋体" w:cs="宋体"/>
                <w:snapToGrid w:val="0"/>
                <w:kern w:val="0"/>
                <w:sz w:val="24"/>
                <w:lang w:bidi="ar"/>
              </w:rPr>
              <w:t>.2 药学问答机器人可在针对问题生成的答案中提供参考来源名称及具体参考段落内容，并记录历史对话内容。</w:t>
            </w:r>
          </w:p>
        </w:tc>
      </w:tr>
    </w:tbl>
    <w:p w14:paraId="535C8941">
      <w:pPr>
        <w:pStyle w:val="5"/>
        <w:snapToGrid w:val="0"/>
        <w:spacing w:after="156" w:afterLines="50"/>
        <w:rPr>
          <w:rFonts w:hAnsi="宋体"/>
          <w:bCs/>
          <w:sz w:val="24"/>
          <w:szCs w:val="24"/>
        </w:rPr>
      </w:pPr>
    </w:p>
    <w:p w14:paraId="78CC7573">
      <w:pPr>
        <w:pStyle w:val="5"/>
        <w:numPr>
          <w:ilvl w:val="0"/>
          <w:numId w:val="1"/>
        </w:numPr>
        <w:snapToGrid w:val="0"/>
        <w:spacing w:after="156" w:afterLines="50"/>
        <w:rPr>
          <w:rFonts w:hint="eastAsia" w:hAnsi="宋体"/>
          <w:bCs/>
          <w:sz w:val="24"/>
          <w:szCs w:val="24"/>
        </w:rPr>
      </w:pPr>
      <w:r>
        <w:rPr>
          <w:rFonts w:hint="eastAsia" w:hAnsi="宋体"/>
          <w:bCs/>
          <w:sz w:val="24"/>
          <w:szCs w:val="24"/>
        </w:rPr>
        <w:t>服务器</w:t>
      </w:r>
    </w:p>
    <w:p w14:paraId="35E32DB9">
      <w:pPr>
        <w:pStyle w:val="5"/>
        <w:snapToGrid w:val="0"/>
        <w:spacing w:after="156" w:afterLines="50"/>
        <w:rPr>
          <w:rFonts w:hint="eastAsia" w:hAnsi="宋体"/>
          <w:bCs/>
          <w:sz w:val="24"/>
          <w:szCs w:val="24"/>
        </w:rPr>
      </w:pPr>
      <w:r>
        <w:rPr>
          <w:rFonts w:hint="eastAsia" w:hAnsi="宋体"/>
          <w:bCs/>
          <w:sz w:val="24"/>
          <w:szCs w:val="24"/>
        </w:rPr>
        <w:t>投标人需在院内本地部署支持项目运行的大模型算力服务器。</w:t>
      </w:r>
    </w:p>
    <w:tbl>
      <w:tblPr>
        <w:tblStyle w:val="10"/>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984"/>
        <w:gridCol w:w="6783"/>
      </w:tblGrid>
      <w:tr w14:paraId="6C58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noWrap w:val="0"/>
            <w:vAlign w:val="center"/>
          </w:tcPr>
          <w:p w14:paraId="3272EBFE">
            <w:pPr>
              <w:widowControl/>
              <w:spacing w:line="360" w:lineRule="auto"/>
              <w:jc w:val="center"/>
              <w:textAlignment w:val="center"/>
              <w:rPr>
                <w:rFonts w:ascii="宋体" w:hAnsi="宋体" w:cs="宋体"/>
                <w:color w:val="000000"/>
                <w:sz w:val="24"/>
              </w:rPr>
            </w:pPr>
            <w:r>
              <w:rPr>
                <w:rFonts w:hint="eastAsia" w:ascii="宋体" w:hAnsi="宋体" w:cs="宋体"/>
                <w:snapToGrid w:val="0"/>
                <w:color w:val="000000"/>
                <w:kern w:val="0"/>
                <w:sz w:val="24"/>
                <w:lang w:bidi="ar"/>
              </w:rPr>
              <w:t>序号</w:t>
            </w:r>
          </w:p>
        </w:tc>
        <w:tc>
          <w:tcPr>
            <w:tcW w:w="1984" w:type="dxa"/>
            <w:noWrap w:val="0"/>
            <w:vAlign w:val="center"/>
          </w:tcPr>
          <w:p w14:paraId="420F5C6B">
            <w:pPr>
              <w:widowControl/>
              <w:spacing w:line="360" w:lineRule="auto"/>
              <w:jc w:val="left"/>
              <w:textAlignment w:val="center"/>
              <w:rPr>
                <w:rFonts w:hint="eastAsia" w:ascii="宋体" w:hAnsi="宋体" w:cs="宋体"/>
                <w:color w:val="000000"/>
                <w:sz w:val="24"/>
              </w:rPr>
            </w:pPr>
            <w:r>
              <w:rPr>
                <w:rFonts w:hint="eastAsia" w:ascii="宋体" w:hAnsi="宋体" w:cs="宋体"/>
                <w:snapToGrid w:val="0"/>
                <w:color w:val="000000"/>
                <w:kern w:val="0"/>
                <w:sz w:val="24"/>
                <w:lang w:bidi="ar"/>
              </w:rPr>
              <w:t>类型</w:t>
            </w:r>
          </w:p>
        </w:tc>
        <w:tc>
          <w:tcPr>
            <w:tcW w:w="6783" w:type="dxa"/>
            <w:noWrap w:val="0"/>
            <w:vAlign w:val="top"/>
          </w:tcPr>
          <w:p w14:paraId="7F38D60D">
            <w:pPr>
              <w:pStyle w:val="5"/>
              <w:snapToGrid w:val="0"/>
              <w:spacing w:after="156" w:afterLines="50"/>
              <w:rPr>
                <w:rFonts w:hAnsi="宋体"/>
                <w:bCs/>
                <w:sz w:val="24"/>
                <w:szCs w:val="24"/>
              </w:rPr>
            </w:pPr>
            <w:r>
              <w:rPr>
                <w:rFonts w:hint="eastAsia" w:hAnsi="宋体" w:cs="宋体"/>
                <w:snapToGrid w:val="0"/>
                <w:color w:val="000000"/>
                <w:kern w:val="0"/>
                <w:sz w:val="24"/>
                <w:lang w:bidi="ar"/>
              </w:rPr>
              <w:t>配置要求</w:t>
            </w:r>
          </w:p>
        </w:tc>
      </w:tr>
      <w:tr w14:paraId="2265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59" w:type="dxa"/>
            <w:noWrap w:val="0"/>
            <w:vAlign w:val="top"/>
          </w:tcPr>
          <w:p w14:paraId="75E35D83">
            <w:pPr>
              <w:pStyle w:val="5"/>
              <w:snapToGrid w:val="0"/>
              <w:spacing w:after="156" w:afterLines="50"/>
              <w:jc w:val="center"/>
              <w:rPr>
                <w:rFonts w:hAnsi="宋体"/>
                <w:bCs/>
                <w:sz w:val="24"/>
                <w:szCs w:val="24"/>
              </w:rPr>
            </w:pPr>
            <w:r>
              <w:rPr>
                <w:rFonts w:hint="eastAsia" w:hAnsi="宋体"/>
                <w:bCs/>
                <w:sz w:val="24"/>
                <w:szCs w:val="24"/>
              </w:rPr>
              <w:t>1</w:t>
            </w:r>
          </w:p>
        </w:tc>
        <w:tc>
          <w:tcPr>
            <w:tcW w:w="1984" w:type="dxa"/>
            <w:noWrap w:val="0"/>
            <w:vAlign w:val="top"/>
          </w:tcPr>
          <w:p w14:paraId="17F0A6A1">
            <w:pPr>
              <w:pStyle w:val="5"/>
              <w:snapToGrid w:val="0"/>
              <w:spacing w:after="156" w:afterLines="50"/>
              <w:rPr>
                <w:rFonts w:hAnsi="宋体"/>
                <w:bCs/>
                <w:sz w:val="24"/>
                <w:szCs w:val="24"/>
              </w:rPr>
            </w:pPr>
            <w:r>
              <w:rPr>
                <w:rFonts w:hint="eastAsia" w:hAnsi="宋体" w:cs="宋体"/>
                <w:snapToGrid w:val="0"/>
                <w:color w:val="000000"/>
                <w:kern w:val="0"/>
                <w:sz w:val="24"/>
                <w:lang w:bidi="ar"/>
              </w:rPr>
              <w:t>药学服务</w:t>
            </w:r>
            <w:r>
              <w:rPr>
                <w:rFonts w:hint="eastAsia" w:hAnsi="宋体"/>
                <w:bCs/>
                <w:sz w:val="24"/>
                <w:szCs w:val="24"/>
              </w:rPr>
              <w:t>大模型服务器</w:t>
            </w:r>
          </w:p>
        </w:tc>
        <w:tc>
          <w:tcPr>
            <w:tcW w:w="6783" w:type="dxa"/>
            <w:noWrap w:val="0"/>
            <w:vAlign w:val="top"/>
          </w:tcPr>
          <w:p w14:paraId="06B7B3DD">
            <w:pPr>
              <w:pStyle w:val="5"/>
              <w:snapToGrid w:val="0"/>
              <w:spacing w:after="156" w:afterLines="50"/>
              <w:rPr>
                <w:rFonts w:hint="eastAsia" w:hAnsi="宋体"/>
                <w:bCs/>
                <w:sz w:val="24"/>
                <w:szCs w:val="24"/>
              </w:rPr>
            </w:pPr>
            <w:r>
              <w:rPr>
                <w:rFonts w:hint="eastAsia" w:hAnsi="宋体"/>
                <w:bCs/>
                <w:sz w:val="24"/>
                <w:szCs w:val="24"/>
              </w:rPr>
              <w:t>CPU：</w:t>
            </w:r>
            <w:r>
              <w:rPr>
                <w:rFonts w:hAnsi="宋体"/>
                <w:bCs/>
                <w:sz w:val="24"/>
                <w:szCs w:val="24"/>
              </w:rPr>
              <w:t>intel i</w:t>
            </w:r>
            <w:r>
              <w:rPr>
                <w:rFonts w:hAnsi="宋体"/>
                <w:bCs/>
                <w:color w:val="auto"/>
                <w:sz w:val="24"/>
                <w:szCs w:val="24"/>
              </w:rPr>
              <w:t>7</w:t>
            </w:r>
            <w:r>
              <w:rPr>
                <w:rFonts w:hint="eastAsia" w:hAnsi="宋体"/>
                <w:bCs/>
                <w:color w:val="auto"/>
                <w:sz w:val="24"/>
                <w:szCs w:val="24"/>
              </w:rPr>
              <w:t>或更优</w:t>
            </w:r>
          </w:p>
          <w:p w14:paraId="214615DF">
            <w:pPr>
              <w:pStyle w:val="5"/>
              <w:snapToGrid w:val="0"/>
              <w:spacing w:after="156" w:afterLines="50"/>
              <w:rPr>
                <w:rFonts w:hAnsi="宋体"/>
                <w:bCs/>
                <w:sz w:val="24"/>
                <w:szCs w:val="24"/>
              </w:rPr>
            </w:pPr>
            <w:r>
              <w:rPr>
                <w:rFonts w:hint="eastAsia" w:hAnsi="宋体"/>
                <w:bCs/>
                <w:sz w:val="24"/>
                <w:szCs w:val="24"/>
              </w:rPr>
              <w:t>硬盘：≥</w:t>
            </w:r>
            <w:r>
              <w:rPr>
                <w:rFonts w:hAnsi="宋体"/>
                <w:bCs/>
                <w:sz w:val="24"/>
                <w:szCs w:val="24"/>
              </w:rPr>
              <w:t>4T</w:t>
            </w:r>
          </w:p>
          <w:p w14:paraId="53AF0F12">
            <w:pPr>
              <w:pStyle w:val="5"/>
              <w:snapToGrid w:val="0"/>
              <w:spacing w:after="156" w:afterLines="50"/>
              <w:rPr>
                <w:rFonts w:hAnsi="宋体"/>
                <w:bCs/>
                <w:sz w:val="24"/>
                <w:szCs w:val="24"/>
              </w:rPr>
            </w:pPr>
            <w:r>
              <w:rPr>
                <w:rFonts w:hint="eastAsia" w:hAnsi="宋体"/>
                <w:bCs/>
                <w:sz w:val="24"/>
                <w:szCs w:val="24"/>
              </w:rPr>
              <w:t>内存：≥</w:t>
            </w:r>
            <w:r>
              <w:rPr>
                <w:rFonts w:hAnsi="宋体"/>
                <w:bCs/>
                <w:sz w:val="24"/>
                <w:szCs w:val="24"/>
              </w:rPr>
              <w:t>64G</w:t>
            </w:r>
          </w:p>
          <w:p w14:paraId="31C4B3B6">
            <w:pPr>
              <w:pStyle w:val="5"/>
              <w:snapToGrid w:val="0"/>
              <w:spacing w:after="156" w:afterLines="50"/>
              <w:rPr>
                <w:rFonts w:hAnsi="宋体"/>
                <w:bCs/>
                <w:sz w:val="24"/>
                <w:szCs w:val="24"/>
              </w:rPr>
            </w:pPr>
            <w:r>
              <w:rPr>
                <w:rFonts w:hint="eastAsia" w:hAnsi="宋体"/>
                <w:bCs/>
                <w:sz w:val="24"/>
                <w:szCs w:val="24"/>
              </w:rPr>
              <w:t>显卡：≥</w:t>
            </w:r>
            <w:r>
              <w:rPr>
                <w:rFonts w:hAnsi="宋体"/>
                <w:bCs/>
                <w:sz w:val="24"/>
                <w:szCs w:val="24"/>
              </w:rPr>
              <w:t>nvidia3090Ti 24Gx2</w:t>
            </w:r>
          </w:p>
        </w:tc>
      </w:tr>
    </w:tbl>
    <w:p w14:paraId="0C7CAE78">
      <w:pPr>
        <w:pStyle w:val="5"/>
        <w:snapToGrid w:val="0"/>
        <w:spacing w:line="360" w:lineRule="auto"/>
        <w:rPr>
          <w:rFonts w:hAnsi="宋体"/>
          <w:bCs/>
          <w:sz w:val="24"/>
          <w:szCs w:val="24"/>
        </w:rPr>
      </w:pPr>
    </w:p>
    <w:p w14:paraId="746B03E2">
      <w:pPr>
        <w:autoSpaceDE w:val="0"/>
        <w:autoSpaceDN w:val="0"/>
        <w:adjustRightInd w:val="0"/>
        <w:spacing w:line="360" w:lineRule="auto"/>
        <w:jc w:val="left"/>
        <w:rPr>
          <w:rFonts w:hint="eastAsia" w:ascii="宋体" w:hAnsi="宋体" w:eastAsia="宋体" w:cs="宋体"/>
          <w:kern w:val="0"/>
          <w:sz w:val="24"/>
          <w:szCs w:val="24"/>
        </w:rPr>
      </w:pPr>
      <w:r>
        <w:rPr>
          <w:rFonts w:hint="eastAsia" w:hAnsi="宋体"/>
          <w:bCs/>
          <w:sz w:val="24"/>
          <w:szCs w:val="24"/>
          <w:u w:val="single"/>
        </w:rPr>
        <w:t>备注：投标人应将“五、具体技术功能要求”中所要求提供的视频演示支撑材料，存于U盘中，并和保存电子版投标文件的U盘分别单独密封，并在信封上标明U盘存储内容和投标人名称。投标人所提供的视频演示支撑材料应根据技术参数逐项单独录制，命名应至少包含技术参数对应的功能名称和序号，例如：“</w:t>
      </w:r>
      <w:r>
        <w:rPr>
          <w:rFonts w:hAnsi="宋体"/>
          <w:bCs/>
          <w:sz w:val="24"/>
          <w:szCs w:val="24"/>
          <w:u w:val="single"/>
        </w:rPr>
        <w:t>1</w:t>
      </w:r>
      <w:r>
        <w:rPr>
          <w:rFonts w:hint="eastAsia" w:hAnsi="宋体"/>
          <w:bCs/>
          <w:sz w:val="24"/>
          <w:szCs w:val="24"/>
          <w:u w:val="single"/>
          <w:lang w:val="en-US" w:eastAsia="zh-CN"/>
        </w:rPr>
        <w:t>1</w:t>
      </w:r>
      <w:r>
        <w:rPr>
          <w:rFonts w:hAnsi="宋体"/>
          <w:bCs/>
          <w:sz w:val="24"/>
          <w:szCs w:val="24"/>
          <w:u w:val="single"/>
        </w:rPr>
        <w:t>.</w:t>
      </w:r>
      <w:r>
        <w:rPr>
          <w:rFonts w:hint="eastAsia" w:hAnsi="宋体"/>
          <w:bCs/>
          <w:sz w:val="24"/>
          <w:szCs w:val="24"/>
          <w:u w:val="single"/>
          <w:lang w:val="en-US" w:eastAsia="zh-CN"/>
        </w:rPr>
        <w:t>1</w:t>
      </w:r>
      <w:r>
        <w:rPr>
          <w:rFonts w:hint="eastAsia" w:ascii="宋体" w:hAnsi="宋体" w:cs="宋体"/>
          <w:snapToGrid w:val="0"/>
          <w:color w:val="000000"/>
          <w:kern w:val="0"/>
          <w:sz w:val="24"/>
          <w:lang w:bidi="ar"/>
        </w:rPr>
        <w:t>不良反应识别</w:t>
      </w:r>
      <w:r>
        <w:rPr>
          <w:rFonts w:hint="eastAsia" w:hAnsi="宋体"/>
          <w:bCs/>
          <w:sz w:val="24"/>
          <w:szCs w:val="24"/>
          <w:u w:val="single"/>
        </w:rPr>
        <w:t>、1</w:t>
      </w:r>
      <w:r>
        <w:rPr>
          <w:rFonts w:hAnsi="宋体"/>
          <w:bCs/>
          <w:sz w:val="24"/>
          <w:szCs w:val="24"/>
          <w:u w:val="single"/>
        </w:rPr>
        <w:t>7</w:t>
      </w:r>
      <w:r>
        <w:rPr>
          <w:rFonts w:hint="eastAsia" w:hAnsi="宋体"/>
          <w:bCs/>
          <w:sz w:val="24"/>
          <w:szCs w:val="24"/>
          <w:u w:val="single"/>
          <w:lang w:val="en-US" w:eastAsia="zh-CN"/>
        </w:rPr>
        <w:t>.1</w:t>
      </w:r>
      <w:r>
        <w:rPr>
          <w:rFonts w:hint="eastAsia" w:hAnsi="宋体"/>
          <w:bCs/>
          <w:sz w:val="24"/>
          <w:szCs w:val="24"/>
          <w:u w:val="single"/>
        </w:rPr>
        <w:t>药学服务大模型”。每段视频演示支撑材料时长不超过2分钟。</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资格条件</w:t>
      </w:r>
    </w:p>
    <w:p w14:paraId="6BDD3E39">
      <w:pPr>
        <w:pStyle w:val="17"/>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27684A26">
      <w:pPr>
        <w:pStyle w:val="17"/>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w:t>
      </w:r>
      <w:bookmarkStart w:id="3" w:name="_GoBack"/>
      <w:bookmarkEnd w:id="3"/>
      <w:r>
        <w:rPr>
          <w:rFonts w:hint="eastAsia" w:ascii="宋体" w:hAnsi="宋体" w:eastAsia="宋体" w:cs="宋体"/>
          <w:color w:val="000000" w:themeColor="text1"/>
          <w:sz w:val="24"/>
          <w:szCs w:val="24"/>
          <w:lang w:eastAsia="zh-CN"/>
          <w14:textFill>
            <w14:solidFill>
              <w14:schemeClr w14:val="tx1"/>
            </w14:solidFill>
          </w14:textFill>
        </w:rPr>
        <w:t>hina.gov.cn）列入失信被执行人名单、重大税收违法案件当事人名单，未被中国政府采购网（www.ccgp.gov.cn）列入政府采购严重违法失信行为记录名单。</w:t>
      </w:r>
    </w:p>
    <w:p w14:paraId="04247265">
      <w:pPr>
        <w:pStyle w:val="17"/>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56F1A"/>
    <w:multiLevelType w:val="singleLevel"/>
    <w:tmpl w:val="BA856F1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446B93"/>
    <w:rsid w:val="0D995E8D"/>
    <w:rsid w:val="14094B03"/>
    <w:rsid w:val="141B74F9"/>
    <w:rsid w:val="1CE60459"/>
    <w:rsid w:val="1DC57AE4"/>
    <w:rsid w:val="1F0A03FC"/>
    <w:rsid w:val="21B06347"/>
    <w:rsid w:val="31785D43"/>
    <w:rsid w:val="49B50201"/>
    <w:rsid w:val="4BB93175"/>
    <w:rsid w:val="4E75200D"/>
    <w:rsid w:val="53284977"/>
    <w:rsid w:val="54294421"/>
    <w:rsid w:val="582D1057"/>
    <w:rsid w:val="59D9400C"/>
    <w:rsid w:val="65E840C9"/>
    <w:rsid w:val="66836CE5"/>
    <w:rsid w:val="6D3A0424"/>
    <w:rsid w:val="79501600"/>
    <w:rsid w:val="7B0C44BD"/>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Plain Text"/>
    <w:basedOn w:val="1"/>
    <w:qFormat/>
    <w:uiPriority w:val="0"/>
    <w:pPr>
      <w:adjustRightInd w:val="0"/>
      <w:textAlignment w:val="baseline"/>
    </w:pPr>
    <w:rPr>
      <w:rFonts w:ascii="宋体" w:hAnsi="Courier New"/>
      <w:szCs w:val="20"/>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19"/>
    <w:autoRedefine/>
    <w:semiHidden/>
    <w:unhideWhenUsed/>
    <w:qFormat/>
    <w:uiPriority w:val="99"/>
    <w:rPr>
      <w:b/>
      <w:bCs/>
    </w:rPr>
  </w:style>
  <w:style w:type="character" w:styleId="12">
    <w:name w:val="page number"/>
    <w:qFormat/>
    <w:uiPriority w:val="0"/>
  </w:style>
  <w:style w:type="character" w:styleId="13">
    <w:name w:val="annotation reference"/>
    <w:basedOn w:val="11"/>
    <w:autoRedefine/>
    <w:semiHidden/>
    <w:unhideWhenUsed/>
    <w:qFormat/>
    <w:uiPriority w:val="99"/>
    <w:rPr>
      <w:sz w:val="21"/>
      <w:szCs w:val="21"/>
    </w:rPr>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NormalCharacter"/>
    <w:autoRedefine/>
    <w:semiHidden/>
    <w:qFormat/>
    <w:uiPriority w:val="0"/>
  </w:style>
  <w:style w:type="paragraph" w:styleId="17">
    <w:name w:val="List Paragraph"/>
    <w:basedOn w:val="1"/>
    <w:autoRedefine/>
    <w:qFormat/>
    <w:uiPriority w:val="34"/>
    <w:pPr>
      <w:ind w:firstLine="420" w:firstLineChars="200"/>
    </w:pPr>
  </w:style>
  <w:style w:type="character" w:customStyle="1" w:styleId="18">
    <w:name w:val="批注文字 字符"/>
    <w:basedOn w:val="11"/>
    <w:link w:val="2"/>
    <w:autoRedefine/>
    <w:semiHidden/>
    <w:qFormat/>
    <w:uiPriority w:val="99"/>
  </w:style>
  <w:style w:type="character" w:customStyle="1" w:styleId="19">
    <w:name w:val="批注主题 字符"/>
    <w:basedOn w:val="18"/>
    <w:link w:val="9"/>
    <w:autoRedefine/>
    <w:semiHidden/>
    <w:qFormat/>
    <w:uiPriority w:val="99"/>
    <w:rPr>
      <w:b/>
      <w:bCs/>
    </w:rPr>
  </w:style>
  <w:style w:type="character" w:customStyle="1" w:styleId="20">
    <w:name w:val="批注框文本 字符"/>
    <w:basedOn w:val="11"/>
    <w:link w:val="6"/>
    <w:autoRedefine/>
    <w:semiHidden/>
    <w:qFormat/>
    <w:uiPriority w:val="99"/>
    <w:rPr>
      <w:sz w:val="18"/>
      <w:szCs w:val="18"/>
    </w:rPr>
  </w:style>
  <w:style w:type="paragraph" w:customStyle="1" w:styleId="21">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2">
    <w:name w:val="font01"/>
    <w:qFormat/>
    <w:uiPriority w:val="0"/>
    <w:rPr>
      <w:rFonts w:hint="eastAsia" w:ascii="宋体" w:hAnsi="宋体" w:eastAsia="宋体" w:cs="宋体"/>
      <w:color w:val="000000"/>
      <w:sz w:val="22"/>
      <w:szCs w:val="22"/>
      <w:u w:val="none"/>
    </w:rPr>
  </w:style>
  <w:style w:type="paragraph" w:customStyle="1" w:styleId="2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表格"/>
    <w:basedOn w:val="1"/>
    <w:qFormat/>
    <w:uiPriority w:val="0"/>
    <w:pPr>
      <w:spacing w:line="276" w:lineRule="auto"/>
      <w:jc w:val="center"/>
    </w:pPr>
    <w:rPr>
      <w:rFonts w:ascii="宋体" w:hAnsi="宋体" w:eastAsia="宋体"/>
    </w:rPr>
  </w:style>
  <w:style w:type="character" w:customStyle="1" w:styleId="25">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13</Pages>
  <Words>6078</Words>
  <Characters>6226</Characters>
  <Lines>20</Lines>
  <Paragraphs>5</Paragraphs>
  <TotalTime>0</TotalTime>
  <ScaleCrop>false</ScaleCrop>
  <LinksUpToDate>false</LinksUpToDate>
  <CharactersWithSpaces>6226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2025-08-28T07:32:15Z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